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54" w:rsidRDefault="00DF1954" w:rsidP="00DF1954">
      <w:pPr>
        <w:pStyle w:val="VMNormaaliSisentmtn"/>
        <w:ind w:right="305"/>
      </w:pPr>
    </w:p>
    <w:p w:rsidR="00ED7057" w:rsidRDefault="00ED7057" w:rsidP="00ED7057">
      <w:pPr>
        <w:pStyle w:val="VMOtsikko1"/>
        <w:ind w:right="305"/>
        <w:jc w:val="center"/>
      </w:pPr>
    </w:p>
    <w:p w:rsidR="00ED7057" w:rsidRDefault="00ED7057" w:rsidP="00ED7057">
      <w:pPr>
        <w:pStyle w:val="VMOtsikko1"/>
        <w:ind w:right="305"/>
        <w:jc w:val="center"/>
      </w:pPr>
    </w:p>
    <w:p w:rsidR="00ED7057" w:rsidRDefault="00ED7057" w:rsidP="00ED7057">
      <w:pPr>
        <w:pStyle w:val="VMOtsikko1"/>
        <w:ind w:right="305"/>
        <w:jc w:val="center"/>
      </w:pPr>
    </w:p>
    <w:p w:rsidR="00875DE3" w:rsidRDefault="00875DE3" w:rsidP="00ED7057">
      <w:pPr>
        <w:pStyle w:val="VMOtsikko1"/>
        <w:ind w:right="305"/>
        <w:jc w:val="center"/>
        <w:rPr>
          <w:sz w:val="28"/>
        </w:rPr>
      </w:pPr>
      <w:bookmarkStart w:id="0" w:name="_Toc493863010"/>
      <w:bookmarkStart w:id="1" w:name="_Toc493863227"/>
    </w:p>
    <w:p w:rsidR="00ED7057" w:rsidRPr="00D0735A" w:rsidRDefault="00ED7057" w:rsidP="00ED7057">
      <w:pPr>
        <w:pStyle w:val="VMOtsikko1"/>
        <w:ind w:right="305"/>
        <w:jc w:val="center"/>
        <w:rPr>
          <w:color w:val="243A65" w:themeColor="accent1" w:themeShade="BF"/>
          <w:sz w:val="28"/>
        </w:rPr>
      </w:pPr>
      <w:r w:rsidRPr="00D0735A">
        <w:rPr>
          <w:color w:val="243A65" w:themeColor="accent1" w:themeShade="BF"/>
          <w:sz w:val="28"/>
        </w:rPr>
        <w:t>Lausuntoyhteenveto</w:t>
      </w:r>
      <w:bookmarkEnd w:id="0"/>
      <w:bookmarkEnd w:id="1"/>
    </w:p>
    <w:p w:rsidR="00ED7057" w:rsidRPr="00ED7057" w:rsidRDefault="00ED7057" w:rsidP="00ED7057">
      <w:pPr>
        <w:pStyle w:val="VMOtsikko1"/>
        <w:ind w:right="305"/>
        <w:jc w:val="center"/>
        <w:rPr>
          <w:sz w:val="22"/>
        </w:rPr>
      </w:pPr>
      <w:bookmarkStart w:id="2" w:name="_Toc493863011"/>
      <w:bookmarkStart w:id="3" w:name="_Toc493863228"/>
      <w:r w:rsidRPr="00ED7057">
        <w:rPr>
          <w:sz w:val="22"/>
        </w:rPr>
        <w:t>luonnoksesta hallituksen esitykseksi eduskunnalle laiksi sijoituspalvelulain muuttamisesta, laiksi kaupankäynnistä rahoitusvälineillä ja eräiksi niihin liittyviksi laeiksi</w:t>
      </w:r>
      <w:bookmarkEnd w:id="2"/>
      <w:bookmarkEnd w:id="3"/>
    </w:p>
    <w:p w:rsidR="00571769" w:rsidRDefault="00571769" w:rsidP="00DF1954">
      <w:pPr>
        <w:pStyle w:val="VMleipteksti"/>
      </w:pPr>
    </w:p>
    <w:p w:rsidR="009A05EC" w:rsidRDefault="00ED7057" w:rsidP="00C054D3">
      <w:r>
        <w:br w:type="page"/>
      </w:r>
      <w:bookmarkStart w:id="4" w:name="_Toc493863012"/>
    </w:p>
    <w:bookmarkStart w:id="5" w:name="_Toc493863229" w:displacedByCustomXml="next"/>
    <w:sdt>
      <w:sdtPr>
        <w:rPr>
          <w:rFonts w:asciiTheme="minorHAnsi" w:eastAsia="Times New Roman" w:hAnsiTheme="minorHAnsi" w:cstheme="minorHAnsi"/>
          <w:b w:val="0"/>
          <w:bCs w:val="0"/>
          <w:color w:val="auto"/>
          <w:sz w:val="21"/>
          <w:szCs w:val="21"/>
        </w:rPr>
        <w:id w:val="-2011739797"/>
        <w:docPartObj>
          <w:docPartGallery w:val="Table of Contents"/>
          <w:docPartUnique/>
        </w:docPartObj>
      </w:sdtPr>
      <w:sdtEndPr/>
      <w:sdtContent>
        <w:p w:rsidR="00FF4894" w:rsidRDefault="00FF4894">
          <w:pPr>
            <w:pStyle w:val="Sisllysluettelonotsikko"/>
          </w:pPr>
          <w:r>
            <w:t>Sisällysluettelo</w:t>
          </w:r>
        </w:p>
        <w:p w:rsidR="00FF4894" w:rsidRDefault="00FF4894" w:rsidP="00FF4894">
          <w:pPr>
            <w:pStyle w:val="Sisluet1"/>
            <w:ind w:right="-2"/>
          </w:pPr>
          <w:r w:rsidRPr="00FF4894">
            <w:rPr>
              <w:b/>
              <w:bCs/>
            </w:rPr>
            <w:t>TIIVISTELMÄ</w:t>
          </w:r>
          <w:r>
            <w:ptab w:relativeTo="margin" w:alignment="right" w:leader="dot"/>
          </w:r>
          <w:r>
            <w:rPr>
              <w:b/>
              <w:bCs/>
            </w:rPr>
            <w:t>3</w:t>
          </w:r>
        </w:p>
        <w:p w:rsidR="00FF4894" w:rsidRDefault="00FF4894" w:rsidP="00FF4894">
          <w:pPr>
            <w:pStyle w:val="Sisluet1"/>
            <w:ind w:right="-2"/>
          </w:pPr>
          <w:r w:rsidRPr="00FF4894">
            <w:rPr>
              <w:b/>
              <w:bCs/>
            </w:rPr>
            <w:t>1 JOHDANTO</w:t>
          </w:r>
          <w:r>
            <w:ptab w:relativeTo="margin" w:alignment="right" w:leader="dot"/>
          </w:r>
          <w:r>
            <w:rPr>
              <w:b/>
              <w:bCs/>
            </w:rPr>
            <w:t>4</w:t>
          </w:r>
        </w:p>
        <w:p w:rsidR="00FF4894" w:rsidRDefault="00FF4894">
          <w:pPr>
            <w:pStyle w:val="Sisluet2"/>
            <w:ind w:left="216"/>
          </w:pPr>
          <w:r>
            <w:t xml:space="preserve">1.1 Yleistä </w:t>
          </w:r>
          <w:r>
            <w:ptab w:relativeTo="margin" w:alignment="right" w:leader="dot"/>
          </w:r>
          <w:r>
            <w:t>4</w:t>
          </w:r>
        </w:p>
        <w:p w:rsidR="00FF4894" w:rsidRDefault="00FF4894" w:rsidP="00FF4894">
          <w:pPr>
            <w:pStyle w:val="Sisluet2"/>
            <w:ind w:left="216"/>
          </w:pPr>
          <w:r>
            <w:t xml:space="preserve">1.2 Lausunnonantajat </w:t>
          </w:r>
          <w:r>
            <w:ptab w:relativeTo="margin" w:alignment="right" w:leader="dot"/>
          </w:r>
          <w:r>
            <w:t>5</w:t>
          </w:r>
        </w:p>
        <w:p w:rsidR="00FF4894" w:rsidRPr="00FF4894" w:rsidRDefault="00FF4894" w:rsidP="00FF4894">
          <w:pPr>
            <w:pStyle w:val="Sisluet2"/>
            <w:ind w:left="216"/>
          </w:pPr>
          <w:r>
            <w:t xml:space="preserve">1.3 Keskeisiä huomioita lausuntopalautteesta </w:t>
          </w:r>
          <w:r>
            <w:ptab w:relativeTo="margin" w:alignment="right" w:leader="dot"/>
          </w:r>
          <w:r>
            <w:t>6</w:t>
          </w:r>
        </w:p>
        <w:p w:rsidR="00FF4894" w:rsidRDefault="00FF4894" w:rsidP="00FF4894">
          <w:pPr>
            <w:pStyle w:val="Sisluet1"/>
            <w:ind w:right="-2"/>
          </w:pPr>
          <w:r w:rsidRPr="00FF4894">
            <w:rPr>
              <w:b/>
              <w:bCs/>
            </w:rPr>
            <w:t>2 LAUSUNNONANTAJIEN YLEINEN PALAUTE</w:t>
          </w:r>
          <w:r>
            <w:ptab w:relativeTo="margin" w:alignment="right" w:leader="dot"/>
          </w:r>
          <w:r>
            <w:rPr>
              <w:b/>
              <w:bCs/>
            </w:rPr>
            <w:t>8</w:t>
          </w:r>
        </w:p>
        <w:p w:rsidR="00FF4894" w:rsidRDefault="00FF4894" w:rsidP="00FF4894">
          <w:pPr>
            <w:pStyle w:val="Sisluet2"/>
            <w:ind w:left="216"/>
          </w:pPr>
          <w:r>
            <w:t xml:space="preserve">2.1 Yleisesti esitysluonnoksesta </w:t>
          </w:r>
          <w:r>
            <w:ptab w:relativeTo="margin" w:alignment="right" w:leader="dot"/>
          </w:r>
          <w:r>
            <w:t>8</w:t>
          </w:r>
        </w:p>
        <w:p w:rsidR="00FF4894" w:rsidRDefault="00FF4894" w:rsidP="00FF4894">
          <w:pPr>
            <w:pStyle w:val="Sisluet2"/>
            <w:ind w:left="216"/>
          </w:pPr>
          <w:r>
            <w:t xml:space="preserve">2.2 Lisäehdotukset ja liityntä muihin hankkeisiin </w:t>
          </w:r>
          <w:r>
            <w:ptab w:relativeTo="margin" w:alignment="right" w:leader="dot"/>
          </w:r>
          <w:r>
            <w:t>11</w:t>
          </w:r>
        </w:p>
        <w:p w:rsidR="00FF4894" w:rsidRPr="00FF4894" w:rsidRDefault="00FF4894" w:rsidP="00FF4894"/>
        <w:p w:rsidR="00FF4894" w:rsidRDefault="00FF4894" w:rsidP="00FF4894">
          <w:pPr>
            <w:pStyle w:val="Sisluet1"/>
            <w:ind w:right="-2"/>
          </w:pPr>
          <w:r w:rsidRPr="00FF4894">
            <w:rPr>
              <w:b/>
              <w:bCs/>
            </w:rPr>
            <w:t>3 LAUSUNNONANTAJIEN LAKIKOHTAINEN PALAUTE</w:t>
          </w:r>
          <w:r>
            <w:ptab w:relativeTo="margin" w:alignment="right" w:leader="dot"/>
          </w:r>
          <w:r w:rsidR="00D0735A">
            <w:rPr>
              <w:b/>
              <w:bCs/>
            </w:rPr>
            <w:t>12</w:t>
          </w:r>
        </w:p>
        <w:p w:rsidR="00FF4894" w:rsidRDefault="00FF4894" w:rsidP="00FF4894">
          <w:pPr>
            <w:pStyle w:val="Sisluet2"/>
            <w:ind w:left="216"/>
          </w:pPr>
          <w:r>
            <w:t xml:space="preserve">3.1 Laki sijoituspalvelulain muuttamisesta </w:t>
          </w:r>
          <w:r>
            <w:ptab w:relativeTo="margin" w:alignment="right" w:leader="dot"/>
          </w:r>
          <w:r w:rsidR="00D0735A">
            <w:t>12</w:t>
          </w:r>
        </w:p>
        <w:p w:rsidR="00FF4894" w:rsidRDefault="00FF4894" w:rsidP="00FF4894">
          <w:pPr>
            <w:pStyle w:val="Sisluet2"/>
            <w:ind w:left="216"/>
          </w:pPr>
          <w:r>
            <w:t xml:space="preserve">3.2 Laki kaupankäynnistä rahoitusvälineillä </w:t>
          </w:r>
          <w:r>
            <w:ptab w:relativeTo="margin" w:alignment="right" w:leader="dot"/>
          </w:r>
          <w:r w:rsidR="00D0735A">
            <w:t>20</w:t>
          </w:r>
        </w:p>
        <w:p w:rsidR="00FF4894" w:rsidRDefault="00FF4894" w:rsidP="00FF4894">
          <w:pPr>
            <w:pStyle w:val="Sisluet2"/>
            <w:ind w:left="216"/>
          </w:pPr>
          <w:r>
            <w:t xml:space="preserve">3.3 Laki Finanssivalvonnasta annetun lain muuttamisesta </w:t>
          </w:r>
          <w:r>
            <w:ptab w:relativeTo="margin" w:alignment="right" w:leader="dot"/>
          </w:r>
          <w:r w:rsidR="00D0735A">
            <w:t>22</w:t>
          </w:r>
        </w:p>
        <w:p w:rsidR="00FF4894" w:rsidRDefault="00FF4894" w:rsidP="00FF4894">
          <w:pPr>
            <w:pStyle w:val="Sisluet2"/>
            <w:ind w:left="216"/>
          </w:pPr>
          <w:r w:rsidRPr="00FF4894">
            <w:t xml:space="preserve">3.4 Laki joukkorahoituslain muuttamisesta </w:t>
          </w:r>
          <w:r>
            <w:ptab w:relativeTo="margin" w:alignment="right" w:leader="dot"/>
          </w:r>
          <w:r w:rsidR="00D0735A">
            <w:t>25</w:t>
          </w:r>
        </w:p>
        <w:p w:rsidR="00FF4894" w:rsidRPr="00FF4894" w:rsidRDefault="00FF4894" w:rsidP="00FF4894"/>
        <w:p w:rsidR="00FF4894" w:rsidRDefault="00FF4894" w:rsidP="00FF4894"/>
        <w:p w:rsidR="00FF4894" w:rsidRDefault="00BE36B5" w:rsidP="00FF4894"/>
      </w:sdtContent>
    </w:sdt>
    <w:p w:rsidR="00FF4894" w:rsidRDefault="00FF4894">
      <w:pPr>
        <w:rPr>
          <w:b/>
          <w:bCs/>
          <w:kern w:val="32"/>
          <w:szCs w:val="32"/>
        </w:rPr>
      </w:pPr>
      <w:r>
        <w:br w:type="page"/>
      </w:r>
    </w:p>
    <w:p w:rsidR="00ED7057" w:rsidRDefault="00ED7057" w:rsidP="00F879A0">
      <w:pPr>
        <w:pStyle w:val="VMOtsikko1"/>
        <w:jc w:val="both"/>
      </w:pPr>
      <w:r>
        <w:lastRenderedPageBreak/>
        <w:t>TIIVISTELMÄ</w:t>
      </w:r>
      <w:bookmarkEnd w:id="4"/>
      <w:bookmarkEnd w:id="5"/>
      <w:r>
        <w:t xml:space="preserve"> </w:t>
      </w:r>
    </w:p>
    <w:p w:rsidR="00ED7057" w:rsidRDefault="00ED7057" w:rsidP="00F879A0">
      <w:pPr>
        <w:pStyle w:val="VMNormaaliSisentmtn"/>
        <w:jc w:val="both"/>
      </w:pPr>
    </w:p>
    <w:p w:rsidR="00ED7057" w:rsidRDefault="00ED7057" w:rsidP="00C16CD4">
      <w:pPr>
        <w:pStyle w:val="VMNormaaliSisentmtn"/>
        <w:ind w:left="1418"/>
        <w:jc w:val="both"/>
      </w:pPr>
      <w:r>
        <w:t>Valtiovarainministeriön rahoitusmarkkinaosasto</w:t>
      </w:r>
      <w:r w:rsidR="0030663A">
        <w:t xml:space="preserve"> julkaisi 28.4.2017 </w:t>
      </w:r>
      <w:r>
        <w:t>ministeriön verkkosivuilla virkatyönä valmistellun luonnoksen hallituksen esitykseksi eduskunnalle laiksi sijoituspalv</w:t>
      </w:r>
      <w:r>
        <w:t>e</w:t>
      </w:r>
      <w:r>
        <w:t>lulain muuttamisesta, laiksi kaupankäynnistä rahoitusvälineillä ja eräiksi niihin liittyviksi l</w:t>
      </w:r>
      <w:r>
        <w:t>a</w:t>
      </w:r>
      <w:r>
        <w:t>eiksi. Ehdotuksella on tarkoitus panna täytäntöön Euroopan unionin rahoitusvälineiden markkinat -direktiivi sekä tehdä tarvittavat toimenpiteet Euroopan unionin rahoitusväline</w:t>
      </w:r>
      <w:r>
        <w:t>i</w:t>
      </w:r>
      <w:r>
        <w:t xml:space="preserve">den markkinat -asetuksen säännösten soveltamiseksi. Lausuntopyyntö lähetettiin lisäksi 28.4.2017 lausuntopyynnössä tarkemmin yksilöidyille </w:t>
      </w:r>
      <w:r w:rsidR="001B0579">
        <w:t>vastaanottajille</w:t>
      </w:r>
      <w:r>
        <w:t>. Lausuntoaika päättyi 9.6.2017. Tietyistä esitysluonnokseen sisältyvistä lakiehdotuksista, erityisesti joukkoraho</w:t>
      </w:r>
      <w:r>
        <w:t>i</w:t>
      </w:r>
      <w:r>
        <w:t xml:space="preserve">tuslakiin ehdotetuista muutoksista, järjestettiin myös erillinen </w:t>
      </w:r>
      <w:r w:rsidR="001B0579">
        <w:t>kuulemistilaisuus 29.5.2017.</w:t>
      </w:r>
    </w:p>
    <w:p w:rsidR="0030663A" w:rsidRDefault="0030663A" w:rsidP="00C16CD4">
      <w:pPr>
        <w:pStyle w:val="VMNormaaliSisentmtn"/>
        <w:ind w:left="1418"/>
        <w:jc w:val="both"/>
      </w:pPr>
    </w:p>
    <w:p w:rsidR="00ED7057" w:rsidRDefault="00ED7057" w:rsidP="00C16CD4">
      <w:pPr>
        <w:pStyle w:val="VMNormaaliSisentmtn"/>
        <w:ind w:left="1418"/>
        <w:jc w:val="both"/>
      </w:pPr>
      <w:r>
        <w:t>Valtiovarainministeriö pyysi lausuntoa yhteensä 66 viranomaiselta ja yhteisöltä. Lausunt</w:t>
      </w:r>
      <w:r>
        <w:t>o</w:t>
      </w:r>
      <w:r>
        <w:t xml:space="preserve">pyyntöön vastasi 41 viranomaista tai yhteisöä, joista 35 antoi lausunnon. </w:t>
      </w:r>
    </w:p>
    <w:p w:rsidR="00ED7057" w:rsidRDefault="00ED7057" w:rsidP="00C16CD4">
      <w:pPr>
        <w:pStyle w:val="VMNormaaliSisentmtn"/>
        <w:ind w:left="1418"/>
        <w:jc w:val="both"/>
      </w:pPr>
    </w:p>
    <w:p w:rsidR="00ED7057" w:rsidRDefault="00ED7057" w:rsidP="00C16CD4">
      <w:pPr>
        <w:pStyle w:val="VMNormaaliSisentmtn"/>
        <w:ind w:left="1418"/>
        <w:jc w:val="both"/>
      </w:pPr>
      <w:r>
        <w:t>Lausunnonantajat pit</w:t>
      </w:r>
      <w:r w:rsidR="009D1253">
        <w:t>ä</w:t>
      </w:r>
      <w:r>
        <w:t>vät ministeriön ehdotusta pääosin kannatettavana. Ehdotettuja mu</w:t>
      </w:r>
      <w:r>
        <w:t>u</w:t>
      </w:r>
      <w:r>
        <w:t>toksia pidet</w:t>
      </w:r>
      <w:r w:rsidR="009D1253">
        <w:t>ää</w:t>
      </w:r>
      <w:r>
        <w:t>n tarpeellisina, ja useat lausunnonantajat ilmoitt</w:t>
      </w:r>
      <w:r w:rsidR="009D1253">
        <w:t>avat</w:t>
      </w:r>
      <w:r>
        <w:t xml:space="preserve"> kannattavansa sääntelyn tavoitteita, </w:t>
      </w:r>
      <w:r w:rsidR="00CF793A">
        <w:t>kuten</w:t>
      </w:r>
      <w:r>
        <w:t xml:space="preserve"> kaupankäynnin läpinäkyvyyden ja luotettavuuden lisäämistä. Toisaalta sääntelyä pidet</w:t>
      </w:r>
      <w:r w:rsidR="009D1253">
        <w:t>ään</w:t>
      </w:r>
      <w:r w:rsidR="00F3530E">
        <w:t xml:space="preserve"> myös</w:t>
      </w:r>
      <w:r w:rsidR="00CF793A">
        <w:t xml:space="preserve"> yksityiskohtaisena</w:t>
      </w:r>
      <w:r w:rsidR="00F3530E">
        <w:t>,</w:t>
      </w:r>
      <w:r>
        <w:t xml:space="preserve"> monimutkaisena ja raskaana. </w:t>
      </w:r>
    </w:p>
    <w:p w:rsidR="00ED7057" w:rsidRDefault="00ED7057" w:rsidP="00C16CD4">
      <w:pPr>
        <w:pStyle w:val="VMNormaaliSisentmtn"/>
        <w:ind w:left="1418"/>
        <w:jc w:val="both"/>
      </w:pPr>
    </w:p>
    <w:p w:rsidR="00ED7057" w:rsidRDefault="00ED7057" w:rsidP="00C16CD4">
      <w:pPr>
        <w:pStyle w:val="VMNormaaliSisentmtn"/>
        <w:ind w:left="1418"/>
        <w:jc w:val="both"/>
      </w:pPr>
      <w:r>
        <w:t>Suuri osa lausunnonantajista pit</w:t>
      </w:r>
      <w:r w:rsidR="009D1253">
        <w:t>ää</w:t>
      </w:r>
      <w:r>
        <w:t xml:space="preserve"> esitysluonnosta pääosin onnistuneena. Lausunnonant</w:t>
      </w:r>
      <w:r>
        <w:t>a</w:t>
      </w:r>
      <w:r>
        <w:t>jat kiitt</w:t>
      </w:r>
      <w:r w:rsidR="009D1253">
        <w:t>ävät</w:t>
      </w:r>
      <w:r>
        <w:t xml:space="preserve"> valittua lähtökohtaa panna direktiivi täytäntöön ilman kansallista lisäsääntelyä. Esitysluonnosta pidet</w:t>
      </w:r>
      <w:r w:rsidR="009D1253">
        <w:t>ää</w:t>
      </w:r>
      <w:r>
        <w:t xml:space="preserve">n myös hyvin valmisteltuna.  </w:t>
      </w:r>
    </w:p>
    <w:p w:rsidR="00ED7057" w:rsidRDefault="00ED7057" w:rsidP="00C16CD4">
      <w:pPr>
        <w:pStyle w:val="VMNormaaliSisentmtn"/>
        <w:ind w:left="1418"/>
        <w:jc w:val="both"/>
      </w:pPr>
    </w:p>
    <w:p w:rsidR="00ED7057" w:rsidRDefault="00ED7057" w:rsidP="00C16CD4">
      <w:pPr>
        <w:pStyle w:val="VMNormaaliSisentmtn"/>
        <w:ind w:left="1418"/>
        <w:jc w:val="both"/>
      </w:pPr>
      <w:r>
        <w:t>Toisaalta lausunnoissa toivot</w:t>
      </w:r>
      <w:r w:rsidR="009D1253">
        <w:t>aa</w:t>
      </w:r>
      <w:r>
        <w:t>n kattavampaa vaikutusten arviointia, kansainvälistä verta</w:t>
      </w:r>
      <w:r>
        <w:t>i</w:t>
      </w:r>
      <w:r>
        <w:t>lua sekä toimialan laajempaa kuulemista valmistelussa. Sääntelyltä toivot</w:t>
      </w:r>
      <w:r w:rsidR="009D1253">
        <w:t>aa</w:t>
      </w:r>
      <w:r>
        <w:t>n ennakoit</w:t>
      </w:r>
      <w:r>
        <w:t>a</w:t>
      </w:r>
      <w:r>
        <w:t>vuutta, ja joukkorahoituslakiin ehdotettujen muutosten arvioi</w:t>
      </w:r>
      <w:r w:rsidR="009D1253">
        <w:t>daan</w:t>
      </w:r>
      <w:r>
        <w:t xml:space="preserve"> olevan haitallisia toim</w:t>
      </w:r>
      <w:r>
        <w:t>i</w:t>
      </w:r>
      <w:r>
        <w:t>alalle.</w:t>
      </w:r>
      <w:r w:rsidR="00F3530E">
        <w:t xml:space="preserve"> Osa lausunnonantajista katsoo direktiivin mahdollistavan myös erilaisia tulkintoja joukkorahoituslain muutostarpeista.</w:t>
      </w:r>
      <w:r>
        <w:t xml:space="preserve"> Osa lausunnonantajista myös toivo</w:t>
      </w:r>
      <w:r w:rsidR="009D1253">
        <w:t>o</w:t>
      </w:r>
      <w:r>
        <w:t>, ettei direktiivin mahdollistamaa kevyempää sääntelyä oteta kaikilta osin täysimääräisesti käyttöön</w:t>
      </w:r>
      <w:r w:rsidR="00F3530E">
        <w:t xml:space="preserve"> sijoitt</w:t>
      </w:r>
      <w:r w:rsidR="00F3530E">
        <w:t>a</w:t>
      </w:r>
      <w:r w:rsidR="00F3530E">
        <w:t>jansuojanäkökohtiin vedoten</w:t>
      </w:r>
      <w:r>
        <w:t xml:space="preserve">. </w:t>
      </w:r>
    </w:p>
    <w:p w:rsidR="00ED7057" w:rsidRDefault="00ED7057">
      <w:pPr>
        <w:rPr>
          <w:b/>
          <w:bCs/>
          <w:kern w:val="32"/>
          <w:szCs w:val="32"/>
        </w:rPr>
      </w:pPr>
      <w:r>
        <w:br w:type="page"/>
      </w:r>
    </w:p>
    <w:p w:rsidR="00ED7057" w:rsidRDefault="00ED7057" w:rsidP="00F879A0">
      <w:pPr>
        <w:pStyle w:val="VMOtsikko1"/>
        <w:jc w:val="both"/>
      </w:pPr>
      <w:bookmarkStart w:id="6" w:name="_Toc493863013"/>
      <w:bookmarkStart w:id="7" w:name="_Toc493863230"/>
      <w:r>
        <w:t>1 JOHDANTO</w:t>
      </w:r>
      <w:bookmarkEnd w:id="6"/>
      <w:bookmarkEnd w:id="7"/>
    </w:p>
    <w:p w:rsidR="00ED7057" w:rsidRDefault="00ED7057" w:rsidP="00F879A0">
      <w:pPr>
        <w:pStyle w:val="VMOtsikko2"/>
        <w:jc w:val="both"/>
      </w:pPr>
      <w:r>
        <w:t>1.1 Yleistä</w:t>
      </w:r>
    </w:p>
    <w:p w:rsidR="00ED7057" w:rsidRDefault="00ED7057" w:rsidP="00F879A0">
      <w:pPr>
        <w:pStyle w:val="VMNormaaliSisentmtn"/>
        <w:jc w:val="both"/>
      </w:pPr>
    </w:p>
    <w:p w:rsidR="00ED7057" w:rsidRDefault="00ED7057" w:rsidP="00C16CD4">
      <w:pPr>
        <w:pStyle w:val="VMNormaaliSisentmtn"/>
        <w:ind w:left="1418"/>
        <w:jc w:val="both"/>
      </w:pPr>
      <w:r>
        <w:t xml:space="preserve">Valtiovarainministeriön rahoitusmarkkinaosastolla on laadittu virkatyönä luonnos hallituksen esitykseksi eduskunnalle laiksi sijoituspalvelulain muuttamisesta, laiksi kaupankäynnistä rahoitusvälineillä ja eräiksi niihin liittyviksi laeiksi, jäljempänä </w:t>
      </w:r>
      <w:r w:rsidRPr="00F076AF">
        <w:rPr>
          <w:i/>
        </w:rPr>
        <w:t>esitysluonnos</w:t>
      </w:r>
      <w:r>
        <w:t xml:space="preserve"> (lainsäädänt</w:t>
      </w:r>
      <w:r>
        <w:t>ö</w:t>
      </w:r>
      <w:r>
        <w:t>hanke VM087:00/2015). Esitysluonnos lähetettiin lausunnoille 28.4.2017 lausuntopyynnö</w:t>
      </w:r>
      <w:r>
        <w:t>s</w:t>
      </w:r>
      <w:r>
        <w:t>sä tarkemmin yksilöidyille vastaanottajille, minkä lisäksi lausuntopyyntö julkaistiin valtiov</w:t>
      </w:r>
      <w:r>
        <w:t>a</w:t>
      </w:r>
      <w:r>
        <w:t xml:space="preserve">rainministeriön verkkosivuilla 28.4.2017. Lausuntoaika asiassa päättyi 9.6.2017. Tietyistä esitysluonnokseen sisältyvistä lakiehdotuksista, erityisesti joukkorahoituslakiin ehdotetuista muutoksista, järjestettiin myös erillinen kuulemistilaisuus valtiovarainministeriössä 29.5.2017.  </w:t>
      </w:r>
    </w:p>
    <w:p w:rsidR="00ED7057" w:rsidRDefault="00ED7057" w:rsidP="00C16CD4">
      <w:pPr>
        <w:pStyle w:val="VMNormaaliSisentmtn"/>
        <w:ind w:left="1418"/>
        <w:jc w:val="both"/>
      </w:pPr>
    </w:p>
    <w:p w:rsidR="00ED7057" w:rsidRDefault="00ED7057" w:rsidP="00C16CD4">
      <w:pPr>
        <w:pStyle w:val="VMNormaaliSisentmtn"/>
        <w:ind w:left="1418"/>
        <w:jc w:val="both"/>
      </w:pPr>
      <w:r>
        <w:t>Esitysluonnoksella on tarkoitus panna täytäntöön rahoitusvälineiden markkinoista sekä d</w:t>
      </w:r>
      <w:r>
        <w:t>i</w:t>
      </w:r>
      <w:r>
        <w:t xml:space="preserve">rektiivin 2002/92/EY ja direktiivin 2011/61/EU muuttamisesta annettu Euroopan parlamentin ja neuvoston direktiivi 2014/65/EU (jäljempänä </w:t>
      </w:r>
      <w:r w:rsidRPr="00ED7057">
        <w:rPr>
          <w:i/>
        </w:rPr>
        <w:t>MIFID II</w:t>
      </w:r>
      <w:r>
        <w:t xml:space="preserve"> tai </w:t>
      </w:r>
      <w:r w:rsidRPr="00ED7057">
        <w:rPr>
          <w:i/>
        </w:rPr>
        <w:t>direktiiv</w:t>
      </w:r>
      <w:r>
        <w:t>i) sekä tehdä tarvittavat toimenpiteet rahoitusvälineiden markkinoista sekä asetuksen (EU) N:o 648/2012 muuttam</w:t>
      </w:r>
      <w:r>
        <w:t>i</w:t>
      </w:r>
      <w:r>
        <w:t>sesta annetun Euroopan parlamentin ja neuvoston asetuksen (EU) N:o 600/2014 (jälje</w:t>
      </w:r>
      <w:r>
        <w:t>m</w:t>
      </w:r>
      <w:r>
        <w:t xml:space="preserve">pänä </w:t>
      </w:r>
      <w:r w:rsidRPr="00ED7057">
        <w:rPr>
          <w:i/>
        </w:rPr>
        <w:t>MIFIR</w:t>
      </w:r>
      <w:r>
        <w:t xml:space="preserve"> tai </w:t>
      </w:r>
      <w:r w:rsidRPr="00ED7057">
        <w:rPr>
          <w:i/>
        </w:rPr>
        <w:t>asetus</w:t>
      </w:r>
      <w:r>
        <w:t>) säännösten soveltamiseksi 3.1.2018 alkaen. Esitysluonnoksen lä</w:t>
      </w:r>
      <w:r>
        <w:t>h</w:t>
      </w:r>
      <w:r>
        <w:t>tökohtana on muutamaa poikkeusta lukuun ottamatta säätää MIFID II:n mukaisista velvoll</w:t>
      </w:r>
      <w:r>
        <w:t>i</w:t>
      </w:r>
      <w:r>
        <w:t>suuksista ilman, että annettaisiin direktiiviin perustumatonta kansallista lisäsääntelyä. D</w:t>
      </w:r>
      <w:r>
        <w:t>i</w:t>
      </w:r>
      <w:r>
        <w:t xml:space="preserve">rektiivin säännökset on pyritty panemaan täytäntöön direktiivin mukaisina, jotta voitaisiin välttää kansallisia tulkinnanvaraisuuksia sekä mahdollisia ristiriitoja Euroopan komission ja Euroopan arvopaperimarkkinaviranomaisen (jäljempänä </w:t>
      </w:r>
      <w:r w:rsidRPr="00ED7057">
        <w:rPr>
          <w:i/>
        </w:rPr>
        <w:t>ESMA</w:t>
      </w:r>
      <w:r>
        <w:t>) antaman laajan ja yksityi</w:t>
      </w:r>
      <w:r>
        <w:t>s</w:t>
      </w:r>
      <w:r>
        <w:t xml:space="preserve">kohtaisen alemmanasteisen sääntelyn ja ohjeistuksen kanssa.  </w:t>
      </w:r>
    </w:p>
    <w:p w:rsidR="00ED7057" w:rsidRDefault="00ED7057" w:rsidP="00C16CD4">
      <w:pPr>
        <w:pStyle w:val="VMNormaaliSisentmtn"/>
        <w:ind w:left="1418"/>
        <w:jc w:val="both"/>
      </w:pPr>
    </w:p>
    <w:p w:rsidR="00ED7057" w:rsidRDefault="00F076AF" w:rsidP="00C16CD4">
      <w:pPr>
        <w:pStyle w:val="VMNormaaliSisentmtn"/>
        <w:ind w:left="1418"/>
        <w:jc w:val="both"/>
      </w:pPr>
      <w:r>
        <w:t>Esitysluonnoksessa ehdotetaan, että s</w:t>
      </w:r>
      <w:r w:rsidR="00ED7057">
        <w:t>ijoituspalvelulakiin (747/2012) lisättäisiin MIFID II:n edellyttämät säännökset lain soveltamisalasta ja sitä koskevista poikkeuksista sekä toimil</w:t>
      </w:r>
      <w:r w:rsidR="00ED7057">
        <w:t>u</w:t>
      </w:r>
      <w:r w:rsidR="00ED7057">
        <w:t>van myöntämistä ja toiminnan harjoittamista koskevista edellytyksistä, kuten uudet sää</w:t>
      </w:r>
      <w:r w:rsidR="00ED7057">
        <w:t>n</w:t>
      </w:r>
      <w:r w:rsidR="00ED7057">
        <w:t>nökset algoritmisesta kaupankäynnistä, sijoituspalveluyritysten tuotehyväksyntämenettely</w:t>
      </w:r>
      <w:r w:rsidR="00ED7057">
        <w:t>s</w:t>
      </w:r>
      <w:r w:rsidR="00ED7057">
        <w:t>tä ja kannustimista. Asiakasvarojen säilyttämistä koskevaan lukuun ehdotetaan tehtäväksi sekä direktiivin edellyttämiä täsmennyksiä että direktiivin mahdollistavaa kansallista säänt</w:t>
      </w:r>
      <w:r w:rsidR="00ED7057">
        <w:t>e</w:t>
      </w:r>
      <w:r w:rsidR="00ED7057">
        <w:t>lyä, jolla vahvistetaan sijoittajansuojaa suhteessa sijoituspalveluyritykseen.</w:t>
      </w:r>
    </w:p>
    <w:p w:rsidR="00ED7057" w:rsidRDefault="00ED7057" w:rsidP="00C16CD4">
      <w:pPr>
        <w:pStyle w:val="VMNormaaliSisentmtn"/>
        <w:ind w:left="1418"/>
        <w:jc w:val="both"/>
      </w:pPr>
    </w:p>
    <w:p w:rsidR="00ED7057" w:rsidRDefault="00F076AF" w:rsidP="00C16CD4">
      <w:pPr>
        <w:pStyle w:val="VMNormaaliSisentmtn"/>
        <w:ind w:left="1418"/>
        <w:jc w:val="both"/>
      </w:pPr>
      <w:r>
        <w:t>V</w:t>
      </w:r>
      <w:r w:rsidR="00ED7057">
        <w:t xml:space="preserve">oimassa oleva laki kaupankäynnistä rahoitusvälineillä (748/2012) </w:t>
      </w:r>
      <w:r>
        <w:t>ehdotetaan kumott</w:t>
      </w:r>
      <w:r>
        <w:t>a</w:t>
      </w:r>
      <w:r>
        <w:t>vaksi</w:t>
      </w:r>
      <w:r w:rsidR="00ED7057">
        <w:t xml:space="preserve"> ja korva</w:t>
      </w:r>
      <w:r>
        <w:t>ttavaksi</w:t>
      </w:r>
      <w:r w:rsidR="00ED7057">
        <w:t xml:space="preserve"> uudella samannimisellä lailla MIFID II:n edellyttämien muutostarpe</w:t>
      </w:r>
      <w:r w:rsidR="00ED7057">
        <w:t>i</w:t>
      </w:r>
      <w:r w:rsidR="00ED7057">
        <w:t>den vuoksi. Kaupankäynnistä rahoitusvälineillä annettavassa uudessa laissa säädettäisiin kaupankäyntijärjestelmien ylläpitäjistä, uudesta organisoidusta kaupankäyn</w:t>
      </w:r>
      <w:r>
        <w:t xml:space="preserve">tijärjestelmästä, </w:t>
      </w:r>
      <w:r w:rsidR="00ED7057">
        <w:t>pk-yrityst</w:t>
      </w:r>
      <w:r>
        <w:t xml:space="preserve">en </w:t>
      </w:r>
      <w:proofErr w:type="spellStart"/>
      <w:r>
        <w:t>kasvumarkkinasta</w:t>
      </w:r>
      <w:proofErr w:type="spellEnd"/>
      <w:r>
        <w:t xml:space="preserve">, </w:t>
      </w:r>
      <w:r w:rsidR="00ED7057">
        <w:t>positiolimiiteistä, hyödykejohdannaispositioiden hoidon va</w:t>
      </w:r>
      <w:r w:rsidR="00ED7057">
        <w:t>l</w:t>
      </w:r>
      <w:r>
        <w:t xml:space="preserve">vontatoimenpiteistä, </w:t>
      </w:r>
      <w:r w:rsidR="00ED7057">
        <w:t xml:space="preserve">raportoinnista sekä raportointipalveluista ja niiden tarjoajista. </w:t>
      </w:r>
    </w:p>
    <w:p w:rsidR="00F076AF" w:rsidRDefault="00F076AF" w:rsidP="00C16CD4">
      <w:pPr>
        <w:pStyle w:val="VMNormaaliSisentmtn"/>
        <w:ind w:left="1418"/>
        <w:jc w:val="both"/>
      </w:pPr>
    </w:p>
    <w:p w:rsidR="00F076AF" w:rsidRDefault="00F076AF" w:rsidP="00F076AF">
      <w:pPr>
        <w:pStyle w:val="VMNormaaliSisentmtn"/>
        <w:ind w:left="1418"/>
        <w:jc w:val="both"/>
      </w:pPr>
      <w:r>
        <w:t>Finanssivalvonnasta annettuun lakiin (878/2008), kaupankäynnistä rahoitusvälineillä anne</w:t>
      </w:r>
      <w:r>
        <w:t>t</w:t>
      </w:r>
      <w:r>
        <w:t>tavaan uuteen lakiin sekä sijoituspalvelulakiin lisättäisiin direktiivissä edellytetyt säännökset hallinnollisista seuraamuksista, minkä lisäksi Finanssivalvonnan käytössä olevan seura</w:t>
      </w:r>
      <w:r>
        <w:t>a</w:t>
      </w:r>
      <w:r>
        <w:t>musmaksun enimmäismääriä ehdotetaan korotettavaksi. Esitysluonnoksessa ehdotetaan myös yksinkertaistettavaksi Finanssivalvonnan päätösten muutoksenhakua koskevia sää</w:t>
      </w:r>
      <w:r>
        <w:t>n</w:t>
      </w:r>
      <w:r>
        <w:t xml:space="preserve">nöksiä siten, että Finanssivalvonnan määräämiin hallinnollisiin seuraamuksiin haettaisiin muutosta valittamalla hallinto-oikeuteen nykyisen markkinaoikeuden sijaan. </w:t>
      </w:r>
    </w:p>
    <w:p w:rsidR="00ED7057" w:rsidRDefault="00ED7057" w:rsidP="00C16CD4">
      <w:pPr>
        <w:pStyle w:val="VMNormaaliSisentmtn"/>
        <w:ind w:left="1418"/>
        <w:jc w:val="both"/>
      </w:pPr>
    </w:p>
    <w:p w:rsidR="00ED7057" w:rsidRDefault="00ED7057" w:rsidP="00F076AF">
      <w:pPr>
        <w:pStyle w:val="VMNormaaliSisentmtn"/>
        <w:ind w:left="1418"/>
        <w:jc w:val="both"/>
      </w:pPr>
      <w:r>
        <w:t>Joukkorahoituslakia (734/201</w:t>
      </w:r>
      <w:r w:rsidR="00F076AF">
        <w:t>6) ehdotetaan</w:t>
      </w:r>
      <w:r>
        <w:t xml:space="preserve"> muutettavaksi siten, että MIFID II:n mukainen toimilupavaatimus lisättäisiin sijoitusmuotoisen joukkorahoituksen välittäjälle. Kyseiseen toimintaan sovellettavia menettelytapasäännöksiä lisäksi täsmennettäisiin direktiivin edelly</w:t>
      </w:r>
      <w:r>
        <w:t>t</w:t>
      </w:r>
      <w:r>
        <w:t>tämällä tavalla.</w:t>
      </w:r>
    </w:p>
    <w:p w:rsidR="00ED7057" w:rsidRDefault="00ED7057" w:rsidP="00F879A0">
      <w:pPr>
        <w:pStyle w:val="VMNormaaliSisentmtn"/>
        <w:jc w:val="both"/>
      </w:pPr>
    </w:p>
    <w:p w:rsidR="00964164" w:rsidRDefault="00964164" w:rsidP="00F879A0">
      <w:pPr>
        <w:pStyle w:val="VMNormaaliSisentmtn"/>
        <w:jc w:val="both"/>
      </w:pPr>
    </w:p>
    <w:p w:rsidR="00ED7057" w:rsidRDefault="00ED7057" w:rsidP="00F879A0">
      <w:pPr>
        <w:pStyle w:val="VMOtsikko2"/>
        <w:jc w:val="both"/>
      </w:pPr>
      <w:r>
        <w:t>1.2 Lausunnonantajat</w:t>
      </w:r>
    </w:p>
    <w:p w:rsidR="00ED7057" w:rsidRDefault="00ED7057" w:rsidP="00F879A0">
      <w:pPr>
        <w:pStyle w:val="VMNormaaliSisentmtn"/>
        <w:jc w:val="both"/>
      </w:pPr>
    </w:p>
    <w:p w:rsidR="00ED7057" w:rsidRDefault="00ED7057" w:rsidP="00C16CD4">
      <w:pPr>
        <w:pStyle w:val="VMNormaaliSisentmtn"/>
        <w:ind w:left="1418"/>
        <w:jc w:val="both"/>
      </w:pPr>
      <w:r>
        <w:t xml:space="preserve">Valtiovarainministeriö pyysi yhteensä 66 viranomaiselta ja yhteisöltä lausuntoa esitys-luonnoksesta. </w:t>
      </w:r>
    </w:p>
    <w:p w:rsidR="00ED7057" w:rsidRDefault="00ED7057" w:rsidP="00C16CD4">
      <w:pPr>
        <w:pStyle w:val="VMNormaaliSisentmtn"/>
        <w:ind w:left="1418"/>
        <w:jc w:val="both"/>
      </w:pPr>
    </w:p>
    <w:p w:rsidR="00ED7057" w:rsidRDefault="00ED7057" w:rsidP="00C16CD4">
      <w:pPr>
        <w:pStyle w:val="VMNormaaliSisentmtn"/>
        <w:ind w:left="1418"/>
        <w:jc w:val="both"/>
      </w:pPr>
      <w:r>
        <w:t>Lausuntopyyntöön vastasi yhteensä 41 viranomaista tai yhteisöä. Niistä lausunnonantaji</w:t>
      </w:r>
      <w:r>
        <w:t>s</w:t>
      </w:r>
      <w:r>
        <w:t xml:space="preserve">ta, joille lausuntopyyntö osoitettiin, 35 </w:t>
      </w:r>
      <w:r w:rsidR="00DB46CE">
        <w:t xml:space="preserve">antoi </w:t>
      </w:r>
      <w:r>
        <w:t>lausunnon. Lausunnon antoivat seuraavat t</w:t>
      </w:r>
      <w:r>
        <w:t>a</w:t>
      </w:r>
      <w:r>
        <w:t>hot:</w:t>
      </w:r>
    </w:p>
    <w:p w:rsidR="00ED7057" w:rsidRDefault="00ED7057" w:rsidP="00C16CD4">
      <w:pPr>
        <w:pStyle w:val="VMNormaaliSisentmtn"/>
        <w:ind w:left="1418"/>
      </w:pPr>
    </w:p>
    <w:p w:rsidR="00ED7057" w:rsidRDefault="00ED7057" w:rsidP="00C16CD4">
      <w:pPr>
        <w:pStyle w:val="VMNormaaliSisentmtn"/>
        <w:ind w:left="1418"/>
      </w:pPr>
      <w:r>
        <w:t>Oikeusministeriö (</w:t>
      </w:r>
      <w:r w:rsidRPr="00ED7057">
        <w:rPr>
          <w:b/>
        </w:rPr>
        <w:t>OM</w:t>
      </w:r>
      <w:r>
        <w:t>)</w:t>
      </w:r>
    </w:p>
    <w:p w:rsidR="00ED7057" w:rsidRDefault="00ED7057" w:rsidP="00C16CD4">
      <w:pPr>
        <w:pStyle w:val="VMNormaaliSisentmtn"/>
        <w:ind w:left="1418"/>
      </w:pPr>
      <w:r>
        <w:t>Sisäministeriön poliisiosasto (</w:t>
      </w:r>
      <w:r w:rsidRPr="00ED7057">
        <w:rPr>
          <w:b/>
        </w:rPr>
        <w:t>SM</w:t>
      </w:r>
      <w:r>
        <w:t>)</w:t>
      </w:r>
    </w:p>
    <w:p w:rsidR="00ED7057" w:rsidRDefault="00ED7057" w:rsidP="00C16CD4">
      <w:pPr>
        <w:pStyle w:val="VMNormaaliSisentmtn"/>
        <w:ind w:left="1418"/>
      </w:pPr>
      <w:r>
        <w:t>Sosiaali- ja terveysministeriö (</w:t>
      </w:r>
      <w:r w:rsidRPr="00ED7057">
        <w:rPr>
          <w:b/>
        </w:rPr>
        <w:t>STM</w:t>
      </w:r>
      <w:r>
        <w:t>)</w:t>
      </w:r>
    </w:p>
    <w:p w:rsidR="00ED7057" w:rsidRDefault="00ED7057" w:rsidP="00C16CD4">
      <w:pPr>
        <w:pStyle w:val="VMNormaaliSisentmtn"/>
        <w:ind w:left="1418"/>
      </w:pPr>
      <w:r>
        <w:t>Työ- ja elinkeinoministeriö (</w:t>
      </w:r>
      <w:r w:rsidRPr="00ED7057">
        <w:rPr>
          <w:b/>
        </w:rPr>
        <w:t>TEM</w:t>
      </w:r>
      <w:r>
        <w:t>)</w:t>
      </w:r>
    </w:p>
    <w:p w:rsidR="00ED7057" w:rsidRDefault="00ED7057" w:rsidP="00C16CD4">
      <w:pPr>
        <w:pStyle w:val="VMNormaaliSisentmtn"/>
        <w:ind w:left="1418"/>
      </w:pPr>
    </w:p>
    <w:p w:rsidR="00ED7057" w:rsidRDefault="00ED7057" w:rsidP="00C16CD4">
      <w:pPr>
        <w:pStyle w:val="VMNormaaliSisentmtn"/>
        <w:ind w:left="1418"/>
      </w:pPr>
      <w:r>
        <w:t>Energiavirasto</w:t>
      </w:r>
    </w:p>
    <w:p w:rsidR="00ED7057" w:rsidRDefault="00ED7057" w:rsidP="00C16CD4">
      <w:pPr>
        <w:pStyle w:val="VMNormaaliSisentmtn"/>
        <w:ind w:left="1418"/>
      </w:pPr>
      <w:r>
        <w:t>Finanssivalvonta</w:t>
      </w:r>
    </w:p>
    <w:p w:rsidR="00ED7057" w:rsidRDefault="00ED7057" w:rsidP="00C16CD4">
      <w:pPr>
        <w:pStyle w:val="VMNormaaliSisentmtn"/>
        <w:ind w:left="1418"/>
      </w:pPr>
      <w:r>
        <w:t>Keskusrikospoliisi (</w:t>
      </w:r>
      <w:r w:rsidRPr="00ED7057">
        <w:rPr>
          <w:b/>
        </w:rPr>
        <w:t>KRP</w:t>
      </w:r>
      <w:r>
        <w:t>)</w:t>
      </w:r>
    </w:p>
    <w:p w:rsidR="00ED7057" w:rsidRDefault="00ED7057" w:rsidP="00C16CD4">
      <w:pPr>
        <w:pStyle w:val="VMNormaaliSisentmtn"/>
        <w:ind w:left="1418"/>
      </w:pPr>
      <w:r>
        <w:t>Kilpailu- ja kuluttajavirasto (</w:t>
      </w:r>
      <w:r w:rsidRPr="00ED7057">
        <w:rPr>
          <w:b/>
        </w:rPr>
        <w:t>KKV</w:t>
      </w:r>
      <w:r>
        <w:t>)</w:t>
      </w:r>
    </w:p>
    <w:p w:rsidR="00ED7057" w:rsidRDefault="00ED7057" w:rsidP="00C16CD4">
      <w:pPr>
        <w:pStyle w:val="VMNormaaliSisentmtn"/>
        <w:ind w:left="1418"/>
      </w:pPr>
      <w:r>
        <w:t>Korkein hallinto-oikeus (</w:t>
      </w:r>
      <w:r w:rsidRPr="00ED7057">
        <w:rPr>
          <w:b/>
        </w:rPr>
        <w:t>KHO</w:t>
      </w:r>
      <w:r>
        <w:t>)</w:t>
      </w:r>
    </w:p>
    <w:p w:rsidR="00ED7057" w:rsidRDefault="00ED7057" w:rsidP="00C16CD4">
      <w:pPr>
        <w:pStyle w:val="VMNormaaliSisentmtn"/>
        <w:ind w:left="1418"/>
      </w:pPr>
      <w:r>
        <w:t>Markkinaoikeus (</w:t>
      </w:r>
      <w:r w:rsidRPr="00ED7057">
        <w:rPr>
          <w:b/>
        </w:rPr>
        <w:t>MAO</w:t>
      </w:r>
      <w:r>
        <w:t>)</w:t>
      </w:r>
    </w:p>
    <w:p w:rsidR="00ED7057" w:rsidRDefault="00ED7057" w:rsidP="00C16CD4">
      <w:pPr>
        <w:pStyle w:val="VMNormaaliSisentmtn"/>
        <w:ind w:left="1418"/>
      </w:pPr>
      <w:r>
        <w:t>Patentti- ja rekisterihallitus (</w:t>
      </w:r>
      <w:r w:rsidRPr="00ED7057">
        <w:rPr>
          <w:b/>
        </w:rPr>
        <w:t>PRH</w:t>
      </w:r>
      <w:r>
        <w:t>)</w:t>
      </w:r>
    </w:p>
    <w:p w:rsidR="00ED7057" w:rsidRDefault="00ED7057" w:rsidP="00C16CD4">
      <w:pPr>
        <w:pStyle w:val="VMNormaaliSisentmtn"/>
        <w:ind w:left="1418"/>
      </w:pPr>
      <w:proofErr w:type="gramStart"/>
      <w:r>
        <w:t xml:space="preserve">Tietosuojavaltuutetun toimisto </w:t>
      </w:r>
      <w:r w:rsidR="00525A30">
        <w:t>(</w:t>
      </w:r>
      <w:r w:rsidR="00525A30" w:rsidRPr="00525A30">
        <w:rPr>
          <w:b/>
        </w:rPr>
        <w:t>Tietosuojavaltuutettu</w:t>
      </w:r>
      <w:r w:rsidR="00525A30">
        <w:t>)</w:t>
      </w:r>
      <w:proofErr w:type="gramEnd"/>
    </w:p>
    <w:p w:rsidR="00ED7057" w:rsidRDefault="00ED7057" w:rsidP="00C16CD4">
      <w:pPr>
        <w:pStyle w:val="VMNormaaliSisentmtn"/>
        <w:ind w:left="1418"/>
      </w:pPr>
      <w:r>
        <w:t xml:space="preserve">Suomen Pankki </w:t>
      </w:r>
    </w:p>
    <w:p w:rsidR="00ED7057" w:rsidRDefault="00ED7057" w:rsidP="00C16CD4">
      <w:pPr>
        <w:pStyle w:val="VMNormaaliSisentmtn"/>
        <w:ind w:left="1418"/>
      </w:pPr>
      <w:r>
        <w:t>Valtakunnansyyttäjänvirasto</w:t>
      </w:r>
    </w:p>
    <w:p w:rsidR="00ED7057" w:rsidRDefault="00ED7057" w:rsidP="00C16CD4">
      <w:pPr>
        <w:pStyle w:val="VMNormaaliSisentmtn"/>
        <w:ind w:left="1418"/>
      </w:pPr>
    </w:p>
    <w:p w:rsidR="00ED7057" w:rsidRDefault="00ED7057" w:rsidP="00C16CD4">
      <w:pPr>
        <w:pStyle w:val="VMNormaaliSisentmtn"/>
        <w:ind w:left="1418"/>
      </w:pPr>
      <w:r>
        <w:t>Elinkeinoelämän keskusliitto EK ry (</w:t>
      </w:r>
      <w:r w:rsidRPr="00ED7057">
        <w:rPr>
          <w:b/>
        </w:rPr>
        <w:t>EK</w:t>
      </w:r>
      <w:r>
        <w:t>)</w:t>
      </w:r>
    </w:p>
    <w:p w:rsidR="00ED7057" w:rsidRPr="00ED7057" w:rsidRDefault="00ED7057" w:rsidP="00C16CD4">
      <w:pPr>
        <w:pStyle w:val="VMNormaaliSisentmtn"/>
        <w:ind w:left="1418"/>
        <w:rPr>
          <w:lang w:val="sv-SE"/>
        </w:rPr>
      </w:pPr>
      <w:proofErr w:type="spellStart"/>
      <w:r w:rsidRPr="00ED7057">
        <w:rPr>
          <w:lang w:val="sv-SE"/>
        </w:rPr>
        <w:t>Euroclear</w:t>
      </w:r>
      <w:proofErr w:type="spellEnd"/>
      <w:r w:rsidRPr="00ED7057">
        <w:rPr>
          <w:lang w:val="sv-SE"/>
        </w:rPr>
        <w:t xml:space="preserve"> Finland Oy (</w:t>
      </w:r>
      <w:proofErr w:type="spellStart"/>
      <w:r w:rsidRPr="00ED7057">
        <w:rPr>
          <w:b/>
          <w:lang w:val="sv-SE"/>
        </w:rPr>
        <w:t>Euroclear</w:t>
      </w:r>
      <w:proofErr w:type="spellEnd"/>
      <w:r w:rsidRPr="00ED7057">
        <w:rPr>
          <w:lang w:val="sv-SE"/>
        </w:rPr>
        <w:t>)</w:t>
      </w:r>
    </w:p>
    <w:p w:rsidR="00ED7057" w:rsidRPr="00ED7057" w:rsidRDefault="00ED7057" w:rsidP="00C16CD4">
      <w:pPr>
        <w:pStyle w:val="VMNormaaliSisentmtn"/>
        <w:ind w:left="1418"/>
        <w:rPr>
          <w:lang w:val="sv-SE"/>
        </w:rPr>
      </w:pPr>
      <w:proofErr w:type="spellStart"/>
      <w:r w:rsidRPr="00ED7057">
        <w:rPr>
          <w:lang w:val="sv-SE"/>
        </w:rPr>
        <w:t>Finanssiala</w:t>
      </w:r>
      <w:proofErr w:type="spellEnd"/>
      <w:r w:rsidRPr="00ED7057">
        <w:rPr>
          <w:lang w:val="sv-SE"/>
        </w:rPr>
        <w:t xml:space="preserve"> </w:t>
      </w:r>
      <w:proofErr w:type="spellStart"/>
      <w:r w:rsidRPr="00ED7057">
        <w:rPr>
          <w:lang w:val="sv-SE"/>
        </w:rPr>
        <w:t>ry</w:t>
      </w:r>
      <w:proofErr w:type="spellEnd"/>
      <w:r w:rsidRPr="00ED7057">
        <w:rPr>
          <w:lang w:val="sv-SE"/>
        </w:rPr>
        <w:t xml:space="preserve"> (</w:t>
      </w:r>
      <w:proofErr w:type="spellStart"/>
      <w:r w:rsidRPr="00ED7057">
        <w:rPr>
          <w:b/>
          <w:lang w:val="sv-SE"/>
        </w:rPr>
        <w:t>Finanssiala</w:t>
      </w:r>
      <w:proofErr w:type="spellEnd"/>
      <w:r w:rsidRPr="00ED7057">
        <w:rPr>
          <w:lang w:val="sv-SE"/>
        </w:rPr>
        <w:t>)</w:t>
      </w:r>
    </w:p>
    <w:p w:rsidR="00ED7057" w:rsidRDefault="00ED7057" w:rsidP="00C16CD4">
      <w:pPr>
        <w:pStyle w:val="VMNormaaliSisentmtn"/>
        <w:ind w:left="1418"/>
      </w:pPr>
      <w:r>
        <w:t>Finanssitaito Oy (</w:t>
      </w:r>
      <w:r w:rsidRPr="00ED7057">
        <w:rPr>
          <w:b/>
        </w:rPr>
        <w:t>Finanssitaito</w:t>
      </w:r>
      <w:r>
        <w:t>)</w:t>
      </w:r>
    </w:p>
    <w:p w:rsidR="00ED7057" w:rsidRDefault="00ED7057" w:rsidP="00C16CD4">
      <w:pPr>
        <w:pStyle w:val="VMNormaaliSisentmtn"/>
        <w:ind w:left="1418"/>
      </w:pPr>
      <w:r>
        <w:t>FINE Vakuutus- ja rahoitusneuvonta (</w:t>
      </w:r>
      <w:r w:rsidRPr="00ED7057">
        <w:rPr>
          <w:b/>
        </w:rPr>
        <w:t>FINE</w:t>
      </w:r>
      <w:r>
        <w:t>)</w:t>
      </w:r>
    </w:p>
    <w:p w:rsidR="00ED7057" w:rsidRPr="00ED7057" w:rsidRDefault="00ED7057" w:rsidP="00C16CD4">
      <w:pPr>
        <w:pStyle w:val="VMNormaaliSisentmtn"/>
        <w:ind w:left="1418"/>
        <w:rPr>
          <w:lang w:val="en-US"/>
        </w:rPr>
      </w:pPr>
      <w:r w:rsidRPr="00ED7057">
        <w:rPr>
          <w:lang w:val="en-US"/>
        </w:rPr>
        <w:t xml:space="preserve">Finnish Business Angels Network </w:t>
      </w:r>
      <w:proofErr w:type="spellStart"/>
      <w:r w:rsidRPr="00ED7057">
        <w:rPr>
          <w:lang w:val="en-US"/>
        </w:rPr>
        <w:t>ry</w:t>
      </w:r>
      <w:proofErr w:type="spellEnd"/>
      <w:r w:rsidRPr="00ED7057">
        <w:rPr>
          <w:lang w:val="en-US"/>
        </w:rPr>
        <w:t xml:space="preserve"> (</w:t>
      </w:r>
      <w:proofErr w:type="spellStart"/>
      <w:r w:rsidRPr="00ED7057">
        <w:rPr>
          <w:b/>
          <w:lang w:val="en-US"/>
        </w:rPr>
        <w:t>FiBAN</w:t>
      </w:r>
      <w:proofErr w:type="spellEnd"/>
      <w:r w:rsidRPr="00ED7057">
        <w:rPr>
          <w:lang w:val="en-US"/>
        </w:rPr>
        <w:t>)</w:t>
      </w:r>
    </w:p>
    <w:p w:rsidR="00ED7057" w:rsidRPr="00ED7057" w:rsidRDefault="00ED7057" w:rsidP="00C16CD4">
      <w:pPr>
        <w:pStyle w:val="VMNormaaliSisentmtn"/>
        <w:ind w:left="1418"/>
        <w:rPr>
          <w:lang w:val="en-US"/>
        </w:rPr>
      </w:pPr>
      <w:r w:rsidRPr="00ED7057">
        <w:rPr>
          <w:lang w:val="en-US"/>
        </w:rPr>
        <w:t xml:space="preserve">Front Capital Oy </w:t>
      </w:r>
      <w:proofErr w:type="gramStart"/>
      <w:r w:rsidRPr="00ED7057">
        <w:rPr>
          <w:lang w:val="en-US"/>
        </w:rPr>
        <w:t>ja</w:t>
      </w:r>
      <w:proofErr w:type="gramEnd"/>
      <w:r w:rsidRPr="00ED7057">
        <w:rPr>
          <w:lang w:val="en-US"/>
        </w:rPr>
        <w:t xml:space="preserve"> Front </w:t>
      </w:r>
      <w:proofErr w:type="spellStart"/>
      <w:r w:rsidRPr="00ED7057">
        <w:rPr>
          <w:lang w:val="en-US"/>
        </w:rPr>
        <w:t>Varainhoito</w:t>
      </w:r>
      <w:proofErr w:type="spellEnd"/>
      <w:r w:rsidRPr="00ED7057">
        <w:rPr>
          <w:lang w:val="en-US"/>
        </w:rPr>
        <w:t xml:space="preserve"> Oy (</w:t>
      </w:r>
      <w:r w:rsidRPr="00ED7057">
        <w:rPr>
          <w:b/>
          <w:lang w:val="en-US"/>
        </w:rPr>
        <w:t>Front Capital</w:t>
      </w:r>
      <w:r w:rsidRPr="00ED7057">
        <w:rPr>
          <w:lang w:val="en-US"/>
        </w:rPr>
        <w:t>)</w:t>
      </w:r>
    </w:p>
    <w:p w:rsidR="00ED7057" w:rsidRDefault="00ED7057" w:rsidP="00C16CD4">
      <w:pPr>
        <w:pStyle w:val="VMNormaaliSisentmtn"/>
        <w:ind w:left="1418"/>
      </w:pPr>
      <w:proofErr w:type="spellStart"/>
      <w:r>
        <w:t>Invesdor</w:t>
      </w:r>
      <w:proofErr w:type="spellEnd"/>
      <w:r>
        <w:t xml:space="preserve"> Oy (</w:t>
      </w:r>
      <w:proofErr w:type="spellStart"/>
      <w:r w:rsidRPr="00ED7057">
        <w:rPr>
          <w:b/>
        </w:rPr>
        <w:t>Invesdor</w:t>
      </w:r>
      <w:proofErr w:type="spellEnd"/>
      <w:r>
        <w:t>)</w:t>
      </w:r>
    </w:p>
    <w:p w:rsidR="00ED7057" w:rsidRDefault="00ED7057" w:rsidP="00C16CD4">
      <w:pPr>
        <w:pStyle w:val="VMNormaaliSisentmtn"/>
        <w:ind w:left="1418"/>
      </w:pPr>
      <w:r>
        <w:t>Keskuskauppakamari</w:t>
      </w:r>
    </w:p>
    <w:p w:rsidR="00ED7057" w:rsidRDefault="00ED7057" w:rsidP="00C16CD4">
      <w:pPr>
        <w:pStyle w:val="VMNormaaliSisentmtn"/>
        <w:ind w:left="1418"/>
      </w:pPr>
      <w:r>
        <w:t xml:space="preserve">Kuluttajaliitto – </w:t>
      </w:r>
      <w:proofErr w:type="spellStart"/>
      <w:r>
        <w:t>Konsumentförbundet</w:t>
      </w:r>
      <w:proofErr w:type="spellEnd"/>
      <w:r>
        <w:t xml:space="preserve"> ry (</w:t>
      </w:r>
      <w:r w:rsidRPr="00ED7057">
        <w:rPr>
          <w:b/>
        </w:rPr>
        <w:t>Kuluttajaliitto</w:t>
      </w:r>
      <w:r>
        <w:t>)</w:t>
      </w:r>
    </w:p>
    <w:p w:rsidR="00ED7057" w:rsidRDefault="00ED7057" w:rsidP="00C16CD4">
      <w:pPr>
        <w:pStyle w:val="VMNormaaliSisentmtn"/>
        <w:ind w:left="1418"/>
      </w:pPr>
      <w:r>
        <w:t>Kuntarahoitus Oyj (</w:t>
      </w:r>
      <w:r w:rsidRPr="00ED7057">
        <w:rPr>
          <w:b/>
        </w:rPr>
        <w:t>Kuntarahoitus</w:t>
      </w:r>
      <w:r>
        <w:t>)</w:t>
      </w:r>
    </w:p>
    <w:p w:rsidR="00ED7057" w:rsidRDefault="00ED7057" w:rsidP="00C16CD4">
      <w:pPr>
        <w:pStyle w:val="VMNormaaliSisentmtn"/>
        <w:ind w:left="1418"/>
      </w:pPr>
      <w:proofErr w:type="spellStart"/>
      <w:r>
        <w:t>Nasdaq</w:t>
      </w:r>
      <w:proofErr w:type="spellEnd"/>
      <w:r>
        <w:t xml:space="preserve"> Helsinki Oy (</w:t>
      </w:r>
      <w:r w:rsidRPr="00ED7057">
        <w:rPr>
          <w:b/>
        </w:rPr>
        <w:t>Pörssi</w:t>
      </w:r>
      <w:r>
        <w:t>)</w:t>
      </w:r>
    </w:p>
    <w:p w:rsidR="00ED7057" w:rsidRDefault="00ED7057" w:rsidP="00C16CD4">
      <w:pPr>
        <w:pStyle w:val="VMNormaaliSisentmtn"/>
        <w:ind w:left="1418"/>
      </w:pPr>
      <w:r>
        <w:t>OP Ryhmä (</w:t>
      </w:r>
      <w:r w:rsidRPr="00ED7057">
        <w:rPr>
          <w:b/>
        </w:rPr>
        <w:t>OP</w:t>
      </w:r>
      <w:r>
        <w:t>)</w:t>
      </w:r>
    </w:p>
    <w:p w:rsidR="00ED7057" w:rsidRDefault="00ED7057" w:rsidP="00C16CD4">
      <w:pPr>
        <w:pStyle w:val="VMNormaaliSisentmtn"/>
        <w:ind w:left="1418"/>
      </w:pPr>
      <w:r>
        <w:t>Osakesäästäjien Keskusliitto ry (</w:t>
      </w:r>
      <w:r w:rsidRPr="00ED7057">
        <w:rPr>
          <w:b/>
        </w:rPr>
        <w:t>OSKL</w:t>
      </w:r>
      <w:r>
        <w:t>)</w:t>
      </w:r>
    </w:p>
    <w:p w:rsidR="00ED7057" w:rsidRDefault="00ED7057" w:rsidP="00C16CD4">
      <w:pPr>
        <w:pStyle w:val="VMNormaaliSisentmtn"/>
        <w:ind w:left="1418"/>
      </w:pPr>
      <w:r>
        <w:t xml:space="preserve">Sijoittajien korvausrahasto </w:t>
      </w:r>
    </w:p>
    <w:p w:rsidR="00ED7057" w:rsidRDefault="00ED7057" w:rsidP="00C16CD4">
      <w:pPr>
        <w:pStyle w:val="VMNormaaliSisentmtn"/>
        <w:ind w:left="1418"/>
      </w:pPr>
      <w:r>
        <w:t>Suomen Ammattiliittojen Keskusjärjestö SAK ry (</w:t>
      </w:r>
      <w:r w:rsidRPr="00ED7057">
        <w:rPr>
          <w:b/>
        </w:rPr>
        <w:t>SAK</w:t>
      </w:r>
      <w:r>
        <w:t>)</w:t>
      </w:r>
    </w:p>
    <w:p w:rsidR="00ED7057" w:rsidRDefault="00ED7057" w:rsidP="00C16CD4">
      <w:pPr>
        <w:pStyle w:val="VMNormaaliSisentmtn"/>
        <w:ind w:left="1418"/>
      </w:pPr>
      <w:r>
        <w:t>Suomen Asianajajaliitto (</w:t>
      </w:r>
      <w:proofErr w:type="spellStart"/>
      <w:r w:rsidRPr="00ED7057">
        <w:rPr>
          <w:b/>
        </w:rPr>
        <w:t>Asianajajaliitto</w:t>
      </w:r>
      <w:proofErr w:type="spellEnd"/>
      <w:r>
        <w:t>)</w:t>
      </w:r>
    </w:p>
    <w:p w:rsidR="00ED7057" w:rsidRDefault="00ED7057" w:rsidP="00C16CD4">
      <w:pPr>
        <w:pStyle w:val="VMNormaaliSisentmtn"/>
        <w:ind w:left="1418"/>
      </w:pPr>
      <w:r>
        <w:t>Suomen Pörssisäätiö (</w:t>
      </w:r>
      <w:proofErr w:type="spellStart"/>
      <w:r w:rsidRPr="00ED7057">
        <w:rPr>
          <w:b/>
        </w:rPr>
        <w:t>Pörssisäätiö</w:t>
      </w:r>
      <w:proofErr w:type="spellEnd"/>
      <w:r>
        <w:t>)</w:t>
      </w:r>
    </w:p>
    <w:p w:rsidR="00ED7057" w:rsidRDefault="00ED7057" w:rsidP="00C16CD4">
      <w:pPr>
        <w:pStyle w:val="VMNormaaliSisentmtn"/>
        <w:ind w:left="1418"/>
      </w:pPr>
      <w:r>
        <w:t>Suomen Yrittäjät ry (</w:t>
      </w:r>
      <w:r w:rsidRPr="00ED7057">
        <w:rPr>
          <w:b/>
        </w:rPr>
        <w:t>Yrittäjät</w:t>
      </w:r>
      <w:r>
        <w:t>)</w:t>
      </w:r>
    </w:p>
    <w:p w:rsidR="00ED7057" w:rsidRDefault="00ED7057" w:rsidP="00C16CD4">
      <w:pPr>
        <w:pStyle w:val="VMNormaaliSisentmtn"/>
        <w:ind w:left="1418"/>
      </w:pPr>
      <w:r>
        <w:t>STTK ry (</w:t>
      </w:r>
      <w:r w:rsidRPr="00ED7057">
        <w:rPr>
          <w:b/>
        </w:rPr>
        <w:t>STTK</w:t>
      </w:r>
      <w:r>
        <w:t>)</w:t>
      </w:r>
    </w:p>
    <w:p w:rsidR="00ED7057" w:rsidRDefault="00ED7057" w:rsidP="00C16CD4">
      <w:pPr>
        <w:pStyle w:val="VMNormaaliSisentmtn"/>
        <w:ind w:left="1418"/>
      </w:pPr>
      <w:r>
        <w:t xml:space="preserve">Säästöpankkiliitto </w:t>
      </w:r>
      <w:proofErr w:type="spellStart"/>
      <w:r>
        <w:t>osk</w:t>
      </w:r>
      <w:proofErr w:type="spellEnd"/>
      <w:r>
        <w:t xml:space="preserve"> (</w:t>
      </w:r>
      <w:r w:rsidRPr="00ED7057">
        <w:rPr>
          <w:b/>
        </w:rPr>
        <w:t>Säästöpankkiliitto</w:t>
      </w:r>
      <w:r>
        <w:t>)</w:t>
      </w:r>
    </w:p>
    <w:p w:rsidR="00ED7057" w:rsidRDefault="00ED7057" w:rsidP="00C16CD4">
      <w:pPr>
        <w:pStyle w:val="VMNormaaliSisentmtn"/>
        <w:ind w:left="1418"/>
      </w:pPr>
    </w:p>
    <w:p w:rsidR="00ED7057" w:rsidRDefault="00ED7057" w:rsidP="00C16CD4">
      <w:pPr>
        <w:pStyle w:val="VMNormaaliSisentmtn"/>
        <w:ind w:left="1418"/>
        <w:jc w:val="both"/>
      </w:pPr>
      <w:r>
        <w:t>Lisäksi yhdeksän tahoa, Aki Kallio (</w:t>
      </w:r>
      <w:proofErr w:type="spellStart"/>
      <w:r w:rsidRPr="00ED7057">
        <w:rPr>
          <w:b/>
        </w:rPr>
        <w:t>Kallio</w:t>
      </w:r>
      <w:proofErr w:type="spellEnd"/>
      <w:r>
        <w:t>), Ammattiliitto Pro Oy (</w:t>
      </w:r>
      <w:r w:rsidRPr="00ED7057">
        <w:rPr>
          <w:b/>
        </w:rPr>
        <w:t>Pro</w:t>
      </w:r>
      <w:r>
        <w:t>), Energiateollisuus ry (</w:t>
      </w:r>
      <w:r w:rsidRPr="00ED7057">
        <w:rPr>
          <w:b/>
        </w:rPr>
        <w:t>Energiateollisuus</w:t>
      </w:r>
      <w:r>
        <w:t xml:space="preserve">), </w:t>
      </w:r>
      <w:proofErr w:type="spellStart"/>
      <w:r>
        <w:t>Evervest</w:t>
      </w:r>
      <w:proofErr w:type="spellEnd"/>
      <w:r>
        <w:t xml:space="preserve"> Oy (</w:t>
      </w:r>
      <w:proofErr w:type="spellStart"/>
      <w:r w:rsidRPr="00ED7057">
        <w:rPr>
          <w:b/>
        </w:rPr>
        <w:t>Evervest</w:t>
      </w:r>
      <w:proofErr w:type="spellEnd"/>
      <w:r>
        <w:t>), Joukkorahoitusyhdistys ry (</w:t>
      </w:r>
      <w:r w:rsidRPr="00ED7057">
        <w:rPr>
          <w:b/>
        </w:rPr>
        <w:t>Joukkoraho</w:t>
      </w:r>
      <w:r w:rsidRPr="00ED7057">
        <w:rPr>
          <w:b/>
        </w:rPr>
        <w:t>i</w:t>
      </w:r>
      <w:r w:rsidRPr="00ED7057">
        <w:rPr>
          <w:b/>
        </w:rPr>
        <w:t>tusyhdistys</w:t>
      </w:r>
      <w:r>
        <w:t xml:space="preserve">), </w:t>
      </w:r>
      <w:proofErr w:type="spellStart"/>
      <w:r>
        <w:t>Lago</w:t>
      </w:r>
      <w:proofErr w:type="spellEnd"/>
      <w:r>
        <w:t xml:space="preserve"> </w:t>
      </w:r>
      <w:proofErr w:type="spellStart"/>
      <w:r>
        <w:t>Kapital</w:t>
      </w:r>
      <w:proofErr w:type="spellEnd"/>
      <w:r>
        <w:t xml:space="preserve"> Oy (</w:t>
      </w:r>
      <w:proofErr w:type="spellStart"/>
      <w:r w:rsidRPr="00ED7057">
        <w:rPr>
          <w:b/>
        </w:rPr>
        <w:t>Lago</w:t>
      </w:r>
      <w:proofErr w:type="spellEnd"/>
      <w:r w:rsidRPr="00ED7057">
        <w:rPr>
          <w:b/>
        </w:rPr>
        <w:t xml:space="preserve"> </w:t>
      </w:r>
      <w:proofErr w:type="spellStart"/>
      <w:r w:rsidRPr="00ED7057">
        <w:rPr>
          <w:b/>
        </w:rPr>
        <w:t>Kapital</w:t>
      </w:r>
      <w:proofErr w:type="spellEnd"/>
      <w:r>
        <w:t>), Lakiasiaintoimisto JLM Immonen Oy (</w:t>
      </w:r>
      <w:r w:rsidRPr="00ED7057">
        <w:rPr>
          <w:b/>
        </w:rPr>
        <w:t>JLM Immonen</w:t>
      </w:r>
      <w:r>
        <w:t>), Osuuskunta Ehta Raha (</w:t>
      </w:r>
      <w:r w:rsidRPr="00ED7057">
        <w:rPr>
          <w:b/>
        </w:rPr>
        <w:t>Ehta Raha</w:t>
      </w:r>
      <w:r>
        <w:t xml:space="preserve">) ja </w:t>
      </w:r>
      <w:proofErr w:type="spellStart"/>
      <w:r>
        <w:t>Privanet</w:t>
      </w:r>
      <w:proofErr w:type="spellEnd"/>
      <w:r>
        <w:t xml:space="preserve"> </w:t>
      </w:r>
      <w:proofErr w:type="spellStart"/>
      <w:r>
        <w:t>Securities</w:t>
      </w:r>
      <w:proofErr w:type="spellEnd"/>
      <w:r>
        <w:t xml:space="preserve"> Oy (</w:t>
      </w:r>
      <w:proofErr w:type="spellStart"/>
      <w:r w:rsidRPr="00ED7057">
        <w:rPr>
          <w:b/>
        </w:rPr>
        <w:t>Privanet</w:t>
      </w:r>
      <w:proofErr w:type="spellEnd"/>
      <w:r>
        <w:t xml:space="preserve">) </w:t>
      </w:r>
      <w:r w:rsidR="00A67372">
        <w:t>to</w:t>
      </w:r>
      <w:r w:rsidR="00A67372">
        <w:t>i</w:t>
      </w:r>
      <w:r w:rsidR="00A67372">
        <w:t>mittivat</w:t>
      </w:r>
      <w:r>
        <w:t xml:space="preserve"> lausunnon oma-aloitteisesti.</w:t>
      </w:r>
    </w:p>
    <w:p w:rsidR="00ED7057" w:rsidRDefault="00ED7057" w:rsidP="00C16CD4">
      <w:pPr>
        <w:pStyle w:val="VMNormaaliSisentmtn"/>
        <w:ind w:left="1418"/>
        <w:jc w:val="both"/>
      </w:pPr>
    </w:p>
    <w:p w:rsidR="00ED7057" w:rsidRDefault="00ED7057" w:rsidP="00C16CD4">
      <w:pPr>
        <w:pStyle w:val="VMNormaaliSisentmtn"/>
        <w:ind w:left="1418"/>
        <w:jc w:val="both"/>
      </w:pPr>
      <w:r w:rsidRPr="00ED7057">
        <w:rPr>
          <w:b/>
        </w:rPr>
        <w:t>Pörssille</w:t>
      </w:r>
      <w:r>
        <w:t xml:space="preserve"> ja </w:t>
      </w:r>
      <w:proofErr w:type="spellStart"/>
      <w:r w:rsidRPr="00ED7057">
        <w:rPr>
          <w:b/>
        </w:rPr>
        <w:t>OM</w:t>
      </w:r>
      <w:r>
        <w:t>:lle</w:t>
      </w:r>
      <w:proofErr w:type="spellEnd"/>
      <w:r>
        <w:t xml:space="preserve"> myönnettiin</w:t>
      </w:r>
      <w:r w:rsidR="00501E3A">
        <w:t xml:space="preserve"> pyynnöstä</w:t>
      </w:r>
      <w:r>
        <w:t xml:space="preserve"> lisäaikaa lausuntojen toimittamiseen. </w:t>
      </w:r>
      <w:r w:rsidRPr="00ED7057">
        <w:rPr>
          <w:b/>
        </w:rPr>
        <w:t>Asianaj</w:t>
      </w:r>
      <w:r w:rsidRPr="00ED7057">
        <w:rPr>
          <w:b/>
        </w:rPr>
        <w:t>a</w:t>
      </w:r>
      <w:r w:rsidRPr="00ED7057">
        <w:rPr>
          <w:b/>
        </w:rPr>
        <w:t>jaliitto</w:t>
      </w:r>
      <w:r>
        <w:t xml:space="preserve">, </w:t>
      </w:r>
      <w:r w:rsidRPr="00ED7057">
        <w:rPr>
          <w:b/>
        </w:rPr>
        <w:t>STM</w:t>
      </w:r>
      <w:r>
        <w:t xml:space="preserve"> ja </w:t>
      </w:r>
      <w:r w:rsidRPr="00ED7057">
        <w:rPr>
          <w:b/>
        </w:rPr>
        <w:t>PRH</w:t>
      </w:r>
      <w:r>
        <w:t xml:space="preserve"> toimittivat lausuntonsa lausuntoajan päättymisen jälkeen, mutta la</w:t>
      </w:r>
      <w:r>
        <w:t>u</w:t>
      </w:r>
      <w:r>
        <w:t xml:space="preserve">sunnot on otettu lausuntoyhteenvedossa huomioon.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Akava ry, Maa- ja metsätalousministeriö ja Säätiöiden ja rahastojen neuvottelukunta ry </w:t>
      </w:r>
      <w:r w:rsidR="006B5277">
        <w:t>i</w:t>
      </w:r>
      <w:r w:rsidR="006B5277">
        <w:t>l</w:t>
      </w:r>
      <w:r w:rsidR="006B5277">
        <w:t>moittivat</w:t>
      </w:r>
      <w:r>
        <w:t xml:space="preserve">, ettei niillä ole lausuttavaa esitysluonnoksesta.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Euroopan keskuspankki, Innovaatiorahoituskeskus Tekes ja Työeläkevakuuttajat TELA ry </w:t>
      </w:r>
      <w:r w:rsidR="006B5277">
        <w:t>ilmoittivat</w:t>
      </w:r>
      <w:r>
        <w:t>, etteivät anna lausuntoa asiassa.</w:t>
      </w:r>
    </w:p>
    <w:p w:rsidR="00ED7057" w:rsidRDefault="00ED7057" w:rsidP="00C16CD4">
      <w:pPr>
        <w:pStyle w:val="VMNormaaliSisentmtn"/>
        <w:ind w:left="1418"/>
      </w:pPr>
    </w:p>
    <w:p w:rsidR="00ED7057" w:rsidRDefault="00ED7057" w:rsidP="00C16CD4">
      <w:pPr>
        <w:pStyle w:val="VMNormaaliSisentmtn"/>
        <w:ind w:left="1418"/>
      </w:pPr>
      <w:r>
        <w:t>Lausuntoa eivät antaneet:</w:t>
      </w:r>
    </w:p>
    <w:p w:rsidR="00ED7057" w:rsidRDefault="00ED7057" w:rsidP="00C16CD4">
      <w:pPr>
        <w:pStyle w:val="VMNormaaliSisentmtn"/>
        <w:ind w:left="1418"/>
      </w:pPr>
    </w:p>
    <w:p w:rsidR="00ED7057" w:rsidRDefault="00ED7057" w:rsidP="00C16CD4">
      <w:pPr>
        <w:pStyle w:val="VMNormaaliSisentmtn"/>
        <w:ind w:left="1418"/>
      </w:pPr>
      <w:r>
        <w:t xml:space="preserve">Liikenne- ja viestintäministeriö </w:t>
      </w:r>
    </w:p>
    <w:p w:rsidR="00ED7057" w:rsidRDefault="00ED7057" w:rsidP="00C16CD4">
      <w:pPr>
        <w:pStyle w:val="VMNormaaliSisentmtn"/>
        <w:ind w:left="1418"/>
      </w:pPr>
      <w:r>
        <w:t>Rahoitusvakausvirasto</w:t>
      </w:r>
    </w:p>
    <w:p w:rsidR="00ED7057" w:rsidRDefault="00ED7057" w:rsidP="00C16CD4">
      <w:pPr>
        <w:pStyle w:val="VMNormaaliSisentmtn"/>
        <w:ind w:left="1418"/>
      </w:pPr>
      <w:r>
        <w:t>Helsingin poliisilaitos</w:t>
      </w:r>
    </w:p>
    <w:p w:rsidR="00ED7057" w:rsidRDefault="00ED7057" w:rsidP="00C16CD4">
      <w:pPr>
        <w:pStyle w:val="VMNormaaliSisentmtn"/>
        <w:ind w:left="1418"/>
      </w:pPr>
      <w:r>
        <w:t>Aalto-yliopisto</w:t>
      </w:r>
    </w:p>
    <w:p w:rsidR="00ED7057" w:rsidRDefault="00ED7057" w:rsidP="00C16CD4">
      <w:pPr>
        <w:pStyle w:val="VMNormaaliSisentmtn"/>
        <w:ind w:left="1418"/>
      </w:pPr>
      <w:r>
        <w:t>Arvopaperimarkkinayhdistys ry</w:t>
      </w:r>
    </w:p>
    <w:p w:rsidR="00ED7057" w:rsidRDefault="00ED7057" w:rsidP="00C16CD4">
      <w:pPr>
        <w:pStyle w:val="VMNormaaliSisentmtn"/>
        <w:ind w:left="1418"/>
      </w:pPr>
      <w:r>
        <w:t>Elite Rahoitus Oy</w:t>
      </w:r>
    </w:p>
    <w:p w:rsidR="00ED7057" w:rsidRDefault="00ED7057" w:rsidP="00C16CD4">
      <w:pPr>
        <w:pStyle w:val="VMNormaaliSisentmtn"/>
        <w:ind w:left="1418"/>
      </w:pPr>
      <w:r>
        <w:t>Eläkesäätiöyhdistys ESY ry</w:t>
      </w:r>
    </w:p>
    <w:p w:rsidR="00ED7057" w:rsidRPr="00FF4894" w:rsidRDefault="00ED7057" w:rsidP="00C16CD4">
      <w:pPr>
        <w:pStyle w:val="VMNormaaliSisentmtn"/>
        <w:ind w:left="1418"/>
        <w:rPr>
          <w:lang w:val="sv-SE"/>
        </w:rPr>
      </w:pPr>
      <w:proofErr w:type="spellStart"/>
      <w:r w:rsidRPr="00FF4894">
        <w:rPr>
          <w:lang w:val="sv-SE"/>
        </w:rPr>
        <w:t>Fixura</w:t>
      </w:r>
      <w:proofErr w:type="spellEnd"/>
      <w:r w:rsidRPr="00FF4894">
        <w:rPr>
          <w:lang w:val="sv-SE"/>
        </w:rPr>
        <w:t xml:space="preserve"> Ab Oy</w:t>
      </w:r>
    </w:p>
    <w:p w:rsidR="00ED7057" w:rsidRPr="00ED7057" w:rsidRDefault="00ED7057" w:rsidP="00C16CD4">
      <w:pPr>
        <w:pStyle w:val="VMNormaaliSisentmtn"/>
        <w:ind w:left="1418"/>
        <w:rPr>
          <w:lang w:val="sv-SE"/>
        </w:rPr>
      </w:pPr>
      <w:proofErr w:type="spellStart"/>
      <w:r w:rsidRPr="00ED7057">
        <w:rPr>
          <w:lang w:val="sv-SE"/>
        </w:rPr>
        <w:t>FundedByMe</w:t>
      </w:r>
      <w:proofErr w:type="spellEnd"/>
      <w:r w:rsidRPr="00ED7057">
        <w:rPr>
          <w:lang w:val="sv-SE"/>
        </w:rPr>
        <w:t xml:space="preserve"> Finland Oy</w:t>
      </w:r>
    </w:p>
    <w:p w:rsidR="00ED7057" w:rsidRPr="00FF4894" w:rsidRDefault="00ED7057" w:rsidP="00C16CD4">
      <w:pPr>
        <w:pStyle w:val="VMNormaaliSisentmtn"/>
        <w:ind w:left="1418"/>
        <w:rPr>
          <w:lang w:val="en-US"/>
        </w:rPr>
      </w:pPr>
      <w:proofErr w:type="spellStart"/>
      <w:r w:rsidRPr="00FF4894">
        <w:rPr>
          <w:lang w:val="en-US"/>
        </w:rPr>
        <w:t>Fundu</w:t>
      </w:r>
      <w:proofErr w:type="spellEnd"/>
      <w:r w:rsidRPr="00FF4894">
        <w:rPr>
          <w:lang w:val="en-US"/>
        </w:rPr>
        <w:t xml:space="preserve"> Platform Oy</w:t>
      </w:r>
    </w:p>
    <w:p w:rsidR="00ED7057" w:rsidRPr="00FF4894" w:rsidRDefault="00ED7057" w:rsidP="00C16CD4">
      <w:pPr>
        <w:pStyle w:val="VMNormaaliSisentmtn"/>
        <w:ind w:left="1418"/>
        <w:rPr>
          <w:lang w:val="en-US"/>
        </w:rPr>
      </w:pPr>
      <w:r w:rsidRPr="00FF4894">
        <w:rPr>
          <w:lang w:val="en-US"/>
        </w:rPr>
        <w:t>Grow VC Group</w:t>
      </w:r>
    </w:p>
    <w:p w:rsidR="00ED7057" w:rsidRDefault="00ED7057" w:rsidP="00C16CD4">
      <w:pPr>
        <w:pStyle w:val="VMNormaaliSisentmtn"/>
        <w:ind w:left="1418"/>
      </w:pPr>
      <w:r>
        <w:t>Kansalaisrahoitus Oy</w:t>
      </w:r>
    </w:p>
    <w:p w:rsidR="00ED7057" w:rsidRDefault="00ED7057" w:rsidP="00C16CD4">
      <w:pPr>
        <w:pStyle w:val="VMNormaaliSisentmtn"/>
        <w:ind w:left="1418"/>
      </w:pPr>
      <w:proofErr w:type="spellStart"/>
      <w:r>
        <w:t>Keva</w:t>
      </w:r>
      <w:proofErr w:type="spellEnd"/>
    </w:p>
    <w:p w:rsidR="00ED7057" w:rsidRDefault="00ED7057" w:rsidP="00C16CD4">
      <w:pPr>
        <w:pStyle w:val="VMNormaaliSisentmtn"/>
        <w:ind w:left="1418"/>
      </w:pPr>
      <w:r>
        <w:t>Lumituuli Oy</w:t>
      </w:r>
    </w:p>
    <w:p w:rsidR="00ED7057" w:rsidRDefault="00ED7057" w:rsidP="00C16CD4">
      <w:pPr>
        <w:pStyle w:val="VMNormaaliSisentmtn"/>
        <w:ind w:left="1418"/>
      </w:pPr>
      <w:proofErr w:type="spellStart"/>
      <w:r>
        <w:t>LähiTapiola</w:t>
      </w:r>
      <w:proofErr w:type="spellEnd"/>
    </w:p>
    <w:p w:rsidR="00ED7057" w:rsidRDefault="00ED7057" w:rsidP="00C16CD4">
      <w:pPr>
        <w:pStyle w:val="VMNormaaliSisentmtn"/>
        <w:ind w:left="1418"/>
      </w:pPr>
      <w:proofErr w:type="spellStart"/>
      <w:r>
        <w:t>Mesenaatti.me</w:t>
      </w:r>
      <w:proofErr w:type="spellEnd"/>
    </w:p>
    <w:p w:rsidR="000A4E21" w:rsidRDefault="000A4E21">
      <w:pPr>
        <w:pStyle w:val="VMNormaaliSisentmtn"/>
        <w:ind w:left="1418"/>
      </w:pPr>
      <w:r>
        <w:t>Nordea Pankki Suomi Oyj</w:t>
      </w:r>
    </w:p>
    <w:p w:rsidR="007C59AA" w:rsidRDefault="000A4E21">
      <w:pPr>
        <w:pStyle w:val="VMNormaaliSisentmtn"/>
        <w:ind w:left="1418"/>
      </w:pPr>
      <w:r>
        <w:t xml:space="preserve">POP Pankki -ryhmä </w:t>
      </w:r>
    </w:p>
    <w:p w:rsidR="000A4E21" w:rsidRDefault="007C59AA">
      <w:pPr>
        <w:pStyle w:val="VMNormaaliSisentmtn"/>
        <w:ind w:left="1418"/>
      </w:pPr>
      <w:proofErr w:type="spellStart"/>
      <w:r>
        <w:t>S-Pankki</w:t>
      </w:r>
      <w:proofErr w:type="spellEnd"/>
      <w:r>
        <w:t xml:space="preserve"> Oy </w:t>
      </w:r>
      <w:r w:rsidR="000A4E21">
        <w:t xml:space="preserve"> </w:t>
      </w:r>
    </w:p>
    <w:p w:rsidR="00ED7057" w:rsidRDefault="00ED7057" w:rsidP="00C16CD4">
      <w:pPr>
        <w:pStyle w:val="VMNormaaliSisentmtn"/>
        <w:ind w:left="1418"/>
      </w:pPr>
      <w:r>
        <w:t>Suomen Kuntaliitto</w:t>
      </w:r>
    </w:p>
    <w:p w:rsidR="00ED7057" w:rsidRDefault="00ED7057" w:rsidP="00C16CD4">
      <w:pPr>
        <w:pStyle w:val="VMNormaaliSisentmtn"/>
        <w:ind w:left="1418"/>
      </w:pPr>
      <w:r>
        <w:t xml:space="preserve">Suomen pääomasijoitusyhdistys ry </w:t>
      </w:r>
    </w:p>
    <w:p w:rsidR="00ED7057" w:rsidRDefault="00ED7057" w:rsidP="00C16CD4">
      <w:pPr>
        <w:pStyle w:val="VMNormaaliSisentmtn"/>
        <w:ind w:left="1418"/>
      </w:pPr>
      <w:r>
        <w:t>Suomen Tilintarkastajat ry</w:t>
      </w:r>
    </w:p>
    <w:p w:rsidR="00ED7057" w:rsidRDefault="00ED7057" w:rsidP="00C16CD4">
      <w:pPr>
        <w:pStyle w:val="VMNormaaliSisentmtn"/>
        <w:ind w:left="1418"/>
      </w:pPr>
      <w:r>
        <w:t>Suomen Vakuutusmeklariliitto ry</w:t>
      </w:r>
    </w:p>
    <w:p w:rsidR="00ED7057" w:rsidRDefault="00ED7057" w:rsidP="00C16CD4">
      <w:pPr>
        <w:pStyle w:val="VMNormaaliSisentmtn"/>
        <w:ind w:left="1418"/>
      </w:pPr>
      <w:r>
        <w:t xml:space="preserve">Valtion eläkerahasto </w:t>
      </w:r>
    </w:p>
    <w:p w:rsidR="00ED7057" w:rsidRDefault="00ED7057" w:rsidP="00C16CD4">
      <w:pPr>
        <w:pStyle w:val="VMNormaaliSisentmtn"/>
        <w:ind w:left="1418"/>
      </w:pPr>
      <w:r>
        <w:t>Vauraus Suomi Oy</w:t>
      </w:r>
    </w:p>
    <w:p w:rsidR="00ED7057" w:rsidRDefault="00ED7057" w:rsidP="00C16CD4">
      <w:pPr>
        <w:pStyle w:val="VMNormaaliSisentmtn"/>
        <w:ind w:left="1418"/>
      </w:pPr>
    </w:p>
    <w:p w:rsidR="00C57E88" w:rsidRDefault="00C57E88" w:rsidP="00C16CD4">
      <w:pPr>
        <w:pStyle w:val="VMNormaaliSisentmtn"/>
        <w:ind w:left="1418"/>
        <w:jc w:val="both"/>
      </w:pPr>
    </w:p>
    <w:p w:rsidR="00ED7057" w:rsidRDefault="00ED7057" w:rsidP="00F879A0">
      <w:pPr>
        <w:pStyle w:val="VMOtsikko2"/>
        <w:jc w:val="both"/>
      </w:pPr>
      <w:r>
        <w:t>1.3 Keskeisiä huomioita lausuntopalautteesta</w:t>
      </w:r>
    </w:p>
    <w:p w:rsidR="00ED7057" w:rsidRDefault="00ED7057" w:rsidP="00F879A0">
      <w:pPr>
        <w:pStyle w:val="VMNormaaliSisentmtn"/>
        <w:jc w:val="both"/>
      </w:pPr>
    </w:p>
    <w:p w:rsidR="00ED7057" w:rsidRDefault="00ED7057" w:rsidP="00C16CD4">
      <w:pPr>
        <w:pStyle w:val="VMNormaaliSisentmtn"/>
        <w:ind w:left="1418"/>
        <w:jc w:val="both"/>
      </w:pPr>
      <w:r>
        <w:t>Monet lausunnonantajat pit</w:t>
      </w:r>
      <w:r w:rsidR="006A587B">
        <w:t>ä</w:t>
      </w:r>
      <w:r>
        <w:t>vät esitysluonnosta pääosin onnistuneena ja hyvin valmistel</w:t>
      </w:r>
      <w:r>
        <w:t>u</w:t>
      </w:r>
      <w:r>
        <w:t>na.</w:t>
      </w:r>
      <w:r w:rsidR="00D10F38">
        <w:t xml:space="preserve"> </w:t>
      </w:r>
      <w:r>
        <w:t>Sääntelyn tavoitteita pidet</w:t>
      </w:r>
      <w:r w:rsidR="006A587B">
        <w:t>ää</w:t>
      </w:r>
      <w:r>
        <w:t xml:space="preserve">n tarpeellisina ja kannatettavina. Myös valittua ratkaisua panna </w:t>
      </w:r>
      <w:r w:rsidR="00D10F38">
        <w:t xml:space="preserve">direktiivin </w:t>
      </w:r>
      <w:r>
        <w:t>sääntely täytäntöön ilman kansallista lisäsääntelyä kiitet</w:t>
      </w:r>
      <w:r w:rsidR="00E4595D">
        <w:t>ää</w:t>
      </w:r>
      <w:r>
        <w:t>n. Toisaalta sääntelyä pidet</w:t>
      </w:r>
      <w:r w:rsidR="00E4595D">
        <w:t>ää</w:t>
      </w:r>
      <w:r>
        <w:t>n yksityiskohtaisena, monimutkaisena ja raskaana. Lausunnonantajat myös toivo</w:t>
      </w:r>
      <w:r w:rsidR="00E4595D">
        <w:t>vat</w:t>
      </w:r>
      <w:r>
        <w:t>, ettei direktiivin mahdollistamaa kevyempää sääntelyä ote</w:t>
      </w:r>
      <w:r w:rsidR="00D10F38">
        <w:t>ttaisi</w:t>
      </w:r>
      <w:r>
        <w:t xml:space="preserve"> kaikilta osin täysimääräisesti käyttöön, jott</w:t>
      </w:r>
      <w:r w:rsidR="00D10F38">
        <w:t>a</w:t>
      </w:r>
      <w:r>
        <w:t xml:space="preserve"> sijoittajansuoja</w:t>
      </w:r>
      <w:r w:rsidR="00D10F38">
        <w:t xml:space="preserve"> ei</w:t>
      </w:r>
      <w:r>
        <w:t xml:space="preserve"> heikken</w:t>
      </w:r>
      <w:r w:rsidR="00D10F38">
        <w:t>isi</w:t>
      </w:r>
      <w:r>
        <w:t>. Lisäksi lausunnoissa toivot</w:t>
      </w:r>
      <w:r w:rsidR="00E4595D">
        <w:t>aa</w:t>
      </w:r>
      <w:r>
        <w:t>n kattavampaa vaikutusten arviointia, kansainvälistä vertailua sekä toimialan laajempaa ku</w:t>
      </w:r>
      <w:r>
        <w:t>u</w:t>
      </w:r>
      <w:r>
        <w:t>lemista valmistelussa.</w:t>
      </w:r>
    </w:p>
    <w:p w:rsidR="00ED7057" w:rsidRDefault="00ED7057" w:rsidP="00C16CD4">
      <w:pPr>
        <w:pStyle w:val="VMNormaaliSisentmtn"/>
        <w:ind w:left="1418"/>
        <w:jc w:val="both"/>
      </w:pPr>
    </w:p>
    <w:p w:rsidR="00ED7057" w:rsidRDefault="00ED7057" w:rsidP="00C16CD4">
      <w:pPr>
        <w:pStyle w:val="VMNormaaliSisentmtn"/>
        <w:ind w:left="1418"/>
        <w:jc w:val="both"/>
      </w:pPr>
      <w:r>
        <w:t>Sijoituspalvelulakiin ehdotettuja muutoksia koskevat lausunnot keskitty</w:t>
      </w:r>
      <w:r w:rsidR="00E4595D">
        <w:t>vät</w:t>
      </w:r>
      <w:r>
        <w:t xml:space="preserve"> erityisesti sijo</w:t>
      </w:r>
      <w:r>
        <w:t>i</w:t>
      </w:r>
      <w:r>
        <w:t>tuspalveluyrityksen toiminnan järjestämistä sekä menettelytapoja asiakassuhteessa kosk</w:t>
      </w:r>
      <w:r>
        <w:t>e</w:t>
      </w:r>
      <w:r w:rsidR="00023F5A">
        <w:t xml:space="preserve">viin säännöksiin. </w:t>
      </w:r>
      <w:r w:rsidR="00E4595D">
        <w:t>Osa lausunnonantajista toivoo</w:t>
      </w:r>
      <w:r w:rsidR="003058E2">
        <w:t xml:space="preserve"> selvennystä siihen, millaisiin toimijoihin s</w:t>
      </w:r>
      <w:r w:rsidR="003058E2">
        <w:t>i</w:t>
      </w:r>
      <w:r w:rsidR="003058E2">
        <w:t xml:space="preserve">joituspalvelulain kevennettyä MIFID II:n 3 artiklan mukaista osatoimilupaa sovellettaisiin. </w:t>
      </w:r>
      <w:r w:rsidR="00C23D04">
        <w:t>Lisäksi osa lausunnonantajista ei pi</w:t>
      </w:r>
      <w:r w:rsidR="00E4595D">
        <w:t>dä</w:t>
      </w:r>
      <w:r w:rsidR="00C23D04">
        <w:t xml:space="preserve"> perusteltuna</w:t>
      </w:r>
      <w:r w:rsidR="003058E2">
        <w:t xml:space="preserve"> sitä, että sijoittajansuojan keskeisimmät säännökset eivät koskisi näitä toimijoita. </w:t>
      </w:r>
      <w:r w:rsidR="00C23D04">
        <w:t>J</w:t>
      </w:r>
      <w:r>
        <w:t>ulkisia sisäpiirirekistereitä koskevan kansallisen sääntelyn säilyttämistä</w:t>
      </w:r>
      <w:r w:rsidR="00023F5A">
        <w:t xml:space="preserve"> </w:t>
      </w:r>
      <w:r w:rsidR="00E4595D">
        <w:t>kritisoidaan</w:t>
      </w:r>
      <w:r w:rsidR="00C23D04">
        <w:t xml:space="preserve"> </w:t>
      </w:r>
      <w:r w:rsidR="00E4595D">
        <w:t>vetoamalla</w:t>
      </w:r>
      <w:r w:rsidR="00023F5A">
        <w:t xml:space="preserve"> muun muassa siihen, että kyse on direkti</w:t>
      </w:r>
      <w:r w:rsidR="00023F5A">
        <w:t>i</w:t>
      </w:r>
      <w:r w:rsidR="00023F5A">
        <w:t>viin perustumattomasta</w:t>
      </w:r>
      <w:r w:rsidR="00C23D04">
        <w:t xml:space="preserve"> </w:t>
      </w:r>
      <w:r w:rsidR="00023F5A">
        <w:t>lisäsääntelystä, joka aiheuttaa toimijoille kustannuksia ja epäta</w:t>
      </w:r>
      <w:r w:rsidR="002A4AE1">
        <w:t>s</w:t>
      </w:r>
      <w:r w:rsidR="002A4AE1">
        <w:t>a</w:t>
      </w:r>
      <w:r w:rsidR="002A4AE1">
        <w:t>puolisia kilpailuolosuhtei</w:t>
      </w:r>
      <w:r w:rsidR="00023F5A">
        <w:t>ta.</w:t>
      </w:r>
      <w:r>
        <w:t xml:space="preserve"> </w:t>
      </w:r>
      <w:r w:rsidR="00023F5A">
        <w:t>Muutama l</w:t>
      </w:r>
      <w:r>
        <w:t>ausunnonantaja toivo</w:t>
      </w:r>
      <w:r w:rsidR="00E4595D">
        <w:t>o</w:t>
      </w:r>
      <w:r w:rsidR="00023F5A">
        <w:t>, että Suomessa pohdittaisiin direktiivin vähimmäisvaatimukset ylittävien kansallisten säännösten säätämistä</w:t>
      </w:r>
      <w:r>
        <w:t xml:space="preserve"> riippuma</w:t>
      </w:r>
      <w:r w:rsidR="00023F5A">
        <w:t>t</w:t>
      </w:r>
      <w:r w:rsidR="00023F5A">
        <w:t>tomasta</w:t>
      </w:r>
      <w:r>
        <w:t xml:space="preserve"> sijoitusneuv</w:t>
      </w:r>
      <w:r w:rsidR="00C23D04">
        <w:t>onnasta</w:t>
      </w:r>
      <w:r w:rsidR="00023F5A">
        <w:t xml:space="preserve"> esimerkiksi Ruotsin mallin mukaisesti. Lisäksi</w:t>
      </w:r>
      <w:r w:rsidR="00F90A45">
        <w:t xml:space="preserve"> useat</w:t>
      </w:r>
      <w:r w:rsidR="00023F5A">
        <w:t xml:space="preserve"> lausu</w:t>
      </w:r>
      <w:r w:rsidR="00023F5A">
        <w:t>n</w:t>
      </w:r>
      <w:r w:rsidR="00023F5A">
        <w:t xml:space="preserve">nonantajat </w:t>
      </w:r>
      <w:r w:rsidR="00E4595D">
        <w:t>eivät kannata</w:t>
      </w:r>
      <w:r>
        <w:t xml:space="preserve"> säännöstä, jonka mukaan omistusoikeuden siirtävien järjestely</w:t>
      </w:r>
      <w:r w:rsidR="002A4AE1">
        <w:t>j</w:t>
      </w:r>
      <w:r>
        <w:t>en kielto ulotet</w:t>
      </w:r>
      <w:r w:rsidR="00D10F38">
        <w:t xml:space="preserve">taisiin </w:t>
      </w:r>
      <w:r>
        <w:t>myös ammattimaisiin sijoittajiin, ellei rahoitusvakuuslaki tule sovellett</w:t>
      </w:r>
      <w:r>
        <w:t>a</w:t>
      </w:r>
      <w:r>
        <w:t>vaksi. Myös sijoittajien korvausrahastoa koskevan sääntelyn muuttamista toivot</w:t>
      </w:r>
      <w:r w:rsidR="00E4595D">
        <w:t>aan</w:t>
      </w:r>
      <w:r w:rsidR="00F90A45">
        <w:t xml:space="preserve"> sillä p</w:t>
      </w:r>
      <w:r w:rsidR="00F90A45">
        <w:t>e</w:t>
      </w:r>
      <w:r w:rsidR="00F90A45">
        <w:t>rusteella, että</w:t>
      </w:r>
      <w:r w:rsidR="00C23D04">
        <w:t xml:space="preserve"> uusista kannatusmaksujen määräytymisperusteista olisi tarkoituksenmukai</w:t>
      </w:r>
      <w:r w:rsidR="00C23D04">
        <w:t>s</w:t>
      </w:r>
      <w:r w:rsidR="00C23D04">
        <w:t xml:space="preserve">ta säätää samalla, kun direktiiviä pannaan täytäntöön. </w:t>
      </w:r>
      <w:r>
        <w:t xml:space="preserve">  </w:t>
      </w:r>
    </w:p>
    <w:p w:rsidR="00ED7057" w:rsidRDefault="00ED7057" w:rsidP="00C16CD4">
      <w:pPr>
        <w:pStyle w:val="VMNormaaliSisentmtn"/>
        <w:ind w:left="1418"/>
        <w:jc w:val="both"/>
      </w:pPr>
    </w:p>
    <w:p w:rsidR="00ED7057" w:rsidRDefault="00ED7057" w:rsidP="00C16CD4">
      <w:pPr>
        <w:pStyle w:val="VMNormaaliSisentmtn"/>
        <w:ind w:left="1418"/>
        <w:jc w:val="both"/>
      </w:pPr>
      <w:r>
        <w:t>Lausunnonantajat t</w:t>
      </w:r>
      <w:r w:rsidR="00E4595D">
        <w:t>uovat</w:t>
      </w:r>
      <w:r>
        <w:t xml:space="preserve"> esiin, että jotkin uudessa kaupankäynnistä rahoitusvälineillä a</w:t>
      </w:r>
      <w:r w:rsidR="00ED21C4">
        <w:t>n</w:t>
      </w:r>
      <w:r w:rsidR="00ED21C4">
        <w:t>nettavassa</w:t>
      </w:r>
      <w:r>
        <w:t xml:space="preserve"> laissa säädetyt velvoitteet lisäävät kaupankäyntiosapuolten velvoitteita. Toisaa</w:t>
      </w:r>
      <w:r>
        <w:t>l</w:t>
      </w:r>
      <w:r>
        <w:t>ta velvoitteiden katsot</w:t>
      </w:r>
      <w:r w:rsidR="00E4595D">
        <w:t>aan</w:t>
      </w:r>
      <w:r>
        <w:t xml:space="preserve"> olevan direktiivin vaatimusten ja tavoitteiden mukaisia. </w:t>
      </w:r>
      <w:r w:rsidR="00554519">
        <w:t>Pakoll</w:t>
      </w:r>
      <w:r w:rsidR="00554519">
        <w:t>i</w:t>
      </w:r>
      <w:r w:rsidR="00554519">
        <w:t>seksi ehdotettua pörss</w:t>
      </w:r>
      <w:r w:rsidR="00E4595D">
        <w:t>in nimitysvaliokuntaa ei pidetä tarpeellisena ja katsotaan</w:t>
      </w:r>
      <w:r w:rsidR="00554519">
        <w:t>, että nim</w:t>
      </w:r>
      <w:r w:rsidR="00554519">
        <w:t>i</w:t>
      </w:r>
      <w:r w:rsidR="00554519">
        <w:t>tysvaliokuntaa koskevan sääntelyn ei tulisi poiketa Ruotsin ja Tanskan sääntelystä</w:t>
      </w:r>
      <w:r w:rsidR="00D10F38">
        <w:t xml:space="preserve"> pörssin konsernirakenteen johdosta</w:t>
      </w:r>
      <w:r w:rsidR="00554519">
        <w:t>.</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Finanssivalvonnasta annettuun lakiin ehdotettuja muutoksia sekä </w:t>
      </w:r>
      <w:r w:rsidR="00E4595D">
        <w:t>kannatetaan että vastu</w:t>
      </w:r>
      <w:r w:rsidR="00E4595D">
        <w:t>s</w:t>
      </w:r>
      <w:r w:rsidR="00E4595D">
        <w:t>tetaan</w:t>
      </w:r>
      <w:r>
        <w:t>. Osa lausunnonantajista kanna</w:t>
      </w:r>
      <w:r w:rsidR="00E4595D">
        <w:t>t</w:t>
      </w:r>
      <w:r>
        <w:t>t</w:t>
      </w:r>
      <w:r w:rsidR="00E4595D">
        <w:t>aa</w:t>
      </w:r>
      <w:r>
        <w:t xml:space="preserve"> ehdotusta siitä, että Finanssivalvonta olisi toim</w:t>
      </w:r>
      <w:r>
        <w:t>i</w:t>
      </w:r>
      <w:r>
        <w:t>valtainen määräämään kaikki seuraamusmaksut. Ehdotusta pidet</w:t>
      </w:r>
      <w:r w:rsidR="00E4595D">
        <w:t>ään</w:t>
      </w:r>
      <w:r>
        <w:t xml:space="preserve"> järkevänä ja kannat</w:t>
      </w:r>
      <w:r>
        <w:t>e</w:t>
      </w:r>
      <w:r>
        <w:t>t</w:t>
      </w:r>
      <w:r w:rsidR="00E4595D">
        <w:t>aan</w:t>
      </w:r>
      <w:r>
        <w:t xml:space="preserve"> siitä näkökulmasta, ettei korkein hallinto-oikeus tällöin olisi ensimmäinen muutokse</w:t>
      </w:r>
      <w:r>
        <w:t>n</w:t>
      </w:r>
      <w:r>
        <w:t>hakuaste suuria seuraamusmaksuja koskevissa asioissa. Lausunnonantajat kuitenkin myös kritisoi ehdotusta, sillä ehdotuksen katsot</w:t>
      </w:r>
      <w:r w:rsidR="00E4595D">
        <w:t>aan</w:t>
      </w:r>
      <w:r>
        <w:t xml:space="preserve"> muun muassa heikentävän valvottavien oik</w:t>
      </w:r>
      <w:r>
        <w:t>e</w:t>
      </w:r>
      <w:r>
        <w:t>usturvaa</w:t>
      </w:r>
      <w:r w:rsidR="00CE7F15">
        <w:t>. Sanktioiden määräämistä koskevaan prosessiin ei tällöin sisältyisi oikeudenkäy</w:t>
      </w:r>
      <w:r w:rsidR="00CE7F15">
        <w:t>n</w:t>
      </w:r>
      <w:r w:rsidR="00CE7F15">
        <w:t>timenettelyyn sisältyviä vastaajan turvaksi säädettyjä menettelyjä.</w:t>
      </w:r>
      <w:r>
        <w:t xml:space="preserve"> Useat lausunnonantajat kannatt</w:t>
      </w:r>
      <w:r w:rsidR="00E4595D">
        <w:t>avat</w:t>
      </w:r>
      <w:r>
        <w:t xml:space="preserve"> ehdotusta siitä, että Finanssivalvonnan määräämistä hallinnollisista seura</w:t>
      </w:r>
      <w:r>
        <w:t>a</w:t>
      </w:r>
      <w:r>
        <w:t>muksista valitettaisiin jatkossa markkinaoikeuden sijasta hallinto-oikeuteen. Ehdotusta ku</w:t>
      </w:r>
      <w:r>
        <w:t>i</w:t>
      </w:r>
      <w:r>
        <w:t>tenkin myös vastuste</w:t>
      </w:r>
      <w:r w:rsidR="00E4595D">
        <w:t>taan</w:t>
      </w:r>
      <w:r>
        <w:t>. Lisäksi asioiden keskittämistä yhteen hallinto-oikeuteen toiv</w:t>
      </w:r>
      <w:r>
        <w:t>o</w:t>
      </w:r>
      <w:r>
        <w:t>t</w:t>
      </w:r>
      <w:r w:rsidR="00E4595D">
        <w:t>aan</w:t>
      </w:r>
      <w:r>
        <w:t xml:space="preserve"> asioiden vähäisen määrän sekä niiden edellyttämän erityisasiantuntemuksen vuoksi. Osa lausunnonantajista esitt</w:t>
      </w:r>
      <w:r w:rsidR="00E4595D">
        <w:t>ää</w:t>
      </w:r>
      <w:r>
        <w:t>, että valitus hallinto-oikeuden päätöksestä korkeimpaan ha</w:t>
      </w:r>
      <w:r>
        <w:t>l</w:t>
      </w:r>
      <w:r>
        <w:t xml:space="preserve">linto-oikeuteen säädettäisiin valituslupaa edellyttäväksi.  </w:t>
      </w:r>
    </w:p>
    <w:p w:rsidR="00ED7057" w:rsidRDefault="00ED7057" w:rsidP="00C16CD4">
      <w:pPr>
        <w:pStyle w:val="VMNormaaliSisentmtn"/>
        <w:ind w:left="1418"/>
        <w:jc w:val="both"/>
      </w:pPr>
    </w:p>
    <w:p w:rsidR="00ED7057" w:rsidRDefault="00925D39" w:rsidP="00C16CD4">
      <w:pPr>
        <w:pStyle w:val="VMNormaaliSisentmtn"/>
        <w:ind w:left="1418"/>
        <w:jc w:val="both"/>
      </w:pPr>
      <w:r>
        <w:t>Useat lausunnonantajat lausui</w:t>
      </w:r>
      <w:r w:rsidR="00CE7F15">
        <w:t>vat joukkorahoituslakiin ehdotetuista muutoksista. Lausunnot jakautuvat kuitenkin hyvin voimakkaasti kahtia.</w:t>
      </w:r>
      <w:r>
        <w:t xml:space="preserve"> Osa lausunnonantajista kannattaa ja pitää</w:t>
      </w:r>
      <w:r w:rsidR="00060EC5">
        <w:t xml:space="preserve"> välttämättömänä</w:t>
      </w:r>
      <w:r w:rsidR="00CE7F15">
        <w:t xml:space="preserve"> ehdotusta sijoitusmuotoisen joukkorahoituksen välittäjän rekisteröintiva</w:t>
      </w:r>
      <w:r w:rsidR="00CE7F15">
        <w:t>a</w:t>
      </w:r>
      <w:r w:rsidR="00CE7F15">
        <w:t>timuksen muuttamis</w:t>
      </w:r>
      <w:r w:rsidR="00060EC5">
        <w:t>esta</w:t>
      </w:r>
      <w:r w:rsidR="00CE7F15">
        <w:t xml:space="preserve"> toimilupavaatimukseksi. Osa lausunnonantajista sen sijaan va</w:t>
      </w:r>
      <w:r w:rsidR="00CE7F15">
        <w:t>s</w:t>
      </w:r>
      <w:r>
        <w:t>tustaa</w:t>
      </w:r>
      <w:r w:rsidR="00CE7F15">
        <w:t xml:space="preserve"> ehdotusta vedoten muun muassa siihen, että MIFID II:n 3 artikla</w:t>
      </w:r>
      <w:r w:rsidR="00060EC5">
        <w:t>n implementoinnissa vaikuttaisi heidän näkemyksen mukaan olevan tilaa kansalliselle liikkumavaralle enemmän kuin mitä esitysluonnoksessa esitetään.</w:t>
      </w:r>
      <w:r w:rsidR="00CE7F15">
        <w:t xml:space="preserve"> </w:t>
      </w:r>
      <w:r w:rsidR="00ED7057">
        <w:t>Lausunnonantajat t</w:t>
      </w:r>
      <w:r>
        <w:t>uovat</w:t>
      </w:r>
      <w:r w:rsidR="00ED7057">
        <w:t xml:space="preserve"> esiin, että joukkorahoitu</w:t>
      </w:r>
      <w:r w:rsidR="00ED7057">
        <w:t>s</w:t>
      </w:r>
      <w:r w:rsidR="00ED7057">
        <w:t>lakiin ehdotetuilla muutoksilla voi olla haitallisia vaikutuksia toimialaan</w:t>
      </w:r>
      <w:r w:rsidR="00CE7F15">
        <w:t xml:space="preserve"> ja yritysrahoituksen saatavuuteen</w:t>
      </w:r>
      <w:r w:rsidR="00ED7057">
        <w:t xml:space="preserve">. </w:t>
      </w:r>
      <w:r w:rsidR="00432945">
        <w:t>Esitysluonnoksen p</w:t>
      </w:r>
      <w:r w:rsidR="00ED7057">
        <w:t>yrkimystä selventää joukkorahoituslain suhdetta muihin säännöksiin kiitet</w:t>
      </w:r>
      <w:r>
        <w:t>ään</w:t>
      </w:r>
      <w:r w:rsidR="00ED7057">
        <w:t xml:space="preserve">.  </w:t>
      </w:r>
    </w:p>
    <w:p w:rsidR="00C57E88" w:rsidRDefault="00C57E88" w:rsidP="00C16CD4">
      <w:pPr>
        <w:pStyle w:val="VMNormaaliSisentmtn"/>
        <w:ind w:left="1418"/>
        <w:jc w:val="both"/>
      </w:pPr>
    </w:p>
    <w:p w:rsidR="00C57E88" w:rsidRDefault="00C57E88" w:rsidP="00C57E88">
      <w:pPr>
        <w:pStyle w:val="VMNormaaliSisentmtn"/>
        <w:ind w:left="1418"/>
        <w:jc w:val="both"/>
      </w:pPr>
      <w:r>
        <w:t>Lausuntopalaute on koottu lausuntoyhteenvetoon mahdollisuuksien mukaan yleiseen p</w:t>
      </w:r>
      <w:r>
        <w:t>a</w:t>
      </w:r>
      <w:r>
        <w:t xml:space="preserve">lautteeseen sekä lakikohtaiseen palautteeseen jaoteltuna. </w:t>
      </w:r>
    </w:p>
    <w:p w:rsidR="00C57E88" w:rsidRDefault="00C57E88" w:rsidP="00C16CD4">
      <w:pPr>
        <w:pStyle w:val="VMNormaaliSisentmtn"/>
        <w:ind w:left="1418"/>
        <w:jc w:val="both"/>
      </w:pPr>
    </w:p>
    <w:p w:rsidR="00ED7057" w:rsidRDefault="00ED7057" w:rsidP="00F879A0">
      <w:pPr>
        <w:pStyle w:val="VMNormaaliSisentmtn"/>
        <w:jc w:val="both"/>
      </w:pPr>
    </w:p>
    <w:p w:rsidR="00ED7057" w:rsidRDefault="00ED7057" w:rsidP="00F879A0">
      <w:pPr>
        <w:pStyle w:val="VMNormaaliSisentmtn"/>
        <w:jc w:val="both"/>
      </w:pPr>
    </w:p>
    <w:p w:rsidR="00F054C1" w:rsidRDefault="00F054C1">
      <w:pPr>
        <w:rPr>
          <w:b/>
          <w:bCs/>
          <w:kern w:val="32"/>
          <w:szCs w:val="32"/>
        </w:rPr>
      </w:pPr>
      <w:bookmarkStart w:id="8" w:name="_Toc493863014"/>
      <w:bookmarkStart w:id="9" w:name="_Toc493863231"/>
      <w:r>
        <w:br w:type="page"/>
      </w:r>
    </w:p>
    <w:p w:rsidR="00ED7057" w:rsidRDefault="00ED7057" w:rsidP="00F879A0">
      <w:pPr>
        <w:pStyle w:val="VMOtsikko1"/>
        <w:jc w:val="both"/>
      </w:pPr>
      <w:r>
        <w:t>2 LAUSUNNONANTAJIEN YLEINEN PALAUTE</w:t>
      </w:r>
      <w:bookmarkEnd w:id="8"/>
      <w:bookmarkEnd w:id="9"/>
    </w:p>
    <w:p w:rsidR="00ED7057" w:rsidRDefault="00ED7057" w:rsidP="00F879A0">
      <w:pPr>
        <w:pStyle w:val="VMOtsikko2"/>
        <w:jc w:val="both"/>
      </w:pPr>
      <w:r>
        <w:t>2.1 Yleisesti esitysluonnoksesta</w:t>
      </w:r>
    </w:p>
    <w:p w:rsidR="00ED7057" w:rsidRDefault="00ED7057" w:rsidP="00F879A0">
      <w:pPr>
        <w:pStyle w:val="VMNormaaliSisentmtn"/>
        <w:jc w:val="both"/>
      </w:pPr>
    </w:p>
    <w:p w:rsidR="00ED7057" w:rsidRDefault="00ED7057" w:rsidP="00C16CD4">
      <w:pPr>
        <w:pStyle w:val="VMNormaaliSisentmtn"/>
        <w:ind w:left="1418"/>
        <w:jc w:val="both"/>
      </w:pPr>
      <w:r>
        <w:t>Suuri osa lausunnonantajista pit</w:t>
      </w:r>
      <w:r w:rsidR="00925D39">
        <w:t>ää</w:t>
      </w:r>
      <w:r>
        <w:t xml:space="preserve"> esitysluonnosta pääosin onnistuneena. </w:t>
      </w:r>
      <w:r w:rsidRPr="00964164">
        <w:rPr>
          <w:b/>
        </w:rPr>
        <w:t>OP</w:t>
      </w:r>
      <w:r>
        <w:t xml:space="preserve"> pitää esity</w:t>
      </w:r>
      <w:r>
        <w:t>s</w:t>
      </w:r>
      <w:r>
        <w:t xml:space="preserve">tä hyvin valmisteltuna. </w:t>
      </w:r>
      <w:r w:rsidRPr="00964164">
        <w:rPr>
          <w:b/>
        </w:rPr>
        <w:t>Asianajajaliitto</w:t>
      </w:r>
      <w:r>
        <w:t xml:space="preserve">, </w:t>
      </w:r>
      <w:r w:rsidRPr="00964164">
        <w:rPr>
          <w:b/>
        </w:rPr>
        <w:t>Pörssisäätiö</w:t>
      </w:r>
      <w:r>
        <w:t xml:space="preserve"> ja </w:t>
      </w:r>
      <w:r w:rsidRPr="00964164">
        <w:rPr>
          <w:b/>
        </w:rPr>
        <w:t xml:space="preserve">EK </w:t>
      </w:r>
      <w:r>
        <w:t>pitävät esitys</w:t>
      </w:r>
      <w:r w:rsidR="00964164">
        <w:t>luonnoksessa omaksuttuja ratkai</w:t>
      </w:r>
      <w:r>
        <w:t xml:space="preserve">suja pääosin onnistuneina, ja </w:t>
      </w:r>
      <w:r w:rsidRPr="00964164">
        <w:rPr>
          <w:b/>
        </w:rPr>
        <w:t>MAO</w:t>
      </w:r>
      <w:r>
        <w:t xml:space="preserve"> pitää ehdotuksia pääosin kannatett</w:t>
      </w:r>
      <w:r>
        <w:t>a</w:t>
      </w:r>
      <w:r>
        <w:t xml:space="preserve">vina. </w:t>
      </w:r>
      <w:r w:rsidRPr="00964164">
        <w:rPr>
          <w:b/>
        </w:rPr>
        <w:t>STM</w:t>
      </w:r>
      <w:r>
        <w:t xml:space="preserve"> pitää esitysluonnosta lähtökohdiltaan hyvin perusteltuna ja kannettavana. </w:t>
      </w:r>
      <w:r w:rsidRPr="00964164">
        <w:rPr>
          <w:b/>
        </w:rPr>
        <w:t>Ene</w:t>
      </w:r>
      <w:r w:rsidRPr="00964164">
        <w:rPr>
          <w:b/>
        </w:rPr>
        <w:t>r</w:t>
      </w:r>
      <w:r w:rsidRPr="00964164">
        <w:rPr>
          <w:b/>
        </w:rPr>
        <w:t>giateollisuuden</w:t>
      </w:r>
      <w:r>
        <w:t xml:space="preserve"> mukaan esitysluonnos noudattaa asianmukaisesti ja oikealla tavalla dire</w:t>
      </w:r>
      <w:r>
        <w:t>k</w:t>
      </w:r>
      <w:r>
        <w:t xml:space="preserve">tiivin sisältöä ja on näin ollen kannatettava. Myös </w:t>
      </w:r>
      <w:proofErr w:type="spellStart"/>
      <w:r w:rsidRPr="00964164">
        <w:rPr>
          <w:b/>
        </w:rPr>
        <w:t>EK</w:t>
      </w:r>
      <w:r>
        <w:t>:n</w:t>
      </w:r>
      <w:proofErr w:type="spellEnd"/>
      <w:r>
        <w:t xml:space="preserve"> näkemyksen mukaan </w:t>
      </w:r>
      <w:r w:rsidR="00063219">
        <w:t>esitys</w:t>
      </w:r>
      <w:r>
        <w:t>luo</w:t>
      </w:r>
      <w:r>
        <w:t>n</w:t>
      </w:r>
      <w:r>
        <w:t xml:space="preserve">noksessa on onnistuttu implementoinnissa kohtuullisen hyvin. </w:t>
      </w:r>
      <w:r w:rsidRPr="00964164">
        <w:rPr>
          <w:b/>
        </w:rPr>
        <w:t>Finanssivalvonta</w:t>
      </w:r>
      <w:r>
        <w:t xml:space="preserve"> sen sijaan katsoo, että esitysluonnos vaatii monilta osin täydentämistä ja selventämistä.</w:t>
      </w:r>
    </w:p>
    <w:p w:rsidR="00ED7057" w:rsidRDefault="00ED7057" w:rsidP="00C16CD4">
      <w:pPr>
        <w:pStyle w:val="VMNormaaliSisentmtn"/>
        <w:ind w:left="1418"/>
        <w:jc w:val="both"/>
      </w:pPr>
    </w:p>
    <w:p w:rsidR="00ED7057" w:rsidRDefault="00ED7057" w:rsidP="00C16CD4">
      <w:pPr>
        <w:pStyle w:val="VMNormaaliSisentmtn"/>
        <w:ind w:left="1418"/>
        <w:jc w:val="both"/>
      </w:pPr>
      <w:r>
        <w:t>Lisäksi suuri osa lausunnonantajista kannatt</w:t>
      </w:r>
      <w:r w:rsidR="00925D39">
        <w:t>aa</w:t>
      </w:r>
      <w:r>
        <w:t xml:space="preserve"> esityksen tavoitteita. </w:t>
      </w:r>
      <w:r w:rsidRPr="00964164">
        <w:rPr>
          <w:b/>
        </w:rPr>
        <w:t>Pörssisäätiö</w:t>
      </w:r>
      <w:r>
        <w:t xml:space="preserve"> pitää l</w:t>
      </w:r>
      <w:r>
        <w:t>a</w:t>
      </w:r>
      <w:r>
        <w:t xml:space="preserve">kimuutoksen tavoitteita tärkeinä. </w:t>
      </w:r>
      <w:r w:rsidRPr="00964164">
        <w:rPr>
          <w:b/>
        </w:rPr>
        <w:t>Finanssiala</w:t>
      </w:r>
      <w:r>
        <w:t xml:space="preserve"> ilmoittaa kannattavansa sääntelyn yleisiä t</w:t>
      </w:r>
      <w:r>
        <w:t>a</w:t>
      </w:r>
      <w:r>
        <w:t>voitteita lisätä kaupankäynnin läpinäkyvyyttä, tehokkuutta ja luotettavuutta kaikkien raho</w:t>
      </w:r>
      <w:r>
        <w:t>i</w:t>
      </w:r>
      <w:r>
        <w:t>tusvälineiden osalta.</w:t>
      </w:r>
      <w:r w:rsidR="003F4268">
        <w:t xml:space="preserve"> </w:t>
      </w:r>
      <w:r w:rsidRPr="00964164">
        <w:rPr>
          <w:b/>
        </w:rPr>
        <w:t>Säästöpankkiliitto</w:t>
      </w:r>
      <w:r>
        <w:t xml:space="preserve"> ilmoittaa yhtyvänsä </w:t>
      </w:r>
      <w:r w:rsidRPr="00964164">
        <w:rPr>
          <w:b/>
        </w:rPr>
        <w:t>Finanssialan</w:t>
      </w:r>
      <w:r>
        <w:t xml:space="preserve"> lausuntoon. </w:t>
      </w:r>
      <w:r w:rsidRPr="00964164">
        <w:rPr>
          <w:b/>
        </w:rPr>
        <w:t>SAK</w:t>
      </w:r>
      <w:r>
        <w:t xml:space="preserve"> puolestaan pitää MIFID II:n ja </w:t>
      </w:r>
      <w:proofErr w:type="spellStart"/>
      <w:r>
        <w:t>MIFIR:n</w:t>
      </w:r>
      <w:proofErr w:type="spellEnd"/>
      <w:r>
        <w:t xml:space="preserve"> pyrkimyksiä lisätä avoimuutta ja vahvistaa sääntelyä sijoituspalveluiden ja rahoitusvälineiden osalta myönteisenä. </w:t>
      </w:r>
      <w:r w:rsidRPr="00964164">
        <w:rPr>
          <w:b/>
        </w:rPr>
        <w:t>Kuluttajaliitto</w:t>
      </w:r>
      <w:r>
        <w:t xml:space="preserve"> ja </w:t>
      </w:r>
      <w:r w:rsidRPr="00964164">
        <w:rPr>
          <w:b/>
        </w:rPr>
        <w:t>FINE</w:t>
      </w:r>
      <w:r>
        <w:t xml:space="preserve"> pitävät ehdotettuja muutoksia kannatettavina niiden sijoittajansuojaa vahvistavan va</w:t>
      </w:r>
      <w:r>
        <w:t>i</w:t>
      </w:r>
      <w:r>
        <w:t xml:space="preserve">kutuksen vuoksi.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TEM</w:t>
      </w:r>
      <w:r>
        <w:t xml:space="preserve"> katsoo, että elinkeinopoliittisesti kannattavina voidaan pitää sellaisia hankkeita, jotka tukevat rahoitusmarkkinoiden toimintaa ja kilpailukykyä sekä tätä kautta yritysrahoitu</w:t>
      </w:r>
      <w:r>
        <w:t>s</w:t>
      </w:r>
      <w:r>
        <w:t>markkinoiden kehittymistä ja joiden pyrkimys on vahvistaa sijoittajans</w:t>
      </w:r>
      <w:r w:rsidR="00964164">
        <w:t xml:space="preserve">uojaa. </w:t>
      </w:r>
      <w:r w:rsidRPr="00964164">
        <w:rPr>
          <w:b/>
        </w:rPr>
        <w:t>TEM</w:t>
      </w:r>
      <w:r>
        <w:t xml:space="preserve"> pitää h</w:t>
      </w:r>
      <w:r>
        <w:t>y</w:t>
      </w:r>
      <w:r>
        <w:t xml:space="preserve">vänä esitysluonnoksessa esitettyä pyrkimystä parantaa pienten ja keskisuurten yritysten mahdollisuuksia päästä pääomamarkkinoille. Markkinatoimijoihin kohdistuva hallinnollisen taakan ja suorien kustannusten kasvu ei kuitenkaan ole oikeansuuntaista kehitystä, joskin ehdotus arvioi kustannusvaikutuksen suhteellisen maltilliseksi.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Pörssisäätiö</w:t>
      </w:r>
      <w:r>
        <w:t xml:space="preserve"> tuo esiin, että se pitää </w:t>
      </w:r>
      <w:proofErr w:type="spellStart"/>
      <w:r>
        <w:t>pääomamarkkinan</w:t>
      </w:r>
      <w:proofErr w:type="spellEnd"/>
      <w:r>
        <w:t xml:space="preserve"> jatkuvaa kehittämistä erittäin tä</w:t>
      </w:r>
      <w:r>
        <w:t>r</w:t>
      </w:r>
      <w:r>
        <w:t xml:space="preserve">keänä. </w:t>
      </w:r>
      <w:proofErr w:type="spellStart"/>
      <w:r>
        <w:t>Markkinaa</w:t>
      </w:r>
      <w:proofErr w:type="spellEnd"/>
      <w:r>
        <w:t xml:space="preserve"> tulee kehittää niin, että otetaan samanaikaisesti huomioon yritysten ka</w:t>
      </w:r>
      <w:r>
        <w:t>s</w:t>
      </w:r>
      <w:r>
        <w:t>vurahoituksen saatavuus sekä sijoittajansuoja. Lähtökohtaisesti äkillisiä muutoksia tulisi välttää, ja toimintaympäristön ennustettavuus o</w:t>
      </w:r>
      <w:r w:rsidR="007F5B5B">
        <w:t>lisi</w:t>
      </w:r>
      <w:r>
        <w:t xml:space="preserve"> tärkeää. </w:t>
      </w:r>
    </w:p>
    <w:p w:rsidR="00ED7057" w:rsidRDefault="00ED7057" w:rsidP="00C16CD4">
      <w:pPr>
        <w:pStyle w:val="VMNormaaliSisentmtn"/>
        <w:ind w:left="1418"/>
        <w:jc w:val="both"/>
      </w:pPr>
    </w:p>
    <w:p w:rsidR="00ED7057" w:rsidRDefault="00ED7057" w:rsidP="00C16CD4">
      <w:pPr>
        <w:pStyle w:val="VMNormaaliSisentmtn"/>
        <w:ind w:left="1418"/>
        <w:jc w:val="both"/>
      </w:pPr>
      <w:proofErr w:type="gramStart"/>
      <w:r w:rsidRPr="00964164">
        <w:rPr>
          <w:b/>
        </w:rPr>
        <w:t>Yrittäjät</w:t>
      </w:r>
      <w:r>
        <w:t xml:space="preserve"> suhtautuu</w:t>
      </w:r>
      <w:proofErr w:type="gramEnd"/>
      <w:r>
        <w:t xml:space="preserve"> periaatteessa myönteisesti esitysluonnokseen, joka voisi monipuolistaa yritysrahoituksen saatavuutta. Mikäli luonnoksessa ehdotetut säännökset kannustavat s</w:t>
      </w:r>
      <w:r>
        <w:t>i</w:t>
      </w:r>
      <w:r>
        <w:t>joittajia sijoittamaan aiempaa enemmän rahoitusmarkkinoille, tämä voi kasvattaa yritysr</w:t>
      </w:r>
      <w:r>
        <w:t>a</w:t>
      </w:r>
      <w:r>
        <w:t>hoituksen volyymia ja laskea sen hintaa. Joukkolainamarkkinoiden hinnoittelun läpinäk</w:t>
      </w:r>
      <w:r>
        <w:t>y</w:t>
      </w:r>
      <w:r>
        <w:t>vyys voi niin ikään auttaa yrityksiä, kun ne arvioivat sopivaa hintaa joukkolainansa liikke</w:t>
      </w:r>
      <w:r>
        <w:t>e</w:t>
      </w:r>
      <w:r>
        <w:t xml:space="preserve">seenlaskulle. Pienten ja keskisuurten yritysten rahoitusta ja kasvua pyritään edistämään kehittämällä pk-yritysten kasvumarkkinoita. </w:t>
      </w:r>
      <w:r w:rsidRPr="00964164">
        <w:rPr>
          <w:b/>
        </w:rPr>
        <w:t>Yrittäjien</w:t>
      </w:r>
      <w:r>
        <w:t xml:space="preserve"> mukaan esitysluonnoksen vaikutu</w:t>
      </w:r>
      <w:r>
        <w:t>k</w:t>
      </w:r>
      <w:r>
        <w:t>set ovat kuitenkin monelta osin yritysrahoitusta leikkaavia ja sen hintaa nostavia. Merkitt</w:t>
      </w:r>
      <w:r>
        <w:t>ä</w:t>
      </w:r>
      <w:r>
        <w:t xml:space="preserve">vin huoli kohdistuu joukkorahoituslakia koskevaan muutosehdotukseen. </w:t>
      </w:r>
    </w:p>
    <w:p w:rsidR="00ED7057" w:rsidRDefault="00ED7057" w:rsidP="006F0DFF">
      <w:pPr>
        <w:pStyle w:val="VMNormaaliSisentmtn"/>
        <w:jc w:val="both"/>
      </w:pPr>
    </w:p>
    <w:p w:rsidR="00ED7057" w:rsidRDefault="00ED7057" w:rsidP="00C16CD4">
      <w:pPr>
        <w:pStyle w:val="VMNormaaliSisentmtn"/>
        <w:ind w:left="1418"/>
        <w:jc w:val="both"/>
      </w:pPr>
      <w:r w:rsidRPr="00964164">
        <w:rPr>
          <w:b/>
        </w:rPr>
        <w:t>SM</w:t>
      </w:r>
      <w:r>
        <w:t xml:space="preserve"> pitää esitettyjä muutoksia tarpeellisina ja kannatettavina. Muutoksilla lisätään avoimuu</w:t>
      </w:r>
      <w:r>
        <w:t>t</w:t>
      </w:r>
      <w:r>
        <w:t>ta, parannetaan sijoittajansuojaa, vahvistetaan luottamusta puuttuviin sääntelemättömiin osa-alueisiin ja varmistetaan, että valvontaviranomaisille annetaan riittävät valtuudet teht</w:t>
      </w:r>
      <w:r>
        <w:t>ä</w:t>
      </w:r>
      <w:r>
        <w:t xml:space="preserve">vien hoitamiseksi.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KRP</w:t>
      </w:r>
      <w:r>
        <w:t xml:space="preserve"> pitää ehdotettuja säännöksiä rikostorjunnan näkökulmasta kannatettavina. </w:t>
      </w:r>
      <w:r w:rsidRPr="00964164">
        <w:rPr>
          <w:b/>
        </w:rPr>
        <w:t>KRP</w:t>
      </w:r>
      <w:r>
        <w:t>:n mukaan rekisteröityä tai toimiluvallista joukkorahoituksen välittäjää ja näiden toimintaan lii</w:t>
      </w:r>
      <w:r>
        <w:t>t</w:t>
      </w:r>
      <w:r>
        <w:t>tyvä kaikkia rahoitusvälineitä koskevien säännösten valvonta kaikessa laajuudessaan lisää mahdollisten rikosten ilmitulomahdollisuuksia. Soveltamisalaan lisätyt informatiiviset sää</w:t>
      </w:r>
      <w:r>
        <w:t>n</w:t>
      </w:r>
      <w:r>
        <w:t xml:space="preserve">nökset mahdollistavat hyvin rikostunnusmerkistöjen toteutumisen arvioinnin luvattoman toiminnan osalta. Moitittaviksi katsottavien tekojen lisääntyvien ilmitulomahdollisuuksien vuoksi on tärkeää </w:t>
      </w:r>
      <w:r w:rsidR="006726E2">
        <w:t xml:space="preserve">esitysluonnoksessa </w:t>
      </w:r>
      <w:r>
        <w:t>ehdotettavin tavoin säilyttää tekojen rangaistu</w:t>
      </w:r>
      <w:r>
        <w:t>s</w:t>
      </w:r>
      <w:r>
        <w:t xml:space="preserve">säännökset, vaikka </w:t>
      </w:r>
      <w:proofErr w:type="spellStart"/>
      <w:r>
        <w:t>sanktiouhkaisen</w:t>
      </w:r>
      <w:proofErr w:type="spellEnd"/>
      <w:r>
        <w:t xml:space="preserve"> ilmituloriskin lisääntyminen on jo sellaisenaan omiaan ennalta estämään rikoksia.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Valtakunnansyyttäjänvirasto</w:t>
      </w:r>
      <w:r>
        <w:t xml:space="preserve"> toteaa, että syyttäjäntyön kannalta esitysluonnoksessa on erityisen positiivista se, että siihen sisältyy tehokkaita mekanismeja väärinkäytösten ilmoi</w:t>
      </w:r>
      <w:r>
        <w:t>t</w:t>
      </w:r>
      <w:r>
        <w:t>tamiseksi. Lisäksi toiminta säilytetään pääasiassa julkisena ja hallinnollisia seuraamuksia tehostetaan edelleen. Hallinnollisten sanktioiden ennalta estävä vaikutus edellyttää, että ni</w:t>
      </w:r>
      <w:r>
        <w:t>i</w:t>
      </w:r>
      <w:r>
        <w:t>tä käytetään rikkomusten ilmetessä kaikkiin valvottaviin tasapuolisesti. Ehdotettu lainsä</w:t>
      </w:r>
      <w:r>
        <w:t>ä</w:t>
      </w:r>
      <w:r>
        <w:t>däntö antaa tähän entistä paremmat mahdollisuudet. Valvojan määräämien seuraamusten tulee myös käytännössä olla lain mahdollistamin tavoin vaikuttavia. Hallinnollisen menett</w:t>
      </w:r>
      <w:r>
        <w:t>e</w:t>
      </w:r>
      <w:r>
        <w:t xml:space="preserve">lyn vahvuus on sen nopeus verrattuna rikosoikeudelliseen menettelyyn, eikä tätä etua saisi hukata määräämällä liian lieviä seuraamuksia. </w:t>
      </w:r>
    </w:p>
    <w:p w:rsidR="00ED7057" w:rsidRDefault="00ED7057" w:rsidP="00C16CD4">
      <w:pPr>
        <w:pStyle w:val="VMNormaaliSisentmtn"/>
        <w:ind w:left="1418"/>
        <w:jc w:val="both"/>
      </w:pPr>
    </w:p>
    <w:p w:rsidR="00ED7057" w:rsidRDefault="00ED7057" w:rsidP="00C16CD4">
      <w:pPr>
        <w:pStyle w:val="VMNormaaliSisentmtn"/>
        <w:ind w:left="1418"/>
        <w:jc w:val="both"/>
      </w:pPr>
      <w:r>
        <w:t>Sääntelyn soveltamisalaan kiinnitet</w:t>
      </w:r>
      <w:r w:rsidR="00925D39">
        <w:t>ään</w:t>
      </w:r>
      <w:r>
        <w:t xml:space="preserve"> huomiota joissakin lausunnoissa. Työeläkelaitosten osalta </w:t>
      </w:r>
      <w:r w:rsidRPr="00964164">
        <w:rPr>
          <w:b/>
        </w:rPr>
        <w:t>Finanssiala</w:t>
      </w:r>
      <w:r>
        <w:t xml:space="preserve"> toteaa, että direktiivin sääntely ei sovellu suoraan työeläkelaitoksiin, mutta koko sääntelyn velvoitteet koskevat kuitenkin laajemmin ja epäsuorasti työelä</w:t>
      </w:r>
      <w:r w:rsidR="00964164">
        <w:t>kela</w:t>
      </w:r>
      <w:r w:rsidR="00964164">
        <w:t>i</w:t>
      </w:r>
      <w:r w:rsidR="00964164">
        <w:t>toksia erilaisten sijoitus</w:t>
      </w:r>
      <w:r>
        <w:t xml:space="preserve">transaktioiden vastapuolina. Lisäksi asetuksen jotkin säännökset soveltuvat joihinkin työeläkelaitoksiin. </w:t>
      </w:r>
      <w:r w:rsidRPr="00964164">
        <w:rPr>
          <w:b/>
        </w:rPr>
        <w:t>Kuntarahoituksen</w:t>
      </w:r>
      <w:r>
        <w:t xml:space="preserve"> mukaan esityksen yleisperust</w:t>
      </w:r>
      <w:r>
        <w:t>e</w:t>
      </w:r>
      <w:r>
        <w:t xml:space="preserve">luihin olisi perusteltua lisätä maininta siitä, etteivät MIFID II:n ja </w:t>
      </w:r>
      <w:proofErr w:type="spellStart"/>
      <w:r>
        <w:t>MIFIR:n</w:t>
      </w:r>
      <w:proofErr w:type="spellEnd"/>
      <w:r>
        <w:t xml:space="preserve"> soveltamisalat ole keskenään yhteneväiset.</w:t>
      </w:r>
    </w:p>
    <w:p w:rsidR="00ED7057" w:rsidRDefault="00ED7057" w:rsidP="00C16CD4">
      <w:pPr>
        <w:pStyle w:val="VMNormaaliSisentmtn"/>
        <w:ind w:left="1418"/>
        <w:jc w:val="both"/>
      </w:pPr>
    </w:p>
    <w:p w:rsidR="00ED7057" w:rsidRDefault="00ED7057" w:rsidP="00C16CD4">
      <w:pPr>
        <w:pStyle w:val="VMNormaaliSisentmtn"/>
        <w:ind w:left="1418"/>
        <w:jc w:val="both"/>
      </w:pPr>
      <w:r>
        <w:t>Myös esitysluonnoksen rakenteen ja sisällön osalta esitet</w:t>
      </w:r>
      <w:r w:rsidR="00925D39">
        <w:t>ään</w:t>
      </w:r>
      <w:r>
        <w:t xml:space="preserve"> yleisiä huomioita. </w:t>
      </w:r>
      <w:r w:rsidRPr="00964164">
        <w:rPr>
          <w:b/>
        </w:rPr>
        <w:t>Finan</w:t>
      </w:r>
      <w:r w:rsidRPr="00964164">
        <w:rPr>
          <w:b/>
        </w:rPr>
        <w:t>s</w:t>
      </w:r>
      <w:r w:rsidRPr="00964164">
        <w:rPr>
          <w:b/>
        </w:rPr>
        <w:t>siala</w:t>
      </w:r>
      <w:r>
        <w:t xml:space="preserve"> esittää yleisen huolensa siitä, että sääntelykokonaisuudesta muodostuu lain sovelt</w:t>
      </w:r>
      <w:r>
        <w:t>a</w:t>
      </w:r>
      <w:r>
        <w:t>jalle hankala ja raskas, koska sääntelyn tasoja ja sääntelyinstrumentteja on useita. Erity</w:t>
      </w:r>
      <w:r>
        <w:t>i</w:t>
      </w:r>
      <w:r>
        <w:t>sen tärkeää on, että eurooppalaisen lainsäädännön rakenne otetaan valmistelussa huom</w:t>
      </w:r>
      <w:r>
        <w:t>i</w:t>
      </w:r>
      <w:r>
        <w:t xml:space="preserve">oon. Tämä edellyttää, että Finanssivalvonnan määräystenantovallan rajat on selkeästi määritelty lain tasolla ja että ne rajoittuvat EU-sääntelyn täytäntöönpanoon. </w:t>
      </w:r>
      <w:r w:rsidRPr="00964164">
        <w:rPr>
          <w:b/>
        </w:rPr>
        <w:t>KHO</w:t>
      </w:r>
      <w:r>
        <w:t xml:space="preserve"> toteaa, e</w:t>
      </w:r>
      <w:r>
        <w:t>t</w:t>
      </w:r>
      <w:r>
        <w:t xml:space="preserve">tä ehdotettu EU-taustainen lainsäädäntö on erittäin monimutkaista ja yksityiskohtaista, ja se vaikuttaisi varsinaisten sijoitus- ja rahoitusmarkkinoiden osapuolten lisäksi myös energia-alan toimijoihin ja päästökauppaan. </w:t>
      </w:r>
      <w:r w:rsidRPr="006F0DFF">
        <w:rPr>
          <w:b/>
        </w:rPr>
        <w:t>Finanssivalvonta</w:t>
      </w:r>
      <w:r>
        <w:t xml:space="preserve"> kiinnittää huomiota siihen, että es</w:t>
      </w:r>
      <w:r>
        <w:t>i</w:t>
      </w:r>
      <w:r>
        <w:t>tysluonnoksessa on useita kohtia, joissa samasta asiasta on otettu säännös komission as</w:t>
      </w:r>
      <w:r>
        <w:t>e</w:t>
      </w:r>
      <w:r>
        <w:t xml:space="preserve">tukseen.  </w:t>
      </w:r>
    </w:p>
    <w:p w:rsidR="003945B5" w:rsidRDefault="003945B5" w:rsidP="00C16CD4">
      <w:pPr>
        <w:pStyle w:val="VMNormaaliSisentmtn"/>
        <w:ind w:left="1418"/>
        <w:jc w:val="both"/>
      </w:pPr>
    </w:p>
    <w:p w:rsidR="003945B5" w:rsidRDefault="003945B5" w:rsidP="003945B5">
      <w:pPr>
        <w:pStyle w:val="VMNormaaliSisentmtn"/>
        <w:ind w:left="1418"/>
        <w:jc w:val="both"/>
      </w:pPr>
      <w:r w:rsidRPr="00964164">
        <w:rPr>
          <w:b/>
        </w:rPr>
        <w:t>EK</w:t>
      </w:r>
      <w:r>
        <w:t xml:space="preserve"> kannattaa ja tukee sääntelyn taustalla olevia yleisiä tavoitteita, mutta pitää sääntelyä paikoin tarpeettoman raskaana ja massiivisena sekä poikkeuksellisen yksityiskohtaisena. Lisäksi erityistä huomiota tulisi kiinnittää alemmanasteisen sääntelyn antamiseen liittyvien määräystenantovaltuuksien rajojen täsmälliseen määrittelyyn lakitasoisesti liiallisen säänt</w:t>
      </w:r>
      <w:r>
        <w:t>e</w:t>
      </w:r>
      <w:r>
        <w:t xml:space="preserve">lyn välttämiseksi. Liian yksityiskohtainen ja massiivinen sääntely voi käytännössä kääntyä tavoitteitaan vastaan. </w:t>
      </w:r>
      <w:r w:rsidRPr="00964164">
        <w:rPr>
          <w:b/>
        </w:rPr>
        <w:t>EK</w:t>
      </w:r>
      <w:r>
        <w:t xml:space="preserve"> myös toteaa, että Suomen tulee aktiivisesti pyrkiä vaikuttamaan EU:ssa siihen, että rahoitusmarkkinoiden sääntelykehikko on kilpailukykyinen erityisesti suhteessa Yhdysvaltojen sääntelyyn. </w:t>
      </w:r>
    </w:p>
    <w:p w:rsidR="003945B5" w:rsidRDefault="003945B5" w:rsidP="00C16CD4">
      <w:pPr>
        <w:pStyle w:val="VMNormaaliSisentmtn"/>
        <w:ind w:left="1418"/>
        <w:jc w:val="both"/>
      </w:pPr>
    </w:p>
    <w:p w:rsidR="00ED7057" w:rsidRDefault="00ED7057" w:rsidP="00C16CD4">
      <w:pPr>
        <w:pStyle w:val="VMNormaaliSisentmtn"/>
        <w:ind w:left="1418"/>
        <w:jc w:val="both"/>
      </w:pPr>
    </w:p>
    <w:p w:rsidR="00ED7057" w:rsidRDefault="00ED7057" w:rsidP="00C16CD4">
      <w:pPr>
        <w:pStyle w:val="VMNormaaliSisentmtn"/>
        <w:ind w:left="1418"/>
        <w:jc w:val="both"/>
      </w:pPr>
      <w:r>
        <w:t>Monet lausunnonantajat pit</w:t>
      </w:r>
      <w:r w:rsidR="00925D39">
        <w:t xml:space="preserve">ävät </w:t>
      </w:r>
      <w:r>
        <w:t xml:space="preserve">valittua sääntelyn täytäntöönpanoratkaisua onnistuneena. </w:t>
      </w:r>
      <w:r w:rsidR="00964164" w:rsidRPr="00964164">
        <w:rPr>
          <w:b/>
        </w:rPr>
        <w:t>Finanssiala</w:t>
      </w:r>
      <w:r w:rsidR="00964164">
        <w:t xml:space="preserve">, </w:t>
      </w:r>
      <w:r w:rsidR="00964164" w:rsidRPr="00964164">
        <w:rPr>
          <w:b/>
        </w:rPr>
        <w:t>OP</w:t>
      </w:r>
      <w:r w:rsidR="00964164">
        <w:t xml:space="preserve">, </w:t>
      </w:r>
      <w:r w:rsidRPr="00964164">
        <w:rPr>
          <w:b/>
        </w:rPr>
        <w:t>Ener</w:t>
      </w:r>
      <w:r w:rsidR="00964164">
        <w:rPr>
          <w:b/>
        </w:rPr>
        <w:t>gia</w:t>
      </w:r>
      <w:r w:rsidRPr="00964164">
        <w:rPr>
          <w:b/>
        </w:rPr>
        <w:t>teollisuus</w:t>
      </w:r>
      <w:r w:rsidR="00964164">
        <w:t xml:space="preserve"> ja </w:t>
      </w:r>
      <w:proofErr w:type="spellStart"/>
      <w:r w:rsidRPr="00964164">
        <w:rPr>
          <w:b/>
        </w:rPr>
        <w:t>Front</w:t>
      </w:r>
      <w:proofErr w:type="spellEnd"/>
      <w:r w:rsidRPr="00964164">
        <w:rPr>
          <w:b/>
        </w:rPr>
        <w:t xml:space="preserve"> Capital</w:t>
      </w:r>
      <w:r w:rsidR="00964164">
        <w:t xml:space="preserve"> </w:t>
      </w:r>
      <w:r>
        <w:t>pit</w:t>
      </w:r>
      <w:r w:rsidR="00925D39">
        <w:t>ä</w:t>
      </w:r>
      <w:r>
        <w:t xml:space="preserve">vät hyvänä, ettei esitys sisällä EU-sääntelyn yli menevää kansallista sääntelyä. Myös </w:t>
      </w:r>
      <w:r w:rsidRPr="00964164">
        <w:rPr>
          <w:b/>
        </w:rPr>
        <w:t>EK</w:t>
      </w:r>
      <w:r>
        <w:t xml:space="preserve"> kiinnit</w:t>
      </w:r>
      <w:r w:rsidR="00925D39">
        <w:t>tää</w:t>
      </w:r>
      <w:r>
        <w:t xml:space="preserve"> huomiota siihen, ettei esitysluonnos sisällä EU-sääntelyn ylittävää kansallista sääntelyä muutoin kuin eräissä y</w:t>
      </w:r>
      <w:r>
        <w:t>k</w:t>
      </w:r>
      <w:r>
        <w:t>sittäisissä kohdissa ja on siten pääasiallisesti linjassa hallitusohjelman kirjausten kanssa.</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964164">
        <w:rPr>
          <w:b/>
        </w:rPr>
        <w:t>Front</w:t>
      </w:r>
      <w:proofErr w:type="spellEnd"/>
      <w:r w:rsidRPr="00964164">
        <w:rPr>
          <w:b/>
        </w:rPr>
        <w:t xml:space="preserve"> Capitalin</w:t>
      </w:r>
      <w:r>
        <w:t xml:space="preserve"> mukaan </w:t>
      </w:r>
      <w:proofErr w:type="spellStart"/>
      <w:r>
        <w:t>MIFID-sääntelyn</w:t>
      </w:r>
      <w:proofErr w:type="spellEnd"/>
      <w:r>
        <w:t xml:space="preserve"> toimeenpanossa ja sittemmin Finanssivalvonnan ohjeistuksessa tulisi kiinnittää huomiota siihen, ettei kansallisesti lisätä hallinnollisia vaat</w:t>
      </w:r>
      <w:r>
        <w:t>i</w:t>
      </w:r>
      <w:r>
        <w:t xml:space="preserve">muksia suhteessa muihin EU-maihin. Kasvavalla hallinnollisella taakalla saatetaan joissain tilanteissa luoda skaalaetuja isommille toimijoille, mikä on omiaan vääristämään kilpailua. </w:t>
      </w:r>
      <w:proofErr w:type="spellStart"/>
      <w:r w:rsidRPr="00964164">
        <w:rPr>
          <w:b/>
        </w:rPr>
        <w:t>Front</w:t>
      </w:r>
      <w:proofErr w:type="spellEnd"/>
      <w:r w:rsidRPr="00964164">
        <w:rPr>
          <w:b/>
        </w:rPr>
        <w:t xml:space="preserve"> Capitalin</w:t>
      </w:r>
      <w:r>
        <w:t xml:space="preserve"> käsityksen mukaan valvontaviranomaisilla on huomattavan suuria eroava</w:t>
      </w:r>
      <w:r>
        <w:t>i</w:t>
      </w:r>
      <w:r>
        <w:t xml:space="preserve">suuksia toiminnassaan jäsenmaiden kesken. Lisäksi </w:t>
      </w:r>
      <w:proofErr w:type="spellStart"/>
      <w:r w:rsidRPr="00964164">
        <w:rPr>
          <w:b/>
        </w:rPr>
        <w:t>Front</w:t>
      </w:r>
      <w:proofErr w:type="spellEnd"/>
      <w:r w:rsidRPr="00964164">
        <w:rPr>
          <w:b/>
        </w:rPr>
        <w:t xml:space="preserve"> Capital</w:t>
      </w:r>
      <w:r>
        <w:t xml:space="preserve"> kiinnittää huomiota si</w:t>
      </w:r>
      <w:r>
        <w:t>i</w:t>
      </w:r>
      <w:r>
        <w:t>hen, että markkinoiden havaittuihin epäkohtiin voidaan usein puuttua tarkoituksenmuka</w:t>
      </w:r>
      <w:r>
        <w:t>i</w:t>
      </w:r>
      <w:r>
        <w:t>sesti väljemmänkin lainsäädännön ja viranomaisohjeistuksen puitteissa.</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964164">
        <w:rPr>
          <w:b/>
        </w:rPr>
        <w:t>OP</w:t>
      </w:r>
      <w:r>
        <w:t>:n</w:t>
      </w:r>
      <w:proofErr w:type="spellEnd"/>
      <w:r>
        <w:t xml:space="preserve"> mukaan selvyyden vuoksi lain perusteluissa tulisi todeta, ettei kansallisella hallinnoll</w:t>
      </w:r>
      <w:r>
        <w:t>i</w:t>
      </w:r>
      <w:r>
        <w:t xml:space="preserve">sella normistolla tule antaa direktiivin tai </w:t>
      </w:r>
      <w:proofErr w:type="spellStart"/>
      <w:r>
        <w:t>ESMA:n</w:t>
      </w:r>
      <w:proofErr w:type="spellEnd"/>
      <w:r>
        <w:t xml:space="preserve"> ohjeita pidemmälle meneviä ohjeita. Ka</w:t>
      </w:r>
      <w:r>
        <w:t>n</w:t>
      </w:r>
      <w:r>
        <w:t>sallisen sääntelyratkaisun tulisi myös taata tasapuoliset kilpailuolosuhteet eli samantyyppi</w:t>
      </w:r>
      <w:r>
        <w:t>s</w:t>
      </w:r>
      <w:r>
        <w:t xml:space="preserve">tä toimintaa harjoittavien yritysten toimintaa tulisi säännellä samalla tavalla.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964164">
        <w:rPr>
          <w:b/>
        </w:rPr>
        <w:t>TEM</w:t>
      </w:r>
      <w:r>
        <w:t>:n</w:t>
      </w:r>
      <w:proofErr w:type="spellEnd"/>
      <w:r>
        <w:t xml:space="preserve"> mukaan on hyvä, ettei päästökaupassa mukana oleville toimijoille koidu lisää velvo</w:t>
      </w:r>
      <w:r>
        <w:t>l</w:t>
      </w:r>
      <w:r>
        <w:t xml:space="preserve">lisuuksia rahoitusmarkkinasäännöksistä kuin mitä MIFID II:ssa ja </w:t>
      </w:r>
      <w:proofErr w:type="spellStart"/>
      <w:r>
        <w:t>MIFIR:ssä</w:t>
      </w:r>
      <w:proofErr w:type="spellEnd"/>
      <w:r>
        <w:t xml:space="preserve"> on säädetty, lukuun ottamatta markkinaosapuolten sisäpiirirekisterivelvollisuuksia. Ehdotus myös ottaa huomioon direktiivissä energia-alalle mahdollistetut poikkeussäännökset, joiden perusteella pienten toimijoiden raportointivelvollisuudet säilyvät kohtuullisina. </w:t>
      </w:r>
      <w:proofErr w:type="spellStart"/>
      <w:r w:rsidRPr="00964164">
        <w:rPr>
          <w:b/>
        </w:rPr>
        <w:t>TEM</w:t>
      </w:r>
      <w:r>
        <w:t>:n</w:t>
      </w:r>
      <w:proofErr w:type="spellEnd"/>
      <w:r>
        <w:t xml:space="preserve"> pitää tätä positiiv</w:t>
      </w:r>
      <w:r>
        <w:t>i</w:t>
      </w:r>
      <w:r>
        <w:t xml:space="preserve">sena, koska sähkömarkkinoilla on Suomessa paljon pieniä toimijoita. </w:t>
      </w:r>
    </w:p>
    <w:p w:rsidR="00ED7057" w:rsidRDefault="00ED7057" w:rsidP="00C16CD4">
      <w:pPr>
        <w:pStyle w:val="VMNormaaliSisentmtn"/>
        <w:ind w:left="1418"/>
        <w:jc w:val="both"/>
      </w:pPr>
    </w:p>
    <w:p w:rsidR="00ED7057" w:rsidRDefault="00ED7057" w:rsidP="00C16CD4">
      <w:pPr>
        <w:pStyle w:val="VMNormaaliSisentmtn"/>
        <w:ind w:left="1418"/>
        <w:jc w:val="both"/>
      </w:pPr>
      <w:r>
        <w:t>Valittua täytäntöönpanotapaa kuitenkin myös kritisoi</w:t>
      </w:r>
      <w:r w:rsidR="00925D39">
        <w:t>daan</w:t>
      </w:r>
      <w:r>
        <w:t xml:space="preserve">. </w:t>
      </w:r>
      <w:r w:rsidRPr="00964164">
        <w:rPr>
          <w:b/>
        </w:rPr>
        <w:t>OM</w:t>
      </w:r>
      <w:r>
        <w:t xml:space="preserve"> pitää ehdotuksessa valittua lähtökohtaa direktiivin kanssa yhteneväisen tekstin käyttämisestä ymmärrettävänä, mutta katsoi kuitenkin, ettei helppo sovellettavuus edellytä hyvin pitkälle menevää direktiivitekstin noudattamista. </w:t>
      </w:r>
      <w:r w:rsidRPr="00964164">
        <w:rPr>
          <w:b/>
        </w:rPr>
        <w:t>OM</w:t>
      </w:r>
      <w:r>
        <w:t xml:space="preserve"> pit</w:t>
      </w:r>
      <w:r w:rsidR="00925D39">
        <w:t>ää</w:t>
      </w:r>
      <w:r>
        <w:t xml:space="preserve"> myös oikeusjärjestelmän kokonaisuuden kannalta ongelmallisena sitä, että ehdotetuissa säännöksissä käytetään joissakin kohdissa kansallisista säännöksi</w:t>
      </w:r>
      <w:r>
        <w:t>s</w:t>
      </w:r>
      <w:r>
        <w:t>tä poikkeavaa terminologiaa. Ainakin yksityiskohtaisissa perusteluissa olisi mainittava poi</w:t>
      </w:r>
      <w:r>
        <w:t>k</w:t>
      </w:r>
      <w:r>
        <w:t xml:space="preserve">keaminen muualla käytettävästä terminologiasta ja selvitettävä viittauksenomaisesti asiaan liittyvän muun lainsäädännön sisältö. </w:t>
      </w:r>
      <w:r w:rsidRPr="00964164">
        <w:rPr>
          <w:b/>
        </w:rPr>
        <w:t>Finanssivalvont</w:t>
      </w:r>
      <w:r w:rsidRPr="00525A30">
        <w:rPr>
          <w:b/>
        </w:rPr>
        <w:t>a</w:t>
      </w:r>
      <w:r>
        <w:t xml:space="preserve"> pitää ongelmallisena sitä, että m</w:t>
      </w:r>
      <w:r>
        <w:t>o</w:t>
      </w:r>
      <w:r>
        <w:t>nessa esitysluonnoksen kohdassa on nostettu pykälätasolla implementoitavaksi direktiivin artiklan kohdasta vain osa ja loppuosa artiklasta on päädytty kirjaamaan pykälän yksityi</w:t>
      </w:r>
      <w:r>
        <w:t>s</w:t>
      </w:r>
      <w:r>
        <w:t xml:space="preserve">kohtaisiin perusteluihin. </w:t>
      </w:r>
    </w:p>
    <w:p w:rsidR="00ED7057" w:rsidRDefault="00ED7057" w:rsidP="00C16CD4">
      <w:pPr>
        <w:pStyle w:val="VMNormaaliSisentmtn"/>
        <w:ind w:left="1418"/>
        <w:jc w:val="both"/>
      </w:pPr>
    </w:p>
    <w:p w:rsidR="00ED7057" w:rsidRDefault="00ED7057">
      <w:pPr>
        <w:pStyle w:val="VMNormaaliSisentmtn"/>
        <w:ind w:left="1418"/>
        <w:jc w:val="both"/>
      </w:pPr>
      <w:r>
        <w:t>Osa lausunnonantajista kiinnitt</w:t>
      </w:r>
      <w:r w:rsidR="00925D39">
        <w:t>ää</w:t>
      </w:r>
      <w:r>
        <w:t xml:space="preserve"> huomiota hankkeen aikatauluun.</w:t>
      </w:r>
      <w:r w:rsidRPr="00964164">
        <w:rPr>
          <w:b/>
        </w:rPr>
        <w:t xml:space="preserve"> EK</w:t>
      </w:r>
      <w:r>
        <w:t xml:space="preserve"> toteaa, että toim</w:t>
      </w:r>
      <w:r>
        <w:t>i</w:t>
      </w:r>
      <w:r>
        <w:t xml:space="preserve">alalle jää varsin lyhyt valmistautumisaika sääntelyn muutoksiin mukautumiseen. </w:t>
      </w:r>
      <w:r w:rsidRPr="00964164">
        <w:rPr>
          <w:b/>
        </w:rPr>
        <w:t>Finanss</w:t>
      </w:r>
      <w:r w:rsidRPr="00964164">
        <w:rPr>
          <w:b/>
        </w:rPr>
        <w:t>i</w:t>
      </w:r>
      <w:r w:rsidRPr="00964164">
        <w:rPr>
          <w:b/>
        </w:rPr>
        <w:t>valvonta</w:t>
      </w:r>
      <w:r>
        <w:t xml:space="preserve"> pitää ensisijaisen tärkeänä, että hallituksen esitys annetaan eduskunnalle siten, että lait voitaisiin vahvistaa hyvissä ajoin ennen EU-sääntelyn soveltamisen alkamista.</w:t>
      </w:r>
      <w:r w:rsidR="00E74016" w:rsidRPr="00E74016">
        <w:rPr>
          <w:b/>
        </w:rPr>
        <w:t xml:space="preserve"> </w:t>
      </w:r>
      <w:r w:rsidR="00E74016" w:rsidRPr="00964164">
        <w:rPr>
          <w:b/>
        </w:rPr>
        <w:t>F</w:t>
      </w:r>
      <w:r w:rsidR="00E74016" w:rsidRPr="00964164">
        <w:rPr>
          <w:b/>
        </w:rPr>
        <w:t>i</w:t>
      </w:r>
      <w:r w:rsidR="00E74016" w:rsidRPr="00964164">
        <w:rPr>
          <w:b/>
        </w:rPr>
        <w:t>nanssivalvonnan</w:t>
      </w:r>
      <w:r w:rsidR="00E74016">
        <w:t xml:space="preserve"> mukaan lakeihin tulee myös sisällyttää tarvittavat siirtymäsäännökset, joista ainakin osa vielä puuttuu. </w:t>
      </w:r>
      <w:r>
        <w:t xml:space="preserve">Myös </w:t>
      </w:r>
      <w:r w:rsidRPr="00964164">
        <w:rPr>
          <w:b/>
        </w:rPr>
        <w:t>Finanssiala</w:t>
      </w:r>
      <w:r>
        <w:t xml:space="preserve"> pitää erittäin tärkeänä, että kansallinen lakiesitys annetaan eduskunnalle riittävän ajoissa.</w:t>
      </w:r>
    </w:p>
    <w:p w:rsidR="00ED7057" w:rsidRDefault="00ED7057" w:rsidP="00C16CD4">
      <w:pPr>
        <w:pStyle w:val="VMNormaaliSisentmtn"/>
        <w:ind w:left="1418"/>
        <w:jc w:val="both"/>
      </w:pPr>
    </w:p>
    <w:p w:rsidR="00ED7057" w:rsidRDefault="00ED7057" w:rsidP="00C16CD4">
      <w:pPr>
        <w:pStyle w:val="VMNormaaliSisentmtn"/>
        <w:ind w:left="1418"/>
        <w:jc w:val="both"/>
      </w:pPr>
      <w:r>
        <w:t>Valmistelun osalta myös muun muassa sidosryhmäyhteistyöstä ja vaikutusar</w:t>
      </w:r>
      <w:r w:rsidR="00964164">
        <w:t>vioista esit</w:t>
      </w:r>
      <w:r w:rsidR="00964164">
        <w:t>e</w:t>
      </w:r>
      <w:r w:rsidR="00964164">
        <w:t>t</w:t>
      </w:r>
      <w:r w:rsidR="00925D39">
        <w:t>ään</w:t>
      </w:r>
      <w:r w:rsidR="00964164">
        <w:t xml:space="preserve"> huo</w:t>
      </w:r>
      <w:r>
        <w:t xml:space="preserve">mioita. </w:t>
      </w:r>
      <w:r w:rsidRPr="00964164">
        <w:rPr>
          <w:b/>
        </w:rPr>
        <w:t>Finanssitaito</w:t>
      </w:r>
      <w:r>
        <w:t xml:space="preserve"> lausuu, että järjestetyssä kuulemistilaisuudessa nousi esiin, ettei alan toimijoiden ja rahoitettavien osapuolten näkökulmia ole kuultu riittävästi. </w:t>
      </w:r>
      <w:r w:rsidRPr="00964164">
        <w:rPr>
          <w:b/>
        </w:rPr>
        <w:t>Finan</w:t>
      </w:r>
      <w:r w:rsidRPr="00964164">
        <w:rPr>
          <w:b/>
        </w:rPr>
        <w:t>s</w:t>
      </w:r>
      <w:r w:rsidRPr="00964164">
        <w:rPr>
          <w:b/>
        </w:rPr>
        <w:t>sitaidon</w:t>
      </w:r>
      <w:r>
        <w:t xml:space="preserve"> mukaan lainvalmisteluun olisi syytä ottaa mukaan alan toimijoita ja muiden os</w:t>
      </w:r>
      <w:r>
        <w:t>a</w:t>
      </w:r>
      <w:r>
        <w:t xml:space="preserve">puolten etujärjestöjä huomattavasti enemmän. Toimijoille voitaisiin myös antaa nykyistä enemmän </w:t>
      </w:r>
      <w:proofErr w:type="spellStart"/>
      <w:r>
        <w:t>itsesääntelymahdollisuuksia</w:t>
      </w:r>
      <w:proofErr w:type="spellEnd"/>
      <w:r>
        <w:t xml:space="preserve">. Myös </w:t>
      </w:r>
      <w:r w:rsidRPr="00964164">
        <w:rPr>
          <w:b/>
        </w:rPr>
        <w:t>EK</w:t>
      </w:r>
      <w:r>
        <w:t xml:space="preserve"> toteaa, että hankkeen lainvalmistelun s</w:t>
      </w:r>
      <w:r>
        <w:t>i</w:t>
      </w:r>
      <w:r>
        <w:t xml:space="preserve">dosryhmäyhteistyö on ollut niukkaa. </w:t>
      </w:r>
      <w:r w:rsidRPr="00964164">
        <w:rPr>
          <w:b/>
        </w:rPr>
        <w:t>Kallion</w:t>
      </w:r>
      <w:r>
        <w:t xml:space="preserve"> mukaan toimialaa ei ole kuultu riittävästi va</w:t>
      </w:r>
      <w:r>
        <w:t>l</w:t>
      </w:r>
      <w:r>
        <w:t xml:space="preserve">mistelussa, eikä valmistelu muutoin ole ollut avointa. </w:t>
      </w:r>
      <w:r w:rsidRPr="00964164">
        <w:rPr>
          <w:b/>
        </w:rPr>
        <w:t>Finanssivalvonta</w:t>
      </w:r>
      <w:r>
        <w:t xml:space="preserve"> olisi pitänyt hyvänä käytäntönä, että valtiovarainministeriö olisi perustanut työryhmän näin laajaa ja merkittävää lainsäädäntömuutosta varten.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964164">
        <w:rPr>
          <w:b/>
        </w:rPr>
        <w:t>EK</w:t>
      </w:r>
      <w:r>
        <w:t>:n</w:t>
      </w:r>
      <w:proofErr w:type="spellEnd"/>
      <w:r>
        <w:t xml:space="preserve"> mukaan esitetyn sääntelyn mahdollisia vaikutuksia on pyritty arvioimaan käytettävissä olevan aineiston pohjalta. </w:t>
      </w:r>
      <w:r w:rsidRPr="00964164">
        <w:rPr>
          <w:b/>
        </w:rPr>
        <w:t>EK</w:t>
      </w:r>
      <w:r>
        <w:t xml:space="preserve"> suhtautuu eräiltä osin kriittisesti esitysluonnoksen vaikutusa</w:t>
      </w:r>
      <w:r>
        <w:t>r</w:t>
      </w:r>
      <w:r>
        <w:t xml:space="preserve">vioiden pohjana oleviin komission alkuperäisiin arvioihin. </w:t>
      </w:r>
      <w:proofErr w:type="spellStart"/>
      <w:r w:rsidRPr="00964164">
        <w:rPr>
          <w:b/>
        </w:rPr>
        <w:t>EK</w:t>
      </w:r>
      <w:r>
        <w:t>:n</w:t>
      </w:r>
      <w:proofErr w:type="spellEnd"/>
      <w:r>
        <w:t xml:space="preserve"> ja </w:t>
      </w:r>
      <w:r w:rsidRPr="00964164">
        <w:rPr>
          <w:b/>
        </w:rPr>
        <w:t>Energiateollisuuden</w:t>
      </w:r>
      <w:r>
        <w:t xml:space="preserve"> mukaan huomattava osa esityksen lopullisista konkreettisista vaikutuksista jää riippumaan alemmanasteisen sääntelyn lopullisista määrittelyistä. </w:t>
      </w:r>
      <w:r w:rsidRPr="00964164">
        <w:rPr>
          <w:b/>
        </w:rPr>
        <w:t>Energiateollisuus</w:t>
      </w:r>
      <w:r>
        <w:t xml:space="preserve"> tuo esiin, että sääntelyn ennakoitavuuden kannalta olisi hyvä, mikäli ESMA käyttäisi soveltamisohjeiden antamiseen keskitettyä ja koottua ohjedokumenttia.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964164">
        <w:rPr>
          <w:b/>
        </w:rPr>
        <w:t>FINE</w:t>
      </w:r>
      <w:r>
        <w:t>:n</w:t>
      </w:r>
      <w:proofErr w:type="spellEnd"/>
      <w:r>
        <w:t xml:space="preserve"> mukaan on hyvä, että Finanssivalvonnalla on mahdollisuus joissakin määritellyissä tapauksissa kieltää tai rajoittaa Suomessa tai Suomesta käsin tapahtuva rahoitusvälineiden tai strukturoitujen talletusten markkinointia, jakelua ja myyntiä. </w:t>
      </w:r>
    </w:p>
    <w:p w:rsidR="00ED7057" w:rsidRDefault="00ED7057" w:rsidP="006F0DFF">
      <w:pPr>
        <w:pStyle w:val="VMNormaaliSisentmtn"/>
        <w:jc w:val="both"/>
      </w:pPr>
    </w:p>
    <w:p w:rsidR="00ED7057" w:rsidRDefault="00ED7057" w:rsidP="00C16CD4">
      <w:pPr>
        <w:pStyle w:val="VMNormaaliSisentmtn"/>
        <w:ind w:left="1418"/>
        <w:jc w:val="both"/>
      </w:pPr>
      <w:r w:rsidRPr="00964164">
        <w:rPr>
          <w:b/>
        </w:rPr>
        <w:t>Suomen Pankki</w:t>
      </w:r>
      <w:r>
        <w:t xml:space="preserve"> toteaa, ettei sillä ole huomauttamista ehdotettuihin lainsäädännön mu</w:t>
      </w:r>
      <w:r>
        <w:t>u</w:t>
      </w:r>
      <w:r>
        <w:t xml:space="preserve">toksiin. </w:t>
      </w:r>
    </w:p>
    <w:p w:rsidR="00ED7057" w:rsidRDefault="00ED7057" w:rsidP="00C16CD4">
      <w:pPr>
        <w:pStyle w:val="VMNormaaliSisentmtn"/>
        <w:ind w:left="1418"/>
        <w:jc w:val="both"/>
      </w:pPr>
    </w:p>
    <w:p w:rsidR="00ED7057" w:rsidRDefault="00ED7057" w:rsidP="00C16CD4">
      <w:pPr>
        <w:pStyle w:val="VMOtsikko2"/>
        <w:jc w:val="both"/>
      </w:pPr>
      <w:r>
        <w:t>2.2 Lisäehdotukset ja liityntä muihin hankkeisiin</w:t>
      </w:r>
    </w:p>
    <w:p w:rsidR="00ED7057" w:rsidRDefault="00ED7057" w:rsidP="00C16CD4">
      <w:pPr>
        <w:pStyle w:val="VMNormaaliSisentmtn"/>
        <w:ind w:left="1418"/>
        <w:jc w:val="both"/>
      </w:pPr>
    </w:p>
    <w:p w:rsidR="00ED7057" w:rsidRDefault="00ED7057" w:rsidP="00C16CD4">
      <w:pPr>
        <w:pStyle w:val="VMNormaaliSisentmtn"/>
        <w:ind w:left="1418"/>
        <w:jc w:val="both"/>
      </w:pPr>
      <w:r>
        <w:t>Jotkin lausunnonantajat mainits</w:t>
      </w:r>
      <w:r w:rsidR="00925D39">
        <w:t>evat</w:t>
      </w:r>
      <w:r>
        <w:t xml:space="preserve"> lausunnoissaan niin sanotun </w:t>
      </w:r>
      <w:proofErr w:type="spellStart"/>
      <w:r>
        <w:t>LEI-tunnisteen</w:t>
      </w:r>
      <w:proofErr w:type="spellEnd"/>
      <w:r>
        <w:t xml:space="preserve"> (</w:t>
      </w:r>
      <w:r w:rsidRPr="006F0DFF">
        <w:rPr>
          <w:i/>
        </w:rPr>
        <w:t xml:space="preserve">Legal </w:t>
      </w:r>
      <w:proofErr w:type="spellStart"/>
      <w:r w:rsidRPr="006F0DFF">
        <w:rPr>
          <w:i/>
        </w:rPr>
        <w:t>E</w:t>
      </w:r>
      <w:r w:rsidRPr="006F0DFF">
        <w:rPr>
          <w:i/>
        </w:rPr>
        <w:t>n</w:t>
      </w:r>
      <w:r w:rsidRPr="006F0DFF">
        <w:rPr>
          <w:i/>
        </w:rPr>
        <w:t>tity</w:t>
      </w:r>
      <w:proofErr w:type="spellEnd"/>
      <w:r w:rsidRPr="006F0DFF">
        <w:rPr>
          <w:i/>
        </w:rPr>
        <w:t xml:space="preserve"> </w:t>
      </w:r>
      <w:proofErr w:type="spellStart"/>
      <w:r w:rsidRPr="006F0DFF">
        <w:rPr>
          <w:i/>
        </w:rPr>
        <w:t>Identifier</w:t>
      </w:r>
      <w:proofErr w:type="spellEnd"/>
      <w:r>
        <w:t xml:space="preserve">). </w:t>
      </w:r>
      <w:proofErr w:type="spellStart"/>
      <w:r w:rsidRPr="00964164">
        <w:rPr>
          <w:b/>
        </w:rPr>
        <w:t>TEM</w:t>
      </w:r>
      <w:r>
        <w:t>:n</w:t>
      </w:r>
      <w:proofErr w:type="spellEnd"/>
      <w:r>
        <w:t xml:space="preserve"> mukaan hallituksen esityksessä tulisi todeta markkinatoimijoiden mahdollisuus hankkia toimintaansa tarvittava </w:t>
      </w:r>
      <w:proofErr w:type="spellStart"/>
      <w:r>
        <w:t>LEI-tunnus</w:t>
      </w:r>
      <w:proofErr w:type="spellEnd"/>
      <w:r>
        <w:t xml:space="preserve"> </w:t>
      </w:r>
      <w:proofErr w:type="spellStart"/>
      <w:r>
        <w:t>PRH:lta</w:t>
      </w:r>
      <w:proofErr w:type="spellEnd"/>
      <w:r>
        <w:t xml:space="preserve">. </w:t>
      </w:r>
      <w:r w:rsidRPr="00964164">
        <w:rPr>
          <w:b/>
        </w:rPr>
        <w:t>PRH</w:t>
      </w:r>
      <w:r>
        <w:t xml:space="preserve"> tuo esiin, että mikäli raportointipalvelun tarjoamisessa edellytetään </w:t>
      </w:r>
      <w:proofErr w:type="spellStart"/>
      <w:r>
        <w:t>LEI-tunnisteen</w:t>
      </w:r>
      <w:proofErr w:type="spellEnd"/>
      <w:r>
        <w:t xml:space="preserve"> käyttämistä kaupankäy</w:t>
      </w:r>
      <w:r>
        <w:t>n</w:t>
      </w:r>
      <w:r>
        <w:t>tiosapuolten tunnistamisessa, tunnisteen käytön voi olettaa lisääntyvän. Kun raportointipa</w:t>
      </w:r>
      <w:r>
        <w:t>l</w:t>
      </w:r>
      <w:r>
        <w:t>velu nyt määritellään ja se tulee Finanssivalvonnan myöntämästä toimiluvasta riippuvaise</w:t>
      </w:r>
      <w:r>
        <w:t>k</w:t>
      </w:r>
      <w:r>
        <w:t xml:space="preserve">si toiminnaksi, </w:t>
      </w:r>
      <w:r w:rsidRPr="00964164">
        <w:rPr>
          <w:b/>
        </w:rPr>
        <w:t>PRH</w:t>
      </w:r>
      <w:r>
        <w:t xml:space="preserve"> pitää perusteltuna, että myös kaupankäyntiosapuolten tunnistamista </w:t>
      </w:r>
      <w:proofErr w:type="spellStart"/>
      <w:r>
        <w:t>LEI-tunnisteen</w:t>
      </w:r>
      <w:proofErr w:type="spellEnd"/>
      <w:r>
        <w:t xml:space="preserve"> avulla tulisi edellyttää toimiluvan ehdoissa.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Finanssitaidon</w:t>
      </w:r>
      <w:r>
        <w:t xml:space="preserve"> mukaan alan keskeisten käsitteiden määritelmät tuli</w:t>
      </w:r>
      <w:r w:rsidR="00964164">
        <w:t>si saada selvennettyä ja julkis</w:t>
      </w:r>
      <w:r>
        <w:t xml:space="preserve">tettua. Sääntelyssä avoimiksi jätettyjä määritelmiä tulisi tarkentaa mahdollisimman pian esimerkiksi asetusten avulla.  </w:t>
      </w:r>
    </w:p>
    <w:p w:rsidR="00ED7057" w:rsidRDefault="00ED7057" w:rsidP="006F0DFF">
      <w:pPr>
        <w:pStyle w:val="VMNormaaliSisentmtn"/>
        <w:jc w:val="both"/>
      </w:pPr>
    </w:p>
    <w:p w:rsidR="00ED7057" w:rsidRDefault="00ED7057" w:rsidP="00C16CD4">
      <w:pPr>
        <w:pStyle w:val="VMNormaaliSisentmtn"/>
        <w:ind w:left="1418"/>
        <w:jc w:val="both"/>
      </w:pPr>
      <w:r w:rsidRPr="00964164">
        <w:rPr>
          <w:b/>
        </w:rPr>
        <w:t>KKV</w:t>
      </w:r>
      <w:r>
        <w:t xml:space="preserve"> katsoo, että jatkovalmistelussa tulisi vielä harkita sijoittajansuojasääntelyn näköku</w:t>
      </w:r>
      <w:r>
        <w:t>l</w:t>
      </w:r>
      <w:r>
        <w:t xml:space="preserve">masta, onko kannustinsääntelyn osalta perusteita lisätoimenpiteille.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 xml:space="preserve">OSKL </w:t>
      </w:r>
      <w:r>
        <w:t>tuo</w:t>
      </w:r>
      <w:r w:rsidR="00A864E0">
        <w:t xml:space="preserve"> </w:t>
      </w:r>
      <w:r>
        <w:t xml:space="preserve">esiin, että ryhmäkanne sijoituspalveluasioissa on ollut esillä EU:n piirissä. </w:t>
      </w:r>
      <w:proofErr w:type="spellStart"/>
      <w:r w:rsidRPr="00964164">
        <w:rPr>
          <w:b/>
        </w:rPr>
        <w:t>OSKL</w:t>
      </w:r>
      <w:r>
        <w:t>:n</w:t>
      </w:r>
      <w:proofErr w:type="spellEnd"/>
      <w:r>
        <w:t xml:space="preserve"> mukaan Suomi voisi olla edelläkävijänä asiassa ja muuttaa lainsäädäntöä siten, että ryhmäkanne sijoituspalveluiden osalta olisi mahdollinen. Lisäksi </w:t>
      </w:r>
      <w:proofErr w:type="spellStart"/>
      <w:r w:rsidRPr="00964164">
        <w:rPr>
          <w:b/>
        </w:rPr>
        <w:t>OSKL</w:t>
      </w:r>
      <w:r>
        <w:t>:n</w:t>
      </w:r>
      <w:proofErr w:type="spellEnd"/>
      <w:r>
        <w:t xml:space="preserve"> mukaan julk</w:t>
      </w:r>
      <w:r>
        <w:t>i</w:t>
      </w:r>
      <w:r>
        <w:t>sella markkinapaikalla toteutuneiden kauppojen listauksissa esiintyy nykyään useasti ka</w:t>
      </w:r>
      <w:r>
        <w:t>u</w:t>
      </w:r>
      <w:r>
        <w:t xml:space="preserve">pan osapuolena </w:t>
      </w:r>
      <w:proofErr w:type="spellStart"/>
      <w:r>
        <w:t>Anonymous</w:t>
      </w:r>
      <w:proofErr w:type="spellEnd"/>
      <w:r>
        <w:t xml:space="preserve"> </w:t>
      </w:r>
      <w:proofErr w:type="spellStart"/>
      <w:r>
        <w:t>Broker</w:t>
      </w:r>
      <w:proofErr w:type="spellEnd"/>
      <w:r>
        <w:t xml:space="preserve">. </w:t>
      </w:r>
      <w:r w:rsidRPr="00964164">
        <w:rPr>
          <w:b/>
        </w:rPr>
        <w:t>OSKL</w:t>
      </w:r>
      <w:r>
        <w:t xml:space="preserve"> vastustaa </w:t>
      </w:r>
      <w:proofErr w:type="spellStart"/>
      <w:r>
        <w:t>post-trade</w:t>
      </w:r>
      <w:proofErr w:type="spellEnd"/>
      <w:r>
        <w:t xml:space="preserve"> anonymiteettia, sillä ti</w:t>
      </w:r>
      <w:r>
        <w:t>e</w:t>
      </w:r>
      <w:r>
        <w:t>dolla kaupan osapuolista on merkitystä. Kaupankäynnin tulisi olla kaikilta osin julkista ja l</w:t>
      </w:r>
      <w:r>
        <w:t>ä</w:t>
      </w:r>
      <w:r>
        <w:t xml:space="preserve">pinäkyvää.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Energiateollisuuden</w:t>
      </w:r>
      <w:r>
        <w:t xml:space="preserve"> mukaan MIFID II:n mahdollisesti salliessa valtiovarainministeriö voisi hark</w:t>
      </w:r>
      <w:r w:rsidR="00964164">
        <w:t>i</w:t>
      </w:r>
      <w:r>
        <w:t>ta siirtymäsäännöksen kirjoittamista tilanteeseen, jossa MIFIR astuu voimaan, mutta sijoituspalveluissa tarkoitettua toimilupaa ei välttämättä ole vielä voitu hakea. Jos toimija oheistoiminnallisuuden laskennan suorittamisen myötä havaitsisi tarvitsevansa toimiluvan, toimilupaa ei millään ehd</w:t>
      </w:r>
      <w:r w:rsidR="00964164">
        <w:t>i</w:t>
      </w:r>
      <w:r>
        <w:t xml:space="preserve"> hakea ajoissa siten, että se olisi voimassa 3.1.2018. Esimerkiksi Saksa on hyväksynyt menettelyn, jonka mukaan toimijoilla on pidennetty aika hakea toim</w:t>
      </w:r>
      <w:r>
        <w:t>i</w:t>
      </w:r>
      <w:r>
        <w:t xml:space="preserve">lupaa.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Finanssivalvonta</w:t>
      </w:r>
      <w:r>
        <w:t xml:space="preserve"> pitää valitettavana, ettei esitykseen ole ehditty valmistella </w:t>
      </w:r>
      <w:r w:rsidRPr="00964164">
        <w:rPr>
          <w:b/>
        </w:rPr>
        <w:t>Finanssiva</w:t>
      </w:r>
      <w:r w:rsidRPr="00964164">
        <w:rPr>
          <w:b/>
        </w:rPr>
        <w:t>l</w:t>
      </w:r>
      <w:r w:rsidRPr="00964164">
        <w:rPr>
          <w:b/>
        </w:rPr>
        <w:t>vonnan</w:t>
      </w:r>
      <w:r>
        <w:t xml:space="preserve"> aiemmin esille nostamaa täsmennystä säännökseen asiakkaansuojan valvonnasta ja pitää tärkeänä, että säännöstä asiakkaansuojan valvonnasta täsmennettäisiin mahdoll</w:t>
      </w:r>
      <w:r>
        <w:t>i</w:t>
      </w:r>
      <w:r>
        <w:t xml:space="preserve">simman pikaisesti. Lisäksi </w:t>
      </w:r>
      <w:r w:rsidRPr="00964164">
        <w:rPr>
          <w:b/>
        </w:rPr>
        <w:t>Finanssivalvonta</w:t>
      </w:r>
      <w:r>
        <w:t xml:space="preserve"> pitää välttämättömänä, että Finanssivalvo</w:t>
      </w:r>
      <w:r>
        <w:t>n</w:t>
      </w:r>
      <w:r>
        <w:t>nan valvontamaksusta annettu laki (879/2008) turvaa jatkossakin F</w:t>
      </w:r>
      <w:r w:rsidRPr="00964164">
        <w:rPr>
          <w:b/>
        </w:rPr>
        <w:t>inanssivalvonnan</w:t>
      </w:r>
      <w:r>
        <w:t xml:space="preserve"> r</w:t>
      </w:r>
      <w:r>
        <w:t>a</w:t>
      </w:r>
      <w:r>
        <w:t>hoituspohjan ja siten uskottavan valvonnan. Tämä voi edellyttää Finanssivalvonnan valvo</w:t>
      </w:r>
      <w:r>
        <w:t>n</w:t>
      </w:r>
      <w:r>
        <w:t xml:space="preserve">tamaksusta annetun lain pikaista muuttamista </w:t>
      </w:r>
      <w:r w:rsidRPr="00964164">
        <w:rPr>
          <w:b/>
        </w:rPr>
        <w:t>Finanssivalvonnan</w:t>
      </w:r>
      <w:r>
        <w:t xml:space="preserve"> rahoituspohjan turva</w:t>
      </w:r>
      <w:r>
        <w:t>a</w:t>
      </w:r>
      <w:r>
        <w:t xml:space="preserve">miseksi. </w:t>
      </w:r>
      <w:r w:rsidRPr="00964164">
        <w:rPr>
          <w:b/>
        </w:rPr>
        <w:t>Finanssivalvonta</w:t>
      </w:r>
      <w:r>
        <w:t xml:space="preserve"> myös toteaa, että se on tehnyt valtiovarainministeriölle alk</w:t>
      </w:r>
      <w:r>
        <w:t>u</w:t>
      </w:r>
      <w:r>
        <w:t xml:space="preserve">vuodesta 2017 lainsäädäntöaloitteen, jonka tarkoituksena olisi mahdollistaa se, että </w:t>
      </w:r>
      <w:r w:rsidRPr="00964164">
        <w:rPr>
          <w:b/>
        </w:rPr>
        <w:t>F</w:t>
      </w:r>
      <w:r w:rsidRPr="00964164">
        <w:rPr>
          <w:b/>
        </w:rPr>
        <w:t>i</w:t>
      </w:r>
      <w:r w:rsidRPr="00964164">
        <w:rPr>
          <w:b/>
        </w:rPr>
        <w:t>nanssivalvonta</w:t>
      </w:r>
      <w:r>
        <w:t xml:space="preserve"> olisi jatkuvasti tietoinen siitä</w:t>
      </w:r>
      <w:r w:rsidR="004D2405">
        <w:t>,</w:t>
      </w:r>
      <w:r>
        <w:t xml:space="preserve"> mitä sijoitus- ja oheispalveluja suomalaiset luottolaitokset kulloinkin tarjoavat. </w:t>
      </w:r>
      <w:r w:rsidRPr="00964164">
        <w:rPr>
          <w:b/>
        </w:rPr>
        <w:t>Finanssivalvonta</w:t>
      </w:r>
      <w:r>
        <w:t xml:space="preserve"> esittää uudelleen, että luottolaitosto</w:t>
      </w:r>
      <w:r>
        <w:t>i</w:t>
      </w:r>
      <w:r>
        <w:t xml:space="preserve">minnasta annettua lakia (610/2014) muutettaisiin ehdotetulla tavalla.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Finanssiala</w:t>
      </w:r>
      <w:r>
        <w:t xml:space="preserve"> pitää perusteltuna </w:t>
      </w:r>
      <w:r w:rsidRPr="00964164">
        <w:rPr>
          <w:b/>
        </w:rPr>
        <w:t>Finanssivalvonnan</w:t>
      </w:r>
      <w:r>
        <w:t xml:space="preserve"> esitystä siitä, että Finanssivalvonnan olisi </w:t>
      </w:r>
      <w:r w:rsidR="00964164">
        <w:t>asiakkaansuojan</w:t>
      </w:r>
      <w:r>
        <w:t xml:space="preserve"> valvonnassa ryhdyttävä toimenpiteisiin vain sellaisissa asioissa, joilla on kuluttajan- tai asiakkaansuojan kannalta laaja-alaista tai muutoin huomattavaa merkity</w:t>
      </w:r>
      <w:r>
        <w:t>s</w:t>
      </w:r>
      <w:r>
        <w:t xml:space="preserve">tä.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Pro</w:t>
      </w:r>
      <w:r>
        <w:t xml:space="preserve"> esittää, että luottolaitostoiminnasta annettuun lakiin otettaisiin maininta siitä, että työ</w:t>
      </w:r>
      <w:r>
        <w:t>n</w:t>
      </w:r>
      <w:r>
        <w:t>tekijöiden edustusta ylimmissä hallintoelimissä voidaan myös pitää myönteisenä keinona l</w:t>
      </w:r>
      <w:r>
        <w:t>i</w:t>
      </w:r>
      <w:r>
        <w:t xml:space="preserve">sätä monimuotoisuutta, jotta MIFID II:n </w:t>
      </w:r>
      <w:r w:rsidR="001A354F">
        <w:t>johdanto-osassa</w:t>
      </w:r>
      <w:r w:rsidR="00A446D8">
        <w:t xml:space="preserve"> </w:t>
      </w:r>
      <w:r>
        <w:t>asetetut tavoitteet täyttyisivät p</w:t>
      </w:r>
      <w:r>
        <w:t>a</w:t>
      </w:r>
      <w:r>
        <w:t xml:space="preserve">remmin. Myös </w:t>
      </w:r>
      <w:r w:rsidRPr="00964164">
        <w:rPr>
          <w:b/>
        </w:rPr>
        <w:t>STTK</w:t>
      </w:r>
      <w:r>
        <w:t xml:space="preserve"> tuo esiin, että kansalliseen lakiin tulisi ottaa maininta henkilöstön edustuksesta ylimmissä hallintoelimissä. </w:t>
      </w:r>
    </w:p>
    <w:p w:rsidR="00ED7057" w:rsidRDefault="00ED7057" w:rsidP="00C16CD4">
      <w:pPr>
        <w:pStyle w:val="VMNormaaliSisentmtn"/>
        <w:ind w:left="1418"/>
        <w:jc w:val="both"/>
      </w:pPr>
    </w:p>
    <w:p w:rsidR="00ED7057" w:rsidRDefault="00ED7057" w:rsidP="00C16CD4">
      <w:pPr>
        <w:pStyle w:val="VMNormaaliSisentmtn"/>
        <w:ind w:left="1418"/>
        <w:jc w:val="both"/>
      </w:pPr>
      <w:r w:rsidRPr="00964164">
        <w:rPr>
          <w:b/>
        </w:rPr>
        <w:t>Energiavirasto</w:t>
      </w:r>
      <w:r>
        <w:t xml:space="preserve"> tuo esiin, että valmisteltavana olevan rahoitusmarkkinalainsäädännön muutosten osalta on huomioitava rahoitusmarkkinoita koskevien viranomaisten tutkintato</w:t>
      </w:r>
      <w:r>
        <w:t>i</w:t>
      </w:r>
      <w:r>
        <w:t>mivaltuuksia ja seuraamuksia koskevien säädösmuutosten vaikutus energian tukkumarkk</w:t>
      </w:r>
      <w:r>
        <w:t>i</w:t>
      </w:r>
      <w:r>
        <w:t>noiden valvontaan ja seuraamuksiin. Olisi tavoiteltava kansallisen rahoitusmarkkinalai</w:t>
      </w:r>
      <w:r>
        <w:t>n</w:t>
      </w:r>
      <w:r>
        <w:t xml:space="preserve">säädännön yhdenmukaisuutta energian tukkumarkkinoita koskevan lainsäädännön kanssa viranomaisten tutkintatoimivaltuuksien ja seuraamusten osalta. </w:t>
      </w:r>
      <w:r w:rsidRPr="00964164">
        <w:rPr>
          <w:b/>
        </w:rPr>
        <w:t>Energiaviraston</w:t>
      </w:r>
      <w:r>
        <w:t xml:space="preserve"> mukaan lakia sähkö- ja maakaasumarkkinoiden valvonnasta (590/2013) olisi tarkistettava siten, että seuraamusmenettely </w:t>
      </w:r>
      <w:proofErr w:type="spellStart"/>
      <w:r>
        <w:t>REMIT-asetuksen</w:t>
      </w:r>
      <w:proofErr w:type="spellEnd"/>
      <w:r>
        <w:t xml:space="preserve"> (EU) N:o 1227/2011 rikkomusten osalta vastaisi rahoitusmarkkinoilla noudatettavaa seuraamusten määräämismenettelyä. Lisäksi </w:t>
      </w:r>
      <w:r w:rsidRPr="00964164">
        <w:rPr>
          <w:b/>
        </w:rPr>
        <w:t>Energi</w:t>
      </w:r>
      <w:r w:rsidRPr="00964164">
        <w:rPr>
          <w:b/>
        </w:rPr>
        <w:t>a</w:t>
      </w:r>
      <w:r w:rsidRPr="00964164">
        <w:rPr>
          <w:b/>
        </w:rPr>
        <w:t>viraston</w:t>
      </w:r>
      <w:r>
        <w:t xml:space="preserve"> mukaan seuraamussäännösten yhdenmukaisuuden varmistamiseksi </w:t>
      </w:r>
      <w:proofErr w:type="spellStart"/>
      <w:r>
        <w:t>REMIT-asetuksen</w:t>
      </w:r>
      <w:proofErr w:type="spellEnd"/>
      <w:r>
        <w:t xml:space="preserve"> rikkomuksista määrät</w:t>
      </w:r>
      <w:r w:rsidR="00964164">
        <w:t>tävän luonnollisen henkilön seu</w:t>
      </w:r>
      <w:r>
        <w:t>raamusmaksun enimmäi</w:t>
      </w:r>
      <w:r>
        <w:t>s</w:t>
      </w:r>
      <w:r>
        <w:t xml:space="preserve">määrää olisi korotettava vastaavasti. </w:t>
      </w:r>
    </w:p>
    <w:p w:rsidR="00ED7057" w:rsidRDefault="00ED7057" w:rsidP="00C16CD4">
      <w:pPr>
        <w:pStyle w:val="VMNormaaliSisentmtn"/>
        <w:ind w:left="1418"/>
        <w:jc w:val="both"/>
      </w:pPr>
    </w:p>
    <w:p w:rsidR="00ED7057" w:rsidRDefault="00ED7057" w:rsidP="00C16CD4">
      <w:pPr>
        <w:pStyle w:val="VMNormaaliSisentmtn"/>
        <w:ind w:left="1418"/>
        <w:jc w:val="both"/>
      </w:pPr>
      <w:r>
        <w:t>Osa lausunnonantajista nost</w:t>
      </w:r>
      <w:r w:rsidR="00925D39">
        <w:t>aa</w:t>
      </w:r>
      <w:r>
        <w:t xml:space="preserve"> esiin esitysluonnoksen liitynnän muihin hankkeisiin. </w:t>
      </w:r>
      <w:r w:rsidRPr="004D5D01">
        <w:rPr>
          <w:b/>
        </w:rPr>
        <w:t>STM</w:t>
      </w:r>
      <w:r>
        <w:t xml:space="preserve">, </w:t>
      </w:r>
      <w:r w:rsidRPr="004D5D01">
        <w:rPr>
          <w:b/>
        </w:rPr>
        <w:t>OP</w:t>
      </w:r>
      <w:r>
        <w:t xml:space="preserve"> ja </w:t>
      </w:r>
      <w:r w:rsidRPr="004D5D01">
        <w:rPr>
          <w:b/>
        </w:rPr>
        <w:t>EK</w:t>
      </w:r>
      <w:r>
        <w:t xml:space="preserve"> t</w:t>
      </w:r>
      <w:r w:rsidR="00E6101E">
        <w:t xml:space="preserve">uovat </w:t>
      </w:r>
      <w:proofErr w:type="spellStart"/>
      <w:r w:rsidR="00E6101E">
        <w:t>lausunnoissan</w:t>
      </w:r>
      <w:proofErr w:type="spellEnd"/>
      <w:r>
        <w:t xml:space="preserve"> esiin esitysluonnoksen liitynnän lausunnolla olevaan luo</w:t>
      </w:r>
      <w:r>
        <w:t>n</w:t>
      </w:r>
      <w:r>
        <w:t>nokseen hallituksen esitykseksi vakuutusten tarjoamisesta sekä eräiksi siihen liittyviksi l</w:t>
      </w:r>
      <w:r>
        <w:t>a</w:t>
      </w:r>
      <w:r>
        <w:t xml:space="preserve">eiksi, jolla on osittain samaan direktiivisääntelyyn liittyviä yhtymäkohtia. </w:t>
      </w:r>
      <w:proofErr w:type="spellStart"/>
      <w:r w:rsidRPr="004D5D01">
        <w:rPr>
          <w:b/>
        </w:rPr>
        <w:t>STM</w:t>
      </w:r>
      <w:r>
        <w:t>:n</w:t>
      </w:r>
      <w:proofErr w:type="spellEnd"/>
      <w:r>
        <w:t xml:space="preserve"> mukaan saattaa olla lausuntopalautteesta riippuen perusteltua, että ministeriöt tarkistavat esityks</w:t>
      </w:r>
      <w:r>
        <w:t>i</w:t>
      </w:r>
      <w:r>
        <w:t>ään sen varmistamiseksi, että direktiivisääntelyn tavoitteet tasapuolisesta sääntelystä t</w:t>
      </w:r>
      <w:r>
        <w:t>o</w:t>
      </w:r>
      <w:r>
        <w:t xml:space="preserve">teutuvat. </w:t>
      </w:r>
      <w:r w:rsidRPr="004D5D01">
        <w:rPr>
          <w:b/>
        </w:rPr>
        <w:t>OP</w:t>
      </w:r>
      <w:r>
        <w:t xml:space="preserve"> pitää tärkeänä, että ehdotuksessa omaksutut sääntelyratkaisut ovat soveltuvin osin yhdenmukaiset </w:t>
      </w:r>
      <w:proofErr w:type="spellStart"/>
      <w:r>
        <w:t>IDD-</w:t>
      </w:r>
      <w:proofErr w:type="gramStart"/>
      <w:r>
        <w:t>direktiivin</w:t>
      </w:r>
      <w:proofErr w:type="spellEnd"/>
      <w:r>
        <w:t xml:space="preserve">  (EU</w:t>
      </w:r>
      <w:proofErr w:type="gramEnd"/>
      <w:r>
        <w:t xml:space="preserve">) 2016/97 kanssa. </w:t>
      </w:r>
      <w:proofErr w:type="spellStart"/>
      <w:r>
        <w:t>IDD:n</w:t>
      </w:r>
      <w:proofErr w:type="spellEnd"/>
      <w:r>
        <w:t xml:space="preserve"> sääntelyratkaisut voivat vaikeuttaa ja heijastua negatiivisesti myös MIFID II:n mukaisten palveluiden tarjoamiseen. </w:t>
      </w:r>
      <w:r w:rsidRPr="004D5D01">
        <w:rPr>
          <w:b/>
        </w:rPr>
        <w:t>EK</w:t>
      </w:r>
      <w:r>
        <w:t xml:space="preserve"> huomauttaa, että </w:t>
      </w:r>
      <w:proofErr w:type="spellStart"/>
      <w:r>
        <w:t>IDD:tä</w:t>
      </w:r>
      <w:proofErr w:type="spellEnd"/>
      <w:r>
        <w:t xml:space="preserve"> koskeva esitysluonnos sisältää sääntelyä, joka ei kaikilta osin ole linjassa MIFID II/MIFIR -sääntelykehikon kanssa. Jatkovalmistelussa tulisi varmistua si</w:t>
      </w:r>
      <w:r>
        <w:t>i</w:t>
      </w:r>
      <w:r>
        <w:t xml:space="preserve">tä, että mahdolliset häiriöt finanssialan toimijoiden sijoitustoimintaan jäävät mahdollisimman vähäisiksi. </w:t>
      </w:r>
    </w:p>
    <w:p w:rsidR="00ED7057" w:rsidRDefault="00ED7057" w:rsidP="00C16CD4">
      <w:pPr>
        <w:pStyle w:val="VMNormaaliSisentmtn"/>
        <w:ind w:left="1418"/>
        <w:jc w:val="both"/>
      </w:pPr>
    </w:p>
    <w:p w:rsidR="00ED7057" w:rsidRDefault="00ED7057" w:rsidP="00C16CD4">
      <w:pPr>
        <w:pStyle w:val="VMNormaaliSisentmtn"/>
        <w:ind w:left="1418"/>
        <w:jc w:val="both"/>
      </w:pPr>
      <w:r w:rsidRPr="004D5D01">
        <w:rPr>
          <w:b/>
        </w:rPr>
        <w:t>Pörssi</w:t>
      </w:r>
      <w:r>
        <w:t xml:space="preserve"> kiinnittää huomiota siihen, että uuden kaupankäynnistä rahoitusvälineil</w:t>
      </w:r>
      <w:r w:rsidR="00964164">
        <w:t>lä ann</w:t>
      </w:r>
      <w:r w:rsidR="00F24692">
        <w:t>ett</w:t>
      </w:r>
      <w:r w:rsidR="00F24692">
        <w:t>a</w:t>
      </w:r>
      <w:r w:rsidR="00F24692">
        <w:t>van</w:t>
      </w:r>
      <w:r w:rsidR="00964164">
        <w:t xml:space="preserve"> lain sää</w:t>
      </w:r>
      <w:r>
        <w:t>tämisen yhteydessä on tarpeen huolehtia tarvittavista muutoksista henkilötiet</w:t>
      </w:r>
      <w:r>
        <w:t>o</w:t>
      </w:r>
      <w:r>
        <w:t>jen käsittelyä koskeviin lakeihin, jotta direktiivin edellyttämät henkilöä koskevat tiedot vo</w:t>
      </w:r>
      <w:r>
        <w:t>i</w:t>
      </w:r>
      <w:r>
        <w:t xml:space="preserve">daan toimittaa pörssille.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4D5D01">
        <w:rPr>
          <w:b/>
        </w:rPr>
        <w:t>OM</w:t>
      </w:r>
      <w:r>
        <w:t>:n</w:t>
      </w:r>
      <w:proofErr w:type="spellEnd"/>
      <w:r>
        <w:t xml:space="preserve"> mukaan uuden rahanpesun ja terrorismin rahoittamisen estämisestä annetun lain (444/2017) muutoksenhakupykälää lienee syytä tarkastella samalla, kun Finanssivalvo</w:t>
      </w:r>
      <w:r>
        <w:t>n</w:t>
      </w:r>
      <w:r>
        <w:t>nasta annetun lain 73 §:ää muutetaan.</w:t>
      </w:r>
    </w:p>
    <w:p w:rsidR="00ED7057" w:rsidRDefault="00ED7057" w:rsidP="00C16CD4">
      <w:pPr>
        <w:pStyle w:val="VMNormaaliSisentmtn"/>
        <w:ind w:left="1418"/>
        <w:jc w:val="both"/>
      </w:pPr>
    </w:p>
    <w:p w:rsidR="00ED7057" w:rsidRDefault="00ED7057" w:rsidP="00C16CD4">
      <w:pPr>
        <w:pStyle w:val="VMNormaaliSisentmtn"/>
        <w:ind w:left="1418"/>
        <w:jc w:val="both"/>
      </w:pPr>
    </w:p>
    <w:p w:rsidR="00ED7057" w:rsidRDefault="00ED7057" w:rsidP="00C16CD4">
      <w:pPr>
        <w:pStyle w:val="VMOtsikko1"/>
        <w:jc w:val="both"/>
      </w:pPr>
      <w:bookmarkStart w:id="10" w:name="_Toc493863015"/>
      <w:bookmarkStart w:id="11" w:name="_Toc493863232"/>
      <w:r>
        <w:t>3 LAUSUNNONANTAJIEN LAKIKOHTAINEN PALAUTE</w:t>
      </w:r>
      <w:bookmarkEnd w:id="10"/>
      <w:bookmarkEnd w:id="11"/>
    </w:p>
    <w:p w:rsidR="00ED7057" w:rsidRDefault="004D5D01" w:rsidP="00C16CD4">
      <w:pPr>
        <w:pStyle w:val="VMOtsikko2"/>
        <w:jc w:val="both"/>
      </w:pPr>
      <w:r>
        <w:t xml:space="preserve">3.1 </w:t>
      </w:r>
      <w:r w:rsidR="00443424">
        <w:t>Laki sijoituspalvelulain muuttamisesta</w:t>
      </w:r>
    </w:p>
    <w:p w:rsidR="00ED7057" w:rsidRDefault="004D5D01" w:rsidP="00C16CD4">
      <w:pPr>
        <w:pStyle w:val="VMOtsikko3"/>
        <w:jc w:val="both"/>
      </w:pPr>
      <w:r>
        <w:t>Yleiset säännökset</w:t>
      </w:r>
    </w:p>
    <w:p w:rsidR="00ED7057" w:rsidRDefault="00ED7057" w:rsidP="00C16CD4">
      <w:pPr>
        <w:pStyle w:val="VMNormaaliSisentmtn"/>
        <w:ind w:left="1418"/>
        <w:jc w:val="both"/>
      </w:pPr>
    </w:p>
    <w:p w:rsidR="00ED7057" w:rsidRDefault="00ED7057" w:rsidP="00C16CD4">
      <w:pPr>
        <w:pStyle w:val="VMNormaaliSisentmtn"/>
        <w:ind w:left="1418"/>
        <w:jc w:val="both"/>
      </w:pPr>
      <w:r>
        <w:t>Esitysluonnoksen 1 luvun 3 §:ssä ehdotetaan, että MIFID II:n 3 artiklan mahdollistama k</w:t>
      </w:r>
      <w:r>
        <w:t>e</w:t>
      </w:r>
      <w:r>
        <w:t xml:space="preserve">vyempi sääntely otetaan täysimääräisesti käyttöön. </w:t>
      </w:r>
      <w:r w:rsidRPr="004D5D01">
        <w:rPr>
          <w:b/>
        </w:rPr>
        <w:t>SAK</w:t>
      </w:r>
      <w:r>
        <w:t xml:space="preserve"> katsoo, että tiukemman sääntelyn vaikutuksia tulisi ensin selvittää. Tiukempi sääntely voisi vahvistaa rahoitusvakautta ja p</w:t>
      </w:r>
      <w:r>
        <w:t>a</w:t>
      </w:r>
      <w:r>
        <w:t xml:space="preserve">rantaa sijoittajansuojaa. Tiukempaa sääntelyä tulisi harkita, jos sen kustannukset jäävät hyötyjä pienemmiksi. </w:t>
      </w:r>
      <w:r w:rsidRPr="004D5D01">
        <w:rPr>
          <w:b/>
        </w:rPr>
        <w:t>SAK</w:t>
      </w:r>
      <w:r>
        <w:t xml:space="preserve"> kiinnittää huomioita siihen, että esitysluonnoksen osapoikkeusta koskevan säännöksen johdosta sijoitusmuotoisen joukkorahoituksen tarjoajan 50 000 e</w:t>
      </w:r>
      <w:r>
        <w:t>u</w:t>
      </w:r>
      <w:r>
        <w:t xml:space="preserve">ron pääomavaatimus poistuisi. </w:t>
      </w:r>
      <w:r w:rsidRPr="004D5D01">
        <w:rPr>
          <w:b/>
        </w:rPr>
        <w:t>SAK</w:t>
      </w:r>
      <w:r>
        <w:t xml:space="preserve"> tuo esiin, että vaikka vastuuvakuutus voi tehokkaasti rajata toimijoiden mahdollisia tappioita, pääomavaatimuksen säilyttäminen kannustaisi to</w:t>
      </w:r>
      <w:r>
        <w:t>i</w:t>
      </w:r>
      <w:r>
        <w:t xml:space="preserve">mijoita pitkäjänteisempään ja vastuullisempaan toimintaan, kun riskejä ei voisi kokonaan ulkoistaa vakuutuksen tarjoajalle.  </w:t>
      </w:r>
    </w:p>
    <w:p w:rsidR="00ED7057" w:rsidRDefault="00ED7057" w:rsidP="00C16CD4">
      <w:pPr>
        <w:pStyle w:val="VMNormaaliSisentmtn"/>
        <w:ind w:left="1418"/>
        <w:jc w:val="both"/>
      </w:pPr>
    </w:p>
    <w:p w:rsidR="00ED7057" w:rsidRDefault="00ED7057" w:rsidP="00C16CD4">
      <w:pPr>
        <w:pStyle w:val="VMNormaaliSisentmtn"/>
        <w:ind w:left="1418"/>
        <w:jc w:val="both"/>
      </w:pPr>
      <w:r w:rsidRPr="004D5D01">
        <w:rPr>
          <w:b/>
        </w:rPr>
        <w:t>Finanssivalvonta</w:t>
      </w:r>
      <w:r>
        <w:t xml:space="preserve"> vastustaa MIFID II:n 3 artiklan käyttöönottoa esitetyssä laa</w:t>
      </w:r>
      <w:r w:rsidR="004D5D01">
        <w:t>juudessa, si</w:t>
      </w:r>
      <w:r w:rsidR="004D5D01">
        <w:t>l</w:t>
      </w:r>
      <w:r w:rsidR="004D5D01">
        <w:t>lä Fi</w:t>
      </w:r>
      <w:r>
        <w:t>nanssivalvonta katsoo, että tällainen sääntely olisi omiaan rapauttamaan</w:t>
      </w:r>
      <w:r w:rsidR="004D5D01">
        <w:t xml:space="preserve"> sijoittaja</w:t>
      </w:r>
      <w:r w:rsidR="004D5D01">
        <w:t>n</w:t>
      </w:r>
      <w:r w:rsidR="004D5D01">
        <w:t>suojaa huomat</w:t>
      </w:r>
      <w:r>
        <w:t xml:space="preserve">tavassa määrin. </w:t>
      </w:r>
      <w:r w:rsidRPr="004D5D01">
        <w:rPr>
          <w:b/>
        </w:rPr>
        <w:t>Finanssivalvonta</w:t>
      </w:r>
      <w:r>
        <w:t xml:space="preserve"> ei näe mitään syytä uuden toimijakateg</w:t>
      </w:r>
      <w:r>
        <w:t>o</w:t>
      </w:r>
      <w:r>
        <w:t>rian käyttöönottamiselle ehdotetussa laajuudessa yksinomaan kilpailun edistämiseksi. Säännöksiä, joiden soveltamisesta ehdotetaan luovuttavaksi, ei ole riittävästi analysoitu ja argumentoitu siten, että kilpailun edistämisellä mahdollisesti saavutettavat edut olisivat olennaisesti merkittävämmät kuin ne haitat, joita sijoittajansuojan keskeisimmistä säännö</w:t>
      </w:r>
      <w:r>
        <w:t>k</w:t>
      </w:r>
      <w:r>
        <w:t xml:space="preserve">sistä luopuminen aiheuttaisi. </w:t>
      </w:r>
      <w:r w:rsidRPr="004D5D01">
        <w:rPr>
          <w:b/>
        </w:rPr>
        <w:t>Finanssivalvonta</w:t>
      </w:r>
      <w:r>
        <w:t xml:space="preserve"> pitää sijoittajansuojan näkökulmasta eri</w:t>
      </w:r>
      <w:r>
        <w:t>t</w:t>
      </w:r>
      <w:r>
        <w:t>täin merkittävänä puutteena sitä, ettei ehdotettu sääntely aseta MIFID II:n 3 artiklan muka</w:t>
      </w:r>
      <w:r>
        <w:t>i</w:t>
      </w:r>
      <w:r>
        <w:t>selle palveluntarjoajalle erityistä tiedonantovelvollisuutta siihen koskevan sääntelyn rajall</w:t>
      </w:r>
      <w:r>
        <w:t>i</w:t>
      </w:r>
      <w:r>
        <w:t>suudesta.</w:t>
      </w:r>
    </w:p>
    <w:p w:rsidR="00ED7057" w:rsidRDefault="00ED7057" w:rsidP="00C16CD4">
      <w:pPr>
        <w:pStyle w:val="VMNormaaliSisentmtn"/>
        <w:ind w:left="1418"/>
        <w:jc w:val="both"/>
      </w:pPr>
    </w:p>
    <w:p w:rsidR="00ED7057" w:rsidRDefault="00ED7057" w:rsidP="00C16CD4">
      <w:pPr>
        <w:pStyle w:val="VMNormaaliSisentmtn"/>
        <w:ind w:left="1418"/>
        <w:jc w:val="both"/>
      </w:pPr>
      <w:r w:rsidRPr="004D5D01">
        <w:rPr>
          <w:b/>
        </w:rPr>
        <w:t>OP</w:t>
      </w:r>
      <w:r>
        <w:t xml:space="preserve"> pitää kevennettyä sääntelyä perusteluna siltä osin, kun kysymys on uudentyyppisten palveluiden kuten joukkorahoituksen välityksen sääntelystä. Sitä vastoin sijoittajansuojan ja tasapuolisten kilpailuolosuhteiden näkökulmasta hyvin ohuesti säännellyn sijoitusneuvo</w:t>
      </w:r>
      <w:r>
        <w:t>n</w:t>
      </w:r>
      <w:r>
        <w:t xml:space="preserve">nan käyttöönotto on erittäin ongelmallista. </w:t>
      </w:r>
      <w:r w:rsidRPr="004D5D01">
        <w:rPr>
          <w:b/>
        </w:rPr>
        <w:t>OP</w:t>
      </w:r>
      <w:r>
        <w:t xml:space="preserve"> ehdottaa voimassa</w:t>
      </w:r>
      <w:r w:rsidR="00A05DD2">
        <w:t xml:space="preserve"> </w:t>
      </w:r>
      <w:r>
        <w:t>olevan lain kaltaista ra</w:t>
      </w:r>
      <w:r>
        <w:t>t</w:t>
      </w:r>
      <w:r>
        <w:t xml:space="preserve">kaisua, jossa sijoitusneuvonta olisi kytketty ainoastaan joukkorahoituksen </w:t>
      </w:r>
      <w:r w:rsidR="004D5D01">
        <w:t>välitykseen liitt</w:t>
      </w:r>
      <w:r w:rsidR="004D5D01">
        <w:t>y</w:t>
      </w:r>
      <w:r w:rsidR="004D5D01">
        <w:t>vään sijoitus</w:t>
      </w:r>
      <w:r>
        <w:t>neuvontaan.</w:t>
      </w:r>
    </w:p>
    <w:p w:rsidR="00ED7057" w:rsidRDefault="00ED7057" w:rsidP="00C16CD4">
      <w:pPr>
        <w:pStyle w:val="VMNormaaliSisentmtn"/>
        <w:ind w:left="1418"/>
        <w:jc w:val="both"/>
      </w:pPr>
    </w:p>
    <w:p w:rsidR="00ED7057" w:rsidRDefault="00ED7057" w:rsidP="00C16CD4">
      <w:pPr>
        <w:pStyle w:val="VMNormaaliSisentmtn"/>
        <w:ind w:left="1418"/>
        <w:jc w:val="both"/>
      </w:pPr>
      <w:r w:rsidRPr="004D5D01">
        <w:rPr>
          <w:b/>
        </w:rPr>
        <w:t>EK</w:t>
      </w:r>
      <w:r>
        <w:t xml:space="preserve"> katsoo, että selvennystä tarvitaan sen määrittelemiseen, millaisiin uusiin mahdollisiin toimijoihin </w:t>
      </w:r>
      <w:r w:rsidR="008A336D">
        <w:t xml:space="preserve">niin sanottua </w:t>
      </w:r>
      <w:r>
        <w:t>kevennettyä osatoimilupaa käytännössä sovellettaisiin. Lisäksi t</w:t>
      </w:r>
      <w:r>
        <w:t>ä</w:t>
      </w:r>
      <w:r>
        <w:t xml:space="preserve">hän liittyvästä vastuunjaosta kahden sijoituspalvelua tarjoavan tahon välisessä suhteessa tulisi säätää tarkemmin.  </w:t>
      </w:r>
    </w:p>
    <w:p w:rsidR="00ED7057" w:rsidRDefault="00ED7057" w:rsidP="00C16CD4">
      <w:pPr>
        <w:pStyle w:val="VMNormaaliSisentmtn"/>
        <w:ind w:left="1418"/>
        <w:jc w:val="both"/>
      </w:pPr>
    </w:p>
    <w:p w:rsidR="00ED7057" w:rsidRDefault="00ED7057" w:rsidP="00C16CD4">
      <w:pPr>
        <w:pStyle w:val="VMNormaaliSisentmtn"/>
        <w:ind w:left="1418"/>
        <w:jc w:val="both"/>
      </w:pPr>
      <w:r>
        <w:t>Myös</w:t>
      </w:r>
      <w:r w:rsidRPr="004D5D01">
        <w:rPr>
          <w:b/>
        </w:rPr>
        <w:t xml:space="preserve"> Finanssiala</w:t>
      </w:r>
      <w:r>
        <w:t xml:space="preserve"> toteaa, ettei perusteluissa ole selvennetty riittävästi, minkälaisiin uusiin toimijoihin osatoimilupaa käytännössä sovellettaisiin. Rajanveto täyden toimiluvan piiriin kuuluviin toimintoihin ei myöskään ole täysin selkeä. Uudenlaisten toimijoiden ja palvelu</w:t>
      </w:r>
      <w:r>
        <w:t>i</w:t>
      </w:r>
      <w:r>
        <w:t xml:space="preserve">den kehittyminen finanssimarkkinoilla on kannatettavaa, mutta </w:t>
      </w:r>
      <w:r w:rsidRPr="004D5D01">
        <w:rPr>
          <w:b/>
        </w:rPr>
        <w:t>Finanssiala</w:t>
      </w:r>
      <w:r>
        <w:t xml:space="preserve"> ei näe peruste</w:t>
      </w:r>
      <w:r>
        <w:t>l</w:t>
      </w:r>
      <w:r>
        <w:t>tuna, että sijoittajansuojaa koskevat edellytykset, kuten ammattitaitovaatimukset, kannu</w:t>
      </w:r>
      <w:r>
        <w:t>s</w:t>
      </w:r>
      <w:r>
        <w:t xml:space="preserve">tinsääntely ja asianmukaisuusarvion tekeminen, eivät koskisi näitä toimijoita. Lisäksi </w:t>
      </w:r>
      <w:r w:rsidRPr="004D5D01">
        <w:rPr>
          <w:b/>
        </w:rPr>
        <w:t>F</w:t>
      </w:r>
      <w:r w:rsidRPr="004D5D01">
        <w:rPr>
          <w:b/>
        </w:rPr>
        <w:t>i</w:t>
      </w:r>
      <w:r w:rsidRPr="004D5D01">
        <w:rPr>
          <w:b/>
        </w:rPr>
        <w:t>nanssiala</w:t>
      </w:r>
      <w:r>
        <w:t xml:space="preserve"> kiinnittää huomiota luonnoksen perusteluihin, joiden mukaan toimiluvan alainen palveluntarjoaja vastaa aina sijoittajansuojasäännösten noudattamisesta toimeksiantoa koskien. </w:t>
      </w:r>
      <w:r w:rsidRPr="004D5D01">
        <w:rPr>
          <w:b/>
        </w:rPr>
        <w:t>Finanssiala</w:t>
      </w:r>
      <w:r>
        <w:t xml:space="preserve"> toteaa, että vastuusta tulisi asian merkittävyyden vuoksi säätää lain pykälätekstissä eikä perusteluissa. </w:t>
      </w:r>
    </w:p>
    <w:p w:rsidR="00ED7057" w:rsidRDefault="00ED7057" w:rsidP="00C16CD4">
      <w:pPr>
        <w:pStyle w:val="VMNormaaliSisentmtn"/>
        <w:ind w:left="1418"/>
        <w:jc w:val="both"/>
      </w:pPr>
    </w:p>
    <w:p w:rsidR="00ED7057" w:rsidRDefault="00ED7057" w:rsidP="00C16CD4">
      <w:pPr>
        <w:pStyle w:val="VMNormaaliSisentmtn"/>
        <w:ind w:left="1418"/>
        <w:jc w:val="both"/>
      </w:pPr>
      <w:r w:rsidRPr="004D5D01">
        <w:rPr>
          <w:b/>
        </w:rPr>
        <w:t>Energiavirasto</w:t>
      </w:r>
      <w:r>
        <w:t xml:space="preserve"> kannattaa ehdotettua poikkeussäännöstä, jonka mukaan sijoituspalvelulaki ei sovellu päästökauppalain (311/2011) 6 §:n 1 momentin 8 kohdassa tarkoitettuihin to</w:t>
      </w:r>
      <w:r>
        <w:t>i</w:t>
      </w:r>
      <w:r>
        <w:t xml:space="preserve">minnanharjoittajiin, jotka päästöoikeuksilla kauppaa käydessään eivät toteuta </w:t>
      </w:r>
      <w:proofErr w:type="spellStart"/>
      <w:r>
        <w:t>asiakasto</w:t>
      </w:r>
      <w:r>
        <w:t>i</w:t>
      </w:r>
      <w:r>
        <w:t>meksiantoja</w:t>
      </w:r>
      <w:proofErr w:type="spellEnd"/>
      <w:r>
        <w:t xml:space="preserve"> eivätkä tarjoa muita sijoituspalvelu</w:t>
      </w:r>
      <w:r w:rsidR="002D086F">
        <w:t>j</w:t>
      </w:r>
      <w:r>
        <w:t xml:space="preserve">a tai harjoita muuta sijoitustoimintaa kuin kaupankäyntiä omaan lukuunsa. </w:t>
      </w:r>
      <w:r w:rsidRPr="00525A30">
        <w:rPr>
          <w:b/>
        </w:rPr>
        <w:t>Energiaviraston</w:t>
      </w:r>
      <w:r>
        <w:t xml:space="preserve"> mukaan on tärkeää, ettei rahoitusmar</w:t>
      </w:r>
      <w:r>
        <w:t>k</w:t>
      </w:r>
      <w:r>
        <w:t xml:space="preserve">kinasäännöksistä seuraa päästökaupassa mukana oleville toiminnanharjoittajille merkittäviä lisävelvoitteita. </w:t>
      </w:r>
      <w:r w:rsidRPr="00525A30">
        <w:rPr>
          <w:b/>
        </w:rPr>
        <w:t>Energiavirasto</w:t>
      </w:r>
      <w:r>
        <w:t xml:space="preserve"> kannattaa myös ehdotettuja 1 luvun 2 ja 3 §:n poikkeu</w:t>
      </w:r>
      <w:r>
        <w:t>s</w:t>
      </w:r>
      <w:r>
        <w:t>säännöksiä perustuen siihen, että lain soveltaminen lisäisi kohtuuttomasti puhtaasti su</w:t>
      </w:r>
      <w:r>
        <w:t>o</w:t>
      </w:r>
      <w:r>
        <w:t>jaustarkoituksessa energiamarkkinoilla toimivien, pääasiallisena liiketoimintanaan fyysistä sähkö- ja maakaasukauppaa käyvien tahojen pääasialliseen elinkeinonharjoittamiseen lii</w:t>
      </w:r>
      <w:r>
        <w:t>t</w:t>
      </w:r>
      <w:r>
        <w:t xml:space="preserve">tyvää hallinnollista taakkaa.  </w:t>
      </w:r>
    </w:p>
    <w:p w:rsidR="00B70946" w:rsidRDefault="00B70946" w:rsidP="00C16CD4">
      <w:pPr>
        <w:pStyle w:val="VMNormaaliSisentmtn"/>
        <w:ind w:left="1418"/>
        <w:jc w:val="both"/>
      </w:pPr>
    </w:p>
    <w:p w:rsidR="00BE2453" w:rsidRDefault="00B70946" w:rsidP="006F0DFF">
      <w:pPr>
        <w:pStyle w:val="VMNormaaliSisentmtn"/>
        <w:ind w:left="1418"/>
        <w:jc w:val="both"/>
      </w:pPr>
      <w:r w:rsidRPr="004D5D01">
        <w:rPr>
          <w:b/>
        </w:rPr>
        <w:t>Kuntarahoituksen</w:t>
      </w:r>
      <w:r>
        <w:t xml:space="preserve"> mukaan sijoituspalvelulakia koskevaan ehdotukseen sisältyy huomatt</w:t>
      </w:r>
      <w:r>
        <w:t>a</w:t>
      </w:r>
      <w:r>
        <w:t>vaa epävarmuutta siltä osin, kun sijoituspalveluyritys tai sijoituspalveluja tarjoava luottola</w:t>
      </w:r>
      <w:r>
        <w:t>i</w:t>
      </w:r>
      <w:r>
        <w:t>tos käy kauppaa omaan lukuunsa toisen sijoituspalveluyrityksen kanssa tarjoamatta s</w:t>
      </w:r>
      <w:r>
        <w:t>a</w:t>
      </w:r>
      <w:r>
        <w:t>massa yhteydessä sijoituspalvelua asiakkailleen. Ongelmallisia ovat myös tilanteet, joissa kaksi sijoituspalveluyritystä solmii keskenään johdannaissopimuksen. Hallituksen esityksen perusteluissa olisi tarpeen selventää, onko näissä tilanteissa jompaakumpaa sijoituspalv</w:t>
      </w:r>
      <w:r>
        <w:t>e</w:t>
      </w:r>
      <w:r>
        <w:t>luyrityksistä pidettävä toisen asiakkaana vai onko kummankin sijoituspalveluyrityksen ka</w:t>
      </w:r>
      <w:r>
        <w:t>t</w:t>
      </w:r>
      <w:r>
        <w:t xml:space="preserve">sottava harjoittavan vain sijoitustoimintaa käymällä kauppaa omaan lukuunsa.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Finanssiala</w:t>
      </w:r>
      <w:r>
        <w:t xml:space="preserve"> ja </w:t>
      </w:r>
      <w:r w:rsidRPr="00525A30">
        <w:rPr>
          <w:b/>
        </w:rPr>
        <w:t>JLM Immonen</w:t>
      </w:r>
      <w:r>
        <w:t xml:space="preserve"> kommentoivat ehdotettua 1 luvun 4 §:</w:t>
      </w:r>
      <w:proofErr w:type="spellStart"/>
      <w:r>
        <w:t>ää</w:t>
      </w:r>
      <w:proofErr w:type="spellEnd"/>
      <w:r>
        <w:t>, jossa säädettäisiin luottolaitokseen, rahastoyhtiöön ja vaihtoehtorahastojen hoitajaan sovellettavista säännö</w:t>
      </w:r>
      <w:r>
        <w:t>k</w:t>
      </w:r>
      <w:r>
        <w:t>sistä</w:t>
      </w:r>
      <w:r w:rsidR="00525A30">
        <w:t xml:space="preserve">. </w:t>
      </w:r>
      <w:r w:rsidR="00525A30" w:rsidRPr="00525A30">
        <w:rPr>
          <w:b/>
        </w:rPr>
        <w:t>Finans</w:t>
      </w:r>
      <w:r w:rsidRPr="00525A30">
        <w:rPr>
          <w:b/>
        </w:rPr>
        <w:t>siala</w:t>
      </w:r>
      <w:r>
        <w:t xml:space="preserve"> kiinnittää huomiota siihen, että kyseisen pykälän 1 momenttiin on lisätty maininta oheispalveluiden tarjoamisesta, ja lisäksi lisätty uutena osapoikkeuksen sovelt</w:t>
      </w:r>
      <w:r>
        <w:t>a</w:t>
      </w:r>
      <w:r>
        <w:t xml:space="preserve">misalaan kuluvana toimintana sijoitustoiminnan harjoittaminen, jota ei mainita nykyisessä sijoituspalvelulaissa. </w:t>
      </w:r>
      <w:r w:rsidRPr="00525A30">
        <w:rPr>
          <w:b/>
        </w:rPr>
        <w:t>Finanssialan</w:t>
      </w:r>
      <w:r>
        <w:t xml:space="preserve"> mukaan perusteluissa tulisi tarkentaa selventävästi, o</w:t>
      </w:r>
      <w:r>
        <w:t>n</w:t>
      </w:r>
      <w:r>
        <w:t>ko soveltamisalaa tarkoitus muuttaa ja miten. Lisäksi perusteluissa tulisi todeta, ettei sää</w:t>
      </w:r>
      <w:r>
        <w:t>n</w:t>
      </w:r>
      <w:r>
        <w:t xml:space="preserve">tely koske luottolaitoksia, jotka harjoittavat sijoitustoimintaa sijoittamalla likvidejä varojaan tarjoamatta oheispalveluita. </w:t>
      </w:r>
      <w:r w:rsidRPr="00525A30">
        <w:rPr>
          <w:b/>
        </w:rPr>
        <w:t>Finanssiala</w:t>
      </w:r>
      <w:r>
        <w:t xml:space="preserve"> kiinnittää huomiota siihen, että 4 §:n mukaan lain säännöksiä sovelletaan eri tavalla rahastoyhtiöihin ja vaihtoehtorahastojen hoitajiin. Sää</w:t>
      </w:r>
      <w:r>
        <w:t>n</w:t>
      </w:r>
      <w:r>
        <w:t xml:space="preserve">tely tulisi yhtenäistää rahastoyhtiöiden ja vaihtoehtorahastojen osalta. </w:t>
      </w:r>
      <w:r w:rsidRPr="00525A30">
        <w:rPr>
          <w:b/>
        </w:rPr>
        <w:t>JLM Immosen</w:t>
      </w:r>
      <w:r>
        <w:t xml:space="preserve"> m</w:t>
      </w:r>
      <w:r>
        <w:t>u</w:t>
      </w:r>
      <w:r>
        <w:t>kaan ehdotettu 2 momentti, jossa säädettäisiin muun muassa 6 luvun 1 §:n 2 momentin s</w:t>
      </w:r>
      <w:r>
        <w:t>e</w:t>
      </w:r>
      <w:r>
        <w:t>kä 2 §:n 2 ja 4 momentin mukaisesta taloudellista asemaa ja talouden vakauden valvontaa koskevien säännösten soveltamisesta sijoituspalveluja tarjoaviin rahastoyhtiöihin, tulisi ta</w:t>
      </w:r>
      <w:r>
        <w:t>r</w:t>
      </w:r>
      <w:r>
        <w:t xml:space="preserve">kistaa perusteiltaan. Kyseisten säännösten soveltaminen tulisi poistaa ainakin sellaisten rahastoyhtiöiden osalta, joilla ei ole lupaa pitää hallussaan asiakasvaroja. Vastaavasti tulisi tarkistaa säännösten soveltaminen sijoituspalveluja tarjoaviin vaihtoehtorahastojen hoitajiin.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525A30">
        <w:rPr>
          <w:b/>
        </w:rPr>
        <w:t>Evervestin</w:t>
      </w:r>
      <w:proofErr w:type="spellEnd"/>
      <w:r>
        <w:t xml:space="preserve"> mukaan esitysluonnoksen 1 luvun 25 §:n algoritmisen kaupankäynnin määr</w:t>
      </w:r>
      <w:r>
        <w:t>i</w:t>
      </w:r>
      <w:r>
        <w:t>telmä on epäselvä. Esitysluonnoksen määritelmä jättää epäselväksi sen, koskisiko algori</w:t>
      </w:r>
      <w:r>
        <w:t>t</w:t>
      </w:r>
      <w:r>
        <w:t>misen kaupankäynnin määritelmä toimijaa, jonka algoritmien voidaan katsoa määrittävän kauppojen tekijöitä, mutta joka ei itse toteuta kauppoja, vaan ne toteutetaan välittäjän to</w:t>
      </w:r>
      <w:r>
        <w:t>i</w:t>
      </w:r>
      <w:r>
        <w:t>mesta. Määritelmää tulisi selventää sen osalta, kattaako se kaikki sijoituspalvelut vai tule</w:t>
      </w:r>
      <w:r>
        <w:t>e</w:t>
      </w:r>
      <w:r>
        <w:t xml:space="preserve">ko yhtiön nimenomaan toteuttaa tai välittää toimeksiantoja määritelmän täyttymiseksi.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Sijoittajien korvausrahaston</w:t>
      </w:r>
      <w:r>
        <w:t xml:space="preserve"> mukaan 1 luvun 26 §:n mukainen </w:t>
      </w:r>
      <w:r w:rsidR="00525A30">
        <w:t>strukturoidun talletuksen määri</w:t>
      </w:r>
      <w:r>
        <w:t>telmän muotoilu on harhaanjohtava ja puutteellinen siksi, että sen keskeinen sisältö on esitetty viittaamalla talletussuojadirektiivin 2014/49/EU 2 artiklan 1 kohdan 3(c) alako</w:t>
      </w:r>
      <w:r>
        <w:t>h</w:t>
      </w:r>
      <w:r>
        <w:t>taan. Tästä muodostuu helposti sellainen kuva, että keskeinen kriteeri strukturoidun tall</w:t>
      </w:r>
      <w:r>
        <w:t>e</w:t>
      </w:r>
      <w:r>
        <w:t>tuksen tunnistamisessa olisi koron sijoitusluonteinen kohde-etuus. Tällöin niin kutsutut sijo</w:t>
      </w:r>
      <w:r>
        <w:t>i</w:t>
      </w:r>
      <w:r>
        <w:t>tussidonnaiset talletukset luokiteltaisiin jatkossa virheellisesti strukturoiduiksi talletuksiksi, jolloin ne putoaisivat talletussuojan ulkopuolelle ja tulisivat sen sijaan sijoittajien korvausr</w:t>
      </w:r>
      <w:r>
        <w:t>a</w:t>
      </w:r>
      <w:r>
        <w:t xml:space="preserve">hastosuojan piiriin. </w:t>
      </w:r>
    </w:p>
    <w:p w:rsidR="0035704D" w:rsidRDefault="0035704D" w:rsidP="00C16CD4">
      <w:pPr>
        <w:pStyle w:val="VMNormaaliSisentmtn"/>
        <w:ind w:left="1418"/>
        <w:jc w:val="both"/>
      </w:pPr>
    </w:p>
    <w:p w:rsidR="0035704D" w:rsidRDefault="0035704D" w:rsidP="006F0DFF">
      <w:pPr>
        <w:pStyle w:val="VMNormaaliSisentmtn"/>
        <w:ind w:left="1418"/>
        <w:jc w:val="both"/>
      </w:pPr>
      <w:r w:rsidRPr="00525A30">
        <w:rPr>
          <w:b/>
        </w:rPr>
        <w:t>Ehta Raha</w:t>
      </w:r>
      <w:r>
        <w:t xml:space="preserve"> tiedustelee, olisiko lakimuutosten yhteydessä mahdollista määritellä tarkemmin sijoitustuotteiden siirtokelvottomuutta. </w:t>
      </w:r>
    </w:p>
    <w:p w:rsidR="00ED7057" w:rsidRDefault="00ED7057" w:rsidP="00C16CD4">
      <w:pPr>
        <w:pStyle w:val="VMNormaaliSisentmtn"/>
        <w:ind w:left="1418"/>
        <w:jc w:val="both"/>
      </w:pPr>
    </w:p>
    <w:p w:rsidR="00ED7057" w:rsidRDefault="00ED7057" w:rsidP="006F0DFF">
      <w:pPr>
        <w:pStyle w:val="VMNormaaliSisentmtn"/>
        <w:ind w:left="1418"/>
        <w:jc w:val="both"/>
      </w:pPr>
      <w:r w:rsidRPr="00525A30">
        <w:rPr>
          <w:b/>
        </w:rPr>
        <w:t>Pörssisäätiön</w:t>
      </w:r>
      <w:r>
        <w:t xml:space="preserve"> vahva näkemys on, että Suomessa siirtokelpoisuus on määritelty oikein. Se, että yhtiö on listaamaton, ei tee osakkeesta siirtokelvotonta. Ei-ammattimaisten sijoittajien sijoittaessa rahoitusvälineeseen on erittäin toivottavaa, että rahoitusväline on siirto- ja jä</w:t>
      </w:r>
      <w:r>
        <w:t>l</w:t>
      </w:r>
      <w:r>
        <w:t xml:space="preserve">kimarkkinakelpoinen. </w:t>
      </w:r>
    </w:p>
    <w:p w:rsidR="00ED7057" w:rsidRDefault="00ED7057" w:rsidP="00C16CD4">
      <w:pPr>
        <w:pStyle w:val="VMOtsikko3"/>
        <w:jc w:val="both"/>
      </w:pPr>
      <w:r>
        <w:t>Oikeus tarjota sijoituspalvelua t</w:t>
      </w:r>
      <w:r w:rsidR="00525A30">
        <w:t>ai harjoittaa sijoitustoimintaa</w:t>
      </w:r>
    </w:p>
    <w:p w:rsidR="00ED7057" w:rsidRDefault="00ED7057" w:rsidP="00C16CD4">
      <w:pPr>
        <w:pStyle w:val="VMNormaaliSisentmtn"/>
        <w:ind w:left="1418"/>
        <w:jc w:val="both"/>
      </w:pPr>
      <w:r w:rsidRPr="00525A30">
        <w:rPr>
          <w:b/>
        </w:rPr>
        <w:t>STM</w:t>
      </w:r>
      <w:r>
        <w:t xml:space="preserve"> kiinnittää huomiota siihen, että vakuutusyhtiö voi vakuutusyhtiölain (521/2008) m</w:t>
      </w:r>
      <w:r>
        <w:t>u</w:t>
      </w:r>
      <w:r>
        <w:t>kaan toimia luottolaitoksen tai sijoituspalveluyrityksen asiamiehenä. Sijoituspalvelulain yleisperusteluissa olisi syytä mainita, että sijoituspalvelulailla ei ole tarkoitusta rajoittaa v</w:t>
      </w:r>
      <w:r>
        <w:t>a</w:t>
      </w:r>
      <w:r>
        <w:t>kuutusyhtiölle sallittua toimintaa. Vaihtoehtoisesti sijoituspalvelulain 2 luvun 1 §:ää voisi täsmentää siten, että sijoituspalvelua voi tarjota tai sijoitustoimintaa voi harjoittaa vain sijo</w:t>
      </w:r>
      <w:r>
        <w:t>i</w:t>
      </w:r>
      <w:r>
        <w:t xml:space="preserve">tuspalvelulaissa tarkoitettu toimiluvan saanut yritys, ellei muualla laissa toisin säädetä.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525A30">
        <w:rPr>
          <w:b/>
        </w:rPr>
        <w:t>Euroclearin</w:t>
      </w:r>
      <w:proofErr w:type="spellEnd"/>
      <w:r>
        <w:t xml:space="preserve"> mukaan 2 luvun 2 §:n säännöksessä, joka koskee sijoituspalvelun tarjoamista tai sijoitustoiminnan harjoittamista muun luvan kuin sijoituspalveluyrityksen toimiluvan p</w:t>
      </w:r>
      <w:r>
        <w:t>e</w:t>
      </w:r>
      <w:r>
        <w:t>rusteella, tulisi ottaa huomioon, että myös arvopaperikeskus saa tarjota sijoituspalveluita ja harjoittaa sijoitustoimintaa ilman sijoituspalvelulain mukaista toimilupaa. Tämän lisäksi sijo</w:t>
      </w:r>
      <w:r>
        <w:t>i</w:t>
      </w:r>
      <w:r>
        <w:t xml:space="preserve">tuspalvelulaissa tulisi määritellä, mitä sijoituspalvelulain säännöksiä arvopaperikeskukseen sovellettaisiin. Lisäksi </w:t>
      </w:r>
      <w:proofErr w:type="spellStart"/>
      <w:r w:rsidRPr="00525A30">
        <w:rPr>
          <w:b/>
        </w:rPr>
        <w:t>Euroclearin</w:t>
      </w:r>
      <w:proofErr w:type="spellEnd"/>
      <w:r>
        <w:t xml:space="preserve"> mukaan esitysluonnoksessa käytetään monta kertaa i</w:t>
      </w:r>
      <w:r>
        <w:t>l</w:t>
      </w:r>
      <w:r>
        <w:t>maisua, josta voi jäädä sellainen käsitys, että arvopaperitileistä annetussa laissa (750/2012) määriteltäisiin ne tahot, jotka voivat tarjota rahoitusvälineiden säilyttämiseen lii</w:t>
      </w:r>
      <w:r>
        <w:t>t</w:t>
      </w:r>
      <w:r>
        <w:t>tyviä palveluita. Voimassa oleva arvopaperitileistä annettu laki ei kuitenkaan määrittele, ketkä voivat toimia säilyttäjinä, vaan tämä määritellään voimassa olevan sijoituspalvelulain 2 luvun 1 ja 2 §:ssä sekä arvo-osuustileistä annetun lain (827/1991) 5 a §:</w:t>
      </w:r>
      <w:proofErr w:type="spellStart"/>
      <w:r>
        <w:t>ssä</w:t>
      </w:r>
      <w:proofErr w:type="spellEnd"/>
      <w:r>
        <w:t xml:space="preserve">. </w:t>
      </w:r>
      <w:proofErr w:type="spellStart"/>
      <w:r w:rsidRPr="00525A30">
        <w:rPr>
          <w:b/>
        </w:rPr>
        <w:t>Euroclear</w:t>
      </w:r>
      <w:proofErr w:type="spellEnd"/>
      <w:r>
        <w:t xml:space="preserve"> tuo esiin, että säilyttäjälle asetetut velvollisuudet kytketään arvopaperitileistä annetussa laissa nimenomaan säilyttäjän käsitteeseen. Näin ollen on tärkeää, että säilyttäjän käsite ja samalla arvopaperitileistä annetun lain mukaiset velvollisuudet kattavat kaiken Suomessa harjoitettavan arvopaperien säilyttämisen riippumatta siitä, millaisen toimiluvan perusteella säi</w:t>
      </w:r>
      <w:r w:rsidR="00525A30">
        <w:t xml:space="preserve">lyttäjä toimii. </w:t>
      </w:r>
    </w:p>
    <w:p w:rsidR="00ED7057" w:rsidRDefault="00ED7057" w:rsidP="00C16CD4">
      <w:pPr>
        <w:pStyle w:val="VMOtsikko3"/>
        <w:jc w:val="both"/>
      </w:pPr>
      <w:r>
        <w:t>Sijoituspalvelun tarjoamisen taloudelliset toimintaedellytykset ja talouden va</w:t>
      </w:r>
      <w:r w:rsidR="00525A30">
        <w:t>kauden valvonta</w:t>
      </w:r>
    </w:p>
    <w:p w:rsidR="00ED7057" w:rsidRDefault="00ED7057" w:rsidP="00C16CD4">
      <w:pPr>
        <w:pStyle w:val="VMNormaaliSisentmtn"/>
        <w:ind w:left="1418"/>
        <w:jc w:val="both"/>
      </w:pPr>
      <w:r w:rsidRPr="00525A30">
        <w:rPr>
          <w:b/>
        </w:rPr>
        <w:t>JLM Immonen</w:t>
      </w:r>
      <w:r>
        <w:t xml:space="preserve"> pitää erittäin hyvänä sääntelypäivityksenä ehdotettuja muutoksia osak</w:t>
      </w:r>
      <w:r>
        <w:t>e</w:t>
      </w:r>
      <w:r>
        <w:t>pääomavaatimuksiin sekä EU:n vakavaraisuusasetuksen (EU) N:o 575/2013 soveltamisen poistamista sellaisten sijoituspalveluyritysten osalta, joilla ei ole lupaa pitää hallussaan asiakasvaroja eikä lupaa tarjota oheispalveluna rahoitusvälineiden säilyttämistä ja hoitoa asiakkaan lukuun ja jotka tarjoavat sijoituspalveluna ainoastaan toimeksiantojen välittämi</w:t>
      </w:r>
      <w:r>
        <w:t>s</w:t>
      </w:r>
      <w:r>
        <w:t>tä, toimeksiantojen toteuttamista, omaisuudenhoitoa t</w:t>
      </w:r>
      <w:r w:rsidR="00525A30">
        <w:t xml:space="preserve">ai sijoitusneuvontaa. </w:t>
      </w:r>
    </w:p>
    <w:p w:rsidR="00ED7057" w:rsidRDefault="00ED7057" w:rsidP="00C16CD4">
      <w:pPr>
        <w:pStyle w:val="VMOtsikko3"/>
        <w:jc w:val="both"/>
      </w:pPr>
      <w:r>
        <w:t>Sijoituspalveluyrityksen toiminnan järjestäminen</w:t>
      </w:r>
    </w:p>
    <w:p w:rsidR="00ED7057" w:rsidRDefault="00ED7057" w:rsidP="00C16CD4">
      <w:pPr>
        <w:pStyle w:val="VMNormaaliSisentmtn"/>
        <w:ind w:left="1418"/>
        <w:jc w:val="both"/>
      </w:pPr>
      <w:r>
        <w:t>Esitysluonnokse</w:t>
      </w:r>
      <w:r w:rsidR="008319EC">
        <w:t>n</w:t>
      </w:r>
      <w:r>
        <w:t xml:space="preserve"> 7 luvun 2 §:n 6 momenti</w:t>
      </w:r>
      <w:r w:rsidR="008319EC">
        <w:t>ssa</w:t>
      </w:r>
      <w:r>
        <w:t xml:space="preserve"> </w:t>
      </w:r>
      <w:r w:rsidR="008319EC">
        <w:t xml:space="preserve">säädetään </w:t>
      </w:r>
      <w:r>
        <w:t>sijoituspalveluita antavan henk</w:t>
      </w:r>
      <w:r>
        <w:t>i</w:t>
      </w:r>
      <w:r>
        <w:t xml:space="preserve">lön pätevyydestä. </w:t>
      </w:r>
      <w:r w:rsidR="002E302A">
        <w:t>Kyseisen säännöksen</w:t>
      </w:r>
      <w:r>
        <w:t xml:space="preserve"> sekä kannustimia koskevan 10 luvun 6 §:n osalta </w:t>
      </w:r>
      <w:r w:rsidRPr="00525A30">
        <w:rPr>
          <w:b/>
        </w:rPr>
        <w:t>Pörssisäätiö</w:t>
      </w:r>
      <w:r>
        <w:t xml:space="preserve"> tuo esiin, että viime aikoina sijoituspalveluyritysten sijoitusneuvonnassa on todettu puutteita, joiden voidaan katsoa liittyvän sekä osaamiseen että riippumattomuuteen. </w:t>
      </w:r>
      <w:r w:rsidRPr="00525A30">
        <w:rPr>
          <w:b/>
        </w:rPr>
        <w:t>Pörssisäätiö</w:t>
      </w:r>
      <w:r>
        <w:t xml:space="preserve"> pitää erittäin hyvänä sitä, että lainsäädäntöön tuodaan sijoittajansuojan ka</w:t>
      </w:r>
      <w:r>
        <w:t>n</w:t>
      </w:r>
      <w:r>
        <w:t>nalta keskeisiin aihealueisiin liittyviä tarkennuksia sekä lisäyksiä ja kannattaa tehtyjä ehd</w:t>
      </w:r>
      <w:r>
        <w:t>o</w:t>
      </w:r>
      <w:r>
        <w:t xml:space="preserve">tuksia. Myös </w:t>
      </w:r>
      <w:r w:rsidRPr="00525A30">
        <w:rPr>
          <w:b/>
        </w:rPr>
        <w:t>FINE</w:t>
      </w:r>
      <w:r>
        <w:t xml:space="preserve"> pitää hyvänä vaatimusta sijoituspalveluhenkilökunnalle asetettavista p</w:t>
      </w:r>
      <w:r>
        <w:t>ä</w:t>
      </w:r>
      <w:r>
        <w:t xml:space="preserve">tevyysvaatimuksista.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STTK</w:t>
      </w:r>
      <w:r>
        <w:t xml:space="preserve"> ja </w:t>
      </w:r>
      <w:r w:rsidRPr="00525A30">
        <w:rPr>
          <w:b/>
        </w:rPr>
        <w:t>Pro</w:t>
      </w:r>
      <w:r>
        <w:t xml:space="preserve"> pitävät hyvänä, että ehdotettuun kansalliseen lainsää</w:t>
      </w:r>
      <w:r w:rsidR="00525A30">
        <w:t>däntöön ei esitetä erity</w:t>
      </w:r>
      <w:r w:rsidR="00525A30">
        <w:t>i</w:t>
      </w:r>
      <w:r w:rsidR="00525A30">
        <w:t>siä am</w:t>
      </w:r>
      <w:r>
        <w:t xml:space="preserve">mattitutkintovaatimuksia vastaavia pätevyysvaatimuksia. </w:t>
      </w:r>
      <w:r w:rsidRPr="00525A30">
        <w:rPr>
          <w:b/>
        </w:rPr>
        <w:t>STTK</w:t>
      </w:r>
      <w:r>
        <w:t xml:space="preserve">:n ja </w:t>
      </w:r>
      <w:proofErr w:type="spellStart"/>
      <w:r w:rsidRPr="00525A30">
        <w:rPr>
          <w:b/>
        </w:rPr>
        <w:t>Pron</w:t>
      </w:r>
      <w:proofErr w:type="spellEnd"/>
      <w:r>
        <w:t xml:space="preserve"> mukaan vaikuttaisi kuitenkin siltä, ettei ehdotetussa sijoituspalvelulaissa ole huomioitu MIFID II:n </w:t>
      </w:r>
      <w:r w:rsidR="00C85F2E">
        <w:t>johdanto-osassa</w:t>
      </w:r>
      <w:r>
        <w:t xml:space="preserve"> olevaa mainintaa siitä, että sijoituspalveluyritysten olisi annettava henk</w:t>
      </w:r>
      <w:r>
        <w:t>i</w:t>
      </w:r>
      <w:r>
        <w:t xml:space="preserve">löstölleen riittävästi aikaa ja resursseja hankkia tällaiset tiedot ja taidot sekä soveltaa niitä palveluiden tarjoamiseen asiakkaille. </w:t>
      </w:r>
      <w:r w:rsidRPr="00525A30">
        <w:rPr>
          <w:b/>
        </w:rPr>
        <w:t>STTK</w:t>
      </w:r>
      <w:r>
        <w:t xml:space="preserve">:n ja </w:t>
      </w:r>
      <w:proofErr w:type="spellStart"/>
      <w:r w:rsidRPr="00525A30">
        <w:rPr>
          <w:b/>
        </w:rPr>
        <w:t>Pron</w:t>
      </w:r>
      <w:proofErr w:type="spellEnd"/>
      <w:r w:rsidRPr="00525A30">
        <w:rPr>
          <w:b/>
        </w:rPr>
        <w:t xml:space="preserve"> </w:t>
      </w:r>
      <w:r>
        <w:t>mukaan lakiin olisi syytä lisätä ma</w:t>
      </w:r>
      <w:r>
        <w:t>i</w:t>
      </w:r>
      <w:r>
        <w:t xml:space="preserve">ninta henkilöstölle annettavasta riittävästä ajasta ja resursseista. </w:t>
      </w:r>
    </w:p>
    <w:p w:rsidR="00ED7057" w:rsidRDefault="00ED7057" w:rsidP="00C16CD4">
      <w:pPr>
        <w:pStyle w:val="VMNormaaliSisentmtn"/>
        <w:ind w:left="1418"/>
        <w:jc w:val="both"/>
      </w:pPr>
    </w:p>
    <w:p w:rsidR="00ED7057" w:rsidRDefault="00ED7057" w:rsidP="00C16CD4">
      <w:pPr>
        <w:pStyle w:val="VMNormaaliSisentmtn"/>
        <w:ind w:left="1418"/>
        <w:jc w:val="both"/>
      </w:pPr>
      <w:r>
        <w:t>Lain 7 luvun 6 §:n 5 momenttiin ehdotetaan säännöstä sidonnaisasiamiesre</w:t>
      </w:r>
      <w:r w:rsidR="00525A30">
        <w:t xml:space="preserve">kisteristä. </w:t>
      </w:r>
      <w:r w:rsidRPr="00525A30">
        <w:rPr>
          <w:b/>
        </w:rPr>
        <w:t>Ti</w:t>
      </w:r>
      <w:r w:rsidRPr="00525A30">
        <w:rPr>
          <w:b/>
        </w:rPr>
        <w:t>e</w:t>
      </w:r>
      <w:r w:rsidRPr="00525A30">
        <w:rPr>
          <w:b/>
        </w:rPr>
        <w:t>tosuojavaltuutetun</w:t>
      </w:r>
      <w:r>
        <w:t xml:space="preserve"> mukaan kun sidonnaisasiamiehenä voi toimia myös luonnollinen he</w:t>
      </w:r>
      <w:r>
        <w:t>n</w:t>
      </w:r>
      <w:r>
        <w:t>kilö, vaikuttaa</w:t>
      </w:r>
      <w:r w:rsidR="00525A30">
        <w:t xml:space="preserve"> siltä</w:t>
      </w:r>
      <w:r>
        <w:t>, että tarkoituksena on perustaa uusi henkilörekisteri, jonka rekisterinpit</w:t>
      </w:r>
      <w:r>
        <w:t>ä</w:t>
      </w:r>
      <w:r>
        <w:t>jä olisi Finanssivalvonta. Tältä osin lainsäätäjän on syytä kiinnittää lisähuomiota perustu</w:t>
      </w:r>
      <w:r>
        <w:t>s</w:t>
      </w:r>
      <w:r>
        <w:t xml:space="preserve">lakivaliokunnan linjauksiin, jotta henkilötietojen käsittelystä tulee säädettyä lain tasolla.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Finanssialan</w:t>
      </w:r>
      <w:r>
        <w:t xml:space="preserve"> mukaan toisin kuin esitysluonnoksen 7 luvun 6 §:ssä ehdotetaan, sido</w:t>
      </w:r>
      <w:r>
        <w:t>n</w:t>
      </w:r>
      <w:r>
        <w:t xml:space="preserve">naisasiamiehen tulisi voida toimia useamman sijoituspalveluyrityksen lukuun, jos nämä kuuluvat samaan konserniin tai </w:t>
      </w:r>
      <w:proofErr w:type="spellStart"/>
      <w:r>
        <w:t>konsol</w:t>
      </w:r>
      <w:r w:rsidR="00525A30">
        <w:t>i</w:t>
      </w:r>
      <w:r>
        <w:t>dointiryhmään</w:t>
      </w:r>
      <w:proofErr w:type="spellEnd"/>
      <w:r>
        <w:t>. Eturistiriitatilanteet tulee ottaa hu</w:t>
      </w:r>
      <w:r>
        <w:t>o</w:t>
      </w:r>
      <w:r>
        <w:t>mioon myös näissä tilanteissa.</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Ehdotetussa 7 luvun 7 §:n 4 momentissa velvoitetaan jakelijaa määrittämään tuotteelle ei-yhteensopiva asiakaskohderyhmä. </w:t>
      </w:r>
      <w:r w:rsidRPr="00525A30">
        <w:rPr>
          <w:b/>
        </w:rPr>
        <w:t>Finanssialan</w:t>
      </w:r>
      <w:r>
        <w:t xml:space="preserve"> mukaan tällai</w:t>
      </w:r>
      <w:r w:rsidR="00525A30">
        <w:t>nen vaatimus esiintyy vain dele</w:t>
      </w:r>
      <w:r>
        <w:t>goidussa direktiivissä, joten sitä ei pitäisi kirjata lain tasolle. Ei-yhteensopivan asiaka</w:t>
      </w:r>
      <w:r>
        <w:t>s</w:t>
      </w:r>
      <w:r>
        <w:t>kohderyhmän määrittäminen johtaa käytännössä epäluonnollisiin asiakaskohderyhmien määrittelyihin, koska ei-yhteensopivaa kohderyhmää ei aina ole. Tällaisella tiedolla ei ole myöskään tarkoituksenmukaista käyttöä, vaan se voi jopa johtaa harhaan. Määrittelyä ei t</w:t>
      </w:r>
      <w:r>
        <w:t>u</w:t>
      </w:r>
      <w:r>
        <w:t>lisi siis vaatia, jos sitä ei pystytä asianmukaisesti määrittämään.</w:t>
      </w:r>
    </w:p>
    <w:p w:rsidR="00ED7057" w:rsidRDefault="00ED7057" w:rsidP="006F0DFF">
      <w:pPr>
        <w:pStyle w:val="VMNormaaliSisentmtn"/>
        <w:jc w:val="both"/>
      </w:pPr>
    </w:p>
    <w:p w:rsidR="00ED7057" w:rsidRDefault="00ED7057" w:rsidP="00C16CD4">
      <w:pPr>
        <w:pStyle w:val="VMNormaaliSisentmtn"/>
        <w:ind w:left="1418"/>
        <w:jc w:val="both"/>
      </w:pPr>
      <w:r w:rsidRPr="00525A30">
        <w:rPr>
          <w:b/>
        </w:rPr>
        <w:t>Finanssiala</w:t>
      </w:r>
      <w:r>
        <w:t xml:space="preserve">, </w:t>
      </w:r>
      <w:r w:rsidRPr="00525A30">
        <w:rPr>
          <w:b/>
        </w:rPr>
        <w:t>OP</w:t>
      </w:r>
      <w:r>
        <w:t xml:space="preserve"> ja </w:t>
      </w:r>
      <w:r w:rsidRPr="00525A30">
        <w:rPr>
          <w:b/>
        </w:rPr>
        <w:t>Kuntarahoitus</w:t>
      </w:r>
      <w:r>
        <w:t xml:space="preserve"> kannattavat esitysluonnoksessa olevaa ehdotusta, jo</w:t>
      </w:r>
      <w:r>
        <w:t>n</w:t>
      </w:r>
      <w:r>
        <w:t>ka mukaan vuosittaisesta sisäpiirirekisteriä koskevasta selvityksestä Finanss</w:t>
      </w:r>
      <w:r w:rsidR="00525A30">
        <w:t xml:space="preserve">ivalvonnalle luovutaan. </w:t>
      </w:r>
      <w:r w:rsidR="00525A30" w:rsidRPr="00525A30">
        <w:rPr>
          <w:b/>
        </w:rPr>
        <w:t>Kuntara</w:t>
      </w:r>
      <w:r w:rsidRPr="00525A30">
        <w:rPr>
          <w:b/>
        </w:rPr>
        <w:t>hoitus</w:t>
      </w:r>
      <w:r>
        <w:t xml:space="preserve"> pitää vuosi-ilmoitusvelvollisuuksien kumoamista koskevaa mu</w:t>
      </w:r>
      <w:r>
        <w:t>u</w:t>
      </w:r>
      <w:r>
        <w:t>tosta perusteltuna sekä sijoituspalveluyritysten että viranomaisten hallinnollisen taakan v</w:t>
      </w:r>
      <w:r>
        <w:t>ä</w:t>
      </w:r>
      <w:r>
        <w:t xml:space="preserve">hentämiseksi. </w:t>
      </w:r>
      <w:r w:rsidRPr="00525A30">
        <w:rPr>
          <w:b/>
        </w:rPr>
        <w:t>Finanssialan</w:t>
      </w:r>
      <w:r>
        <w:t xml:space="preserve"> mukaan velvoite on myös sijoitusrahastolaissa ja vaihtoeht</w:t>
      </w:r>
      <w:r>
        <w:t>o</w:t>
      </w:r>
      <w:r>
        <w:t xml:space="preserve">rahastoista annetussa laissa, ja nämä velvoitteet tulisi poistaa samalla. </w:t>
      </w:r>
      <w:r w:rsidRPr="00525A30">
        <w:rPr>
          <w:b/>
        </w:rPr>
        <w:t>Finanssiala</w:t>
      </w:r>
      <w:r>
        <w:t xml:space="preserve"> ehdo</w:t>
      </w:r>
      <w:r>
        <w:t>t</w:t>
      </w:r>
      <w:r>
        <w:t>taa lisäksi, että siirtymäsäännöksissä todettaisiin selvyyden vuoksi, ettei vuodelta 2017 ta</w:t>
      </w:r>
      <w:r>
        <w:t>r</w:t>
      </w:r>
      <w:r>
        <w:t xml:space="preserve">vitse enää tehdä vuosi-ilmoitusta. </w:t>
      </w:r>
    </w:p>
    <w:p w:rsidR="00ED7057" w:rsidRDefault="00ED7057" w:rsidP="00C16CD4">
      <w:pPr>
        <w:pStyle w:val="VMNormaaliSisentmtn"/>
        <w:ind w:left="1418"/>
        <w:jc w:val="both"/>
      </w:pPr>
    </w:p>
    <w:p w:rsidR="00ED7057" w:rsidRDefault="00ED7057" w:rsidP="00C16CD4">
      <w:pPr>
        <w:pStyle w:val="VMNormaaliSisentmtn"/>
        <w:ind w:left="1418"/>
        <w:jc w:val="both"/>
      </w:pPr>
      <w:r>
        <w:t>Monet lausunnonantajat kritisoivat julkisia sisäpiirirekistereitä koskevan kansallisen säänt</w:t>
      </w:r>
      <w:r>
        <w:t>e</w:t>
      </w:r>
      <w:r>
        <w:t xml:space="preserve">lyn säilyttämistä. </w:t>
      </w:r>
      <w:r w:rsidRPr="00525A30">
        <w:rPr>
          <w:b/>
        </w:rPr>
        <w:t>EK</w:t>
      </w:r>
      <w:r>
        <w:t xml:space="preserve">, </w:t>
      </w:r>
      <w:r w:rsidRPr="00525A30">
        <w:rPr>
          <w:b/>
        </w:rPr>
        <w:t>JLM Immonen</w:t>
      </w:r>
      <w:r>
        <w:t xml:space="preserve"> ja </w:t>
      </w:r>
      <w:r w:rsidRPr="00525A30">
        <w:rPr>
          <w:b/>
        </w:rPr>
        <w:t>Finanssiala</w:t>
      </w:r>
      <w:r>
        <w:t xml:space="preserve"> tuovat esiin, että kysymys on</w:t>
      </w:r>
      <w:r w:rsidR="00525A30">
        <w:t xml:space="preserve"> direkti</w:t>
      </w:r>
      <w:r w:rsidR="00525A30">
        <w:t>i</w:t>
      </w:r>
      <w:r w:rsidR="00525A30">
        <w:t>viin perustu</w:t>
      </w:r>
      <w:r>
        <w:t xml:space="preserve">mattomasta kansallisesta lisäsääntelystä. </w:t>
      </w:r>
      <w:r w:rsidRPr="00525A30">
        <w:rPr>
          <w:b/>
        </w:rPr>
        <w:t>EK</w:t>
      </w:r>
      <w:r>
        <w:t xml:space="preserve"> toteaa, että sisäpiirirekisterisää</w:t>
      </w:r>
      <w:r>
        <w:t>n</w:t>
      </w:r>
      <w:r>
        <w:t>nöksiä ei sovellettaisi koko toimialaan, sillä merkittävä osuus toimijoista Suomen markk</w:t>
      </w:r>
      <w:r>
        <w:t>i</w:t>
      </w:r>
      <w:r>
        <w:t>noilla toimii sivuliikkeiden kautta organisoituneina. Puhtaasti kotimaiset toimijat tulee vap</w:t>
      </w:r>
      <w:r>
        <w:t>a</w:t>
      </w:r>
      <w:r>
        <w:t xml:space="preserve">uttaa näistä velvollisuuksista tasapuolisten kilpailuolosuhteiden varmistamiseksi. Myös </w:t>
      </w:r>
      <w:r w:rsidRPr="00525A30">
        <w:rPr>
          <w:b/>
        </w:rPr>
        <w:t>F</w:t>
      </w:r>
      <w:r w:rsidRPr="00525A30">
        <w:rPr>
          <w:b/>
        </w:rPr>
        <w:t>i</w:t>
      </w:r>
      <w:r w:rsidRPr="00525A30">
        <w:rPr>
          <w:b/>
        </w:rPr>
        <w:t>nanssiala</w:t>
      </w:r>
      <w:r>
        <w:t xml:space="preserve"> kiinnittää huomiota siihen, että sisäpiirirekisterisäännökset jäisivät sovellettava</w:t>
      </w:r>
      <w:r>
        <w:t>k</w:t>
      </w:r>
      <w:r>
        <w:t>si vain harvalukuiseen ja pääosin kooltaan pieniin toimijoihin aiheuttaen toimijoille kusta</w:t>
      </w:r>
      <w:r>
        <w:t>n</w:t>
      </w:r>
      <w:r>
        <w:t xml:space="preserve">nuksia ja epätasaista kilpailuympäristöä. </w:t>
      </w:r>
      <w:r w:rsidRPr="00525A30">
        <w:rPr>
          <w:b/>
        </w:rPr>
        <w:t>Finanssiala</w:t>
      </w:r>
      <w:r>
        <w:t xml:space="preserve"> toteaa, ettei esitysluonnoksen sisäpi</w:t>
      </w:r>
      <w:r>
        <w:t>i</w:t>
      </w:r>
      <w:r>
        <w:t xml:space="preserve">ri-ilmoituksia ja -rekisteriä koskevien säännösten voimassa pitämiseksi ole esitetty selkeitä perusteita.  </w:t>
      </w:r>
      <w:r w:rsidRPr="00525A30">
        <w:rPr>
          <w:b/>
        </w:rPr>
        <w:t>JLM Immonen</w:t>
      </w:r>
      <w:r>
        <w:t xml:space="preserve"> tuo esiin, että vaihtoehtorahastojen hoitajista annettuun lakiin ei enää sisällytetty sisäpiirisääntelyä. Toimijoiden tasapuolisen kohtelun vuoksi sisäpiirisää</w:t>
      </w:r>
      <w:r>
        <w:t>n</w:t>
      </w:r>
      <w:r>
        <w:t xml:space="preserve">tely tulisi poistaa myös muilta yhtiöiltä, joita koskevaan sääntelyyn se vielä sisältyy.  Lisäksi </w:t>
      </w:r>
      <w:r w:rsidRPr="00525A30">
        <w:rPr>
          <w:b/>
        </w:rPr>
        <w:t>OP</w:t>
      </w:r>
      <w:r>
        <w:t xml:space="preserve"> pitää ehdotusta nykyisen julkisia sisäpiirirekistereitä koskevan kansallisen sääntelyn säilyttämisestä ongelmallisena tasapuolisten kilpailuolosuhteiden sekä lainsäädännön julk</w:t>
      </w:r>
      <w:r>
        <w:t>i</w:t>
      </w:r>
      <w:r>
        <w:t>suutta lisäävien tavoitteiden toteutumi</w:t>
      </w:r>
      <w:r w:rsidR="00525A30">
        <w:t>sen näkökul</w:t>
      </w:r>
      <w:r>
        <w:t>masta.</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Kuntarahoitus</w:t>
      </w:r>
      <w:r>
        <w:t xml:space="preserve"> katsoo, että sisäpiiri-ilmoituksiin ja sisäpiirirekisterin ylläpitoon liittyvien ve</w:t>
      </w:r>
      <w:r>
        <w:t>l</w:t>
      </w:r>
      <w:r>
        <w:t>vollisuuksien soveltamisalaa tulisi rajata siten, että velvollisuudet koskisivat ainoastaan se</w:t>
      </w:r>
      <w:r>
        <w:t>l</w:t>
      </w:r>
      <w:r>
        <w:t>laisia sijoituspalveluyrityksiä, jotka käyvät kauppaa kotimaisilla osakkeilla tai joiden liiketo</w:t>
      </w:r>
      <w:r>
        <w:t>i</w:t>
      </w:r>
      <w:r>
        <w:t>mintaan muuten kuuluu kotimaisiin osakkeisiin liittyvää toimintaa sekä tällaisten yritysten sisäpiiriläisiä ja heidän lähipiiriään. Tällainen rajaus olisi yhdenmukainen esitysluonnoksen tavoitteiden kanssa. Nykyiset sisäpiiri-ilmoituksia ja sisäpiirirekisteriä koskevat säännökset soveltuvat myös sellaisiin sijoituspalveluyrityksiin, joiden liiketoimintamalliin ei kuulu mi</w:t>
      </w:r>
      <w:r>
        <w:t>n</w:t>
      </w:r>
      <w:r>
        <w:t xml:space="preserve">käänlainen toiminta sellaisilla osakkeilla, joilla käydään kauppaa kauppapaikalla Suomessa tai joiden arvo määrittyy tällaisten osakkeiden perusteella. </w:t>
      </w:r>
    </w:p>
    <w:p w:rsidR="00ED7057" w:rsidRDefault="00ED7057" w:rsidP="00C16CD4">
      <w:pPr>
        <w:pStyle w:val="VMNormaaliSisentmtn"/>
        <w:ind w:left="1418"/>
        <w:jc w:val="both"/>
      </w:pPr>
    </w:p>
    <w:p w:rsidR="00ED7057" w:rsidRDefault="00ED7057" w:rsidP="00C16CD4">
      <w:pPr>
        <w:pStyle w:val="VMNormaaliSisentmtn"/>
        <w:ind w:left="1418"/>
        <w:jc w:val="both"/>
      </w:pPr>
      <w:r>
        <w:t>Finanssivalvonnan määräystenantovaltuuksia koskeva säännös on esitysluonnoksen 7 l</w:t>
      </w:r>
      <w:r>
        <w:t>u</w:t>
      </w:r>
      <w:r>
        <w:t>vun 16 §:</w:t>
      </w:r>
      <w:proofErr w:type="spellStart"/>
      <w:r>
        <w:t>ssä</w:t>
      </w:r>
      <w:proofErr w:type="spellEnd"/>
      <w:r>
        <w:t xml:space="preserve">. </w:t>
      </w:r>
      <w:proofErr w:type="spellStart"/>
      <w:r w:rsidRPr="00525A30">
        <w:rPr>
          <w:b/>
        </w:rPr>
        <w:t>OP</w:t>
      </w:r>
      <w:r>
        <w:t>:n</w:t>
      </w:r>
      <w:proofErr w:type="spellEnd"/>
      <w:r>
        <w:t xml:space="preserve"> mukaan sijoituspalvelulaissa asetettavat kansalliset Finanssivalvonnan määräystenantovaltuudet tulisi sitoa tarkasti EU-asetusten tekniseen voimaansaattam</w:t>
      </w:r>
      <w:r>
        <w:t>i</w:t>
      </w:r>
      <w:r>
        <w:t>seen. Kansallista lisäsääntelyä koskevaa harkintavaltaa ei tulisi sisällyttää säännöksiin ja täysharmonisointitavoitteesta tulisi ottaa erillinen kirjaus val</w:t>
      </w:r>
      <w:r w:rsidR="00525A30">
        <w:t xml:space="preserve">tuussäännöksiin. </w:t>
      </w:r>
    </w:p>
    <w:p w:rsidR="00ED7057" w:rsidRDefault="00ED7057" w:rsidP="006F0DFF">
      <w:pPr>
        <w:pStyle w:val="VMOtsikko3"/>
        <w:jc w:val="both"/>
      </w:pPr>
      <w:r>
        <w:t>Algoritminen kaupankäynti ja suora sähköinen markkinoillepääsy</w:t>
      </w:r>
    </w:p>
    <w:p w:rsidR="00ED7057" w:rsidRDefault="00ED7057" w:rsidP="00C16CD4">
      <w:pPr>
        <w:pStyle w:val="VMNormaaliSisentmtn"/>
        <w:ind w:left="1418"/>
        <w:jc w:val="both"/>
      </w:pPr>
      <w:r w:rsidRPr="00525A30">
        <w:rPr>
          <w:b/>
        </w:rPr>
        <w:t>STM</w:t>
      </w:r>
      <w:r>
        <w:t xml:space="preserve"> kiinnittää vähäisenä yksityiskohtana huomiota lain 7</w:t>
      </w:r>
      <w:r w:rsidR="00CD052A">
        <w:t xml:space="preserve"> </w:t>
      </w:r>
      <w:r>
        <w:t>a luvun 3 §:n termivalintaan ki</w:t>
      </w:r>
      <w:r>
        <w:t>r</w:t>
      </w:r>
      <w:r>
        <w:t xml:space="preserve">janpito. Asiayhteys huomioon ottaen vaikuttaisi </w:t>
      </w:r>
      <w:proofErr w:type="spellStart"/>
      <w:r w:rsidRPr="00525A30">
        <w:rPr>
          <w:b/>
        </w:rPr>
        <w:t>STM</w:t>
      </w:r>
      <w:r>
        <w:t>:n</w:t>
      </w:r>
      <w:proofErr w:type="spellEnd"/>
      <w:r>
        <w:t xml:space="preserve"> mukaan luonteval</w:t>
      </w:r>
      <w:r w:rsidR="00525A30">
        <w:t>ta, että kyseessä olisi dokumen</w:t>
      </w:r>
      <w:r>
        <w:t>tointivaatimus, kun muutoin tilinpäätössääntely, johon kirjanpidon järjestäm</w:t>
      </w:r>
      <w:r>
        <w:t>i</w:t>
      </w:r>
      <w:r>
        <w:t>nen kuuluu, on sijoitettu 8 lukuun. Jos kysymys on algoritmisen kaupankäynnin kirjanpidon järjestämisen erityissäännöksestä, ja kysymys on kirjanpitolain (1336/1997) yleissäännö</w:t>
      </w:r>
      <w:r>
        <w:t>s</w:t>
      </w:r>
      <w:r>
        <w:t>ten täydentämisestä, peru</w:t>
      </w:r>
      <w:r w:rsidR="00525A30">
        <w:t xml:space="preserve">steluja olisi syytä tarkentaa. </w:t>
      </w:r>
    </w:p>
    <w:p w:rsidR="00ED7057" w:rsidRDefault="00ED7057" w:rsidP="006F0DFF">
      <w:pPr>
        <w:pStyle w:val="VMOtsikko3"/>
        <w:jc w:val="both"/>
      </w:pPr>
      <w:r>
        <w:t>Asiakasvarojen säilyttäminen ja muu käsittely</w:t>
      </w:r>
    </w:p>
    <w:p w:rsidR="00ED7057" w:rsidRDefault="00ED7057" w:rsidP="00C16CD4">
      <w:pPr>
        <w:pStyle w:val="VMNormaaliSisentmtn"/>
        <w:ind w:left="1418"/>
        <w:jc w:val="both"/>
      </w:pPr>
      <w:r>
        <w:t xml:space="preserve">Esitysluonnoksen 9 luvun 4 a §:ssä on säännös omistusoikeuden siirtävistä järjestelyistä. </w:t>
      </w:r>
      <w:r w:rsidRPr="00525A30">
        <w:rPr>
          <w:b/>
        </w:rPr>
        <w:t>Asianajajaliitto</w:t>
      </w:r>
      <w:r>
        <w:t xml:space="preserve">, </w:t>
      </w:r>
      <w:r w:rsidRPr="00525A30">
        <w:rPr>
          <w:b/>
        </w:rPr>
        <w:t>EK</w:t>
      </w:r>
      <w:r>
        <w:t xml:space="preserve">, </w:t>
      </w:r>
      <w:r w:rsidRPr="00525A30">
        <w:rPr>
          <w:b/>
        </w:rPr>
        <w:t>OP</w:t>
      </w:r>
      <w:r>
        <w:t xml:space="preserve"> ja </w:t>
      </w:r>
      <w:r w:rsidRPr="00525A30">
        <w:rPr>
          <w:b/>
        </w:rPr>
        <w:t>Finanssiala</w:t>
      </w:r>
      <w:r>
        <w:t xml:space="preserve"> kritisoivat säännöstä, jonka mukaan omistuso</w:t>
      </w:r>
      <w:r>
        <w:t>i</w:t>
      </w:r>
      <w:r>
        <w:t>keuden siirtävien järjestelyiden kielto ulotetaan myös ammattimaisiin sijoittajiin, ellei raho</w:t>
      </w:r>
      <w:r>
        <w:t>i</w:t>
      </w:r>
      <w:r>
        <w:t xml:space="preserve">tusvakuuslaki (11/2004) tule sovellettavaksi. </w:t>
      </w:r>
      <w:r w:rsidRPr="00525A30">
        <w:rPr>
          <w:b/>
        </w:rPr>
        <w:t>Asianajajaliiton</w:t>
      </w:r>
      <w:r>
        <w:t xml:space="preserve"> mukaan tällaisella rajauksella saattaisi olla ennakoimattomia vaikutuksia pankkien välisessä toiminnassa ja tukkumarkk</w:t>
      </w:r>
      <w:r>
        <w:t>i</w:t>
      </w:r>
      <w:r>
        <w:t xml:space="preserve">noilla. </w:t>
      </w:r>
      <w:r w:rsidRPr="00525A30">
        <w:rPr>
          <w:b/>
        </w:rPr>
        <w:t>Asianajajaliitto</w:t>
      </w:r>
      <w:r>
        <w:t xml:space="preserve"> ehdottaa ammattimaista asiakasta koskevasta kansallisesta l</w:t>
      </w:r>
      <w:r>
        <w:t>i</w:t>
      </w:r>
      <w:r>
        <w:t xml:space="preserve">säsääntelystä luopumista. Myös </w:t>
      </w:r>
      <w:proofErr w:type="spellStart"/>
      <w:r w:rsidRPr="00525A30">
        <w:rPr>
          <w:b/>
        </w:rPr>
        <w:t>OP</w:t>
      </w:r>
      <w:r>
        <w:t>:n</w:t>
      </w:r>
      <w:proofErr w:type="spellEnd"/>
      <w:r>
        <w:t xml:space="preserve"> mukaan kansallisen lisäsääntelyn sijaan parempi sääntelyratkaisu olisi direktiivin mukaisessa systematiikassa pidättäytyminen.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Finanssialan</w:t>
      </w:r>
      <w:r>
        <w:t xml:space="preserve"> mukaan nyt ehdotetulla sanamuodolla rajoitettaisiin omistusoi</w:t>
      </w:r>
      <w:r w:rsidR="00525A30">
        <w:t>keuden siirtäviä järjes</w:t>
      </w:r>
      <w:r>
        <w:t xml:space="preserve">telyitä myös ulkomaisten ammattimaisten asiakkaiden ja hyväksyttävien vastapuolten kanssa. </w:t>
      </w:r>
      <w:r w:rsidRPr="00525A30">
        <w:rPr>
          <w:b/>
        </w:rPr>
        <w:t>Finanssiala</w:t>
      </w:r>
      <w:r>
        <w:t xml:space="preserve"> toteaa, että kansallinen sääntely voitaisiin muotoilla myös siten, että omistusvakuuden siirtävää järjestelyä ei saa käyttää ei-ammattimaisten asiakkaiden kan</w:t>
      </w:r>
      <w:r>
        <w:t>s</w:t>
      </w:r>
      <w:r>
        <w:t>sa. Esityksessä olisi tärkeää tunnistaa ja tuoda esiin, että vakuusluovutus on kansainväl</w:t>
      </w:r>
      <w:r>
        <w:t>i</w:t>
      </w:r>
      <w:r>
        <w:t>sesti vallitseva käytäntö johdannaiskaupassa. Kansallisesti ei tule implementoida säänt</w:t>
      </w:r>
      <w:r>
        <w:t>e</w:t>
      </w:r>
      <w:r>
        <w:t xml:space="preserve">lyä, joka edellyttäisi markkinakäytänteistä poikkeamista tai asettaisi delegoidun direktiivin dokumentointi- ja arviointivaatimuksia tiukempia vaatimuksia.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EK</w:t>
      </w:r>
      <w:r>
        <w:t xml:space="preserve"> katsoo, että tulisi pitäytyä rajauksessa, jonka mukaan ei-ammattimaisten asiakkaiden kanssa ei saa käyttää omistusvakuuden siirtävää järjestelyä. Vakuusluovutuksen kielto on perusteltu ei-ammattimaisten asiakkaiden kohdalla, mutta kokonaisuutena vakuusluovutu</w:t>
      </w:r>
      <w:r>
        <w:t>k</w:t>
      </w:r>
      <w:r>
        <w:t>sia ei tulisi hankaloittaa tai kieltää, sillä kysymys on yhtiöiden välillä vallitsevasta käytä</w:t>
      </w:r>
      <w:r>
        <w:t>n</w:t>
      </w:r>
      <w:r>
        <w:t xml:space="preserve">nössä kansainvälisessä johdannaiskaupassa.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Finanssivalvonta</w:t>
      </w:r>
      <w:r>
        <w:t xml:space="preserve"> toteaa, että tuleva sääntely tulee kieltämään omistusoikeuden siirtävät ehdot tiettyjen asiakasryhmien kanssa. Sääntelyyn jää kuitenkin väliinputoajaryhmä, joka ei tule enempää sijoittajansuojasääntelyn kuin rahoitusvakuussääntelyn piiriin. Tätä voidaan pitää valitettavana. </w:t>
      </w:r>
      <w:r w:rsidRPr="00525A30">
        <w:rPr>
          <w:b/>
        </w:rPr>
        <w:t xml:space="preserve">Finanssivalvonta </w:t>
      </w:r>
      <w:r>
        <w:t>katsoo lisäksi, että ehdotetun säännöksen ja raho</w:t>
      </w:r>
      <w:r>
        <w:t>i</w:t>
      </w:r>
      <w:r>
        <w:t xml:space="preserve">tusvakuuslain välistä suhdetta tulee vielä lakiesityksessä selventää.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525A30">
        <w:rPr>
          <w:b/>
        </w:rPr>
        <w:t>Lago</w:t>
      </w:r>
      <w:proofErr w:type="spellEnd"/>
      <w:r w:rsidRPr="00525A30">
        <w:rPr>
          <w:b/>
        </w:rPr>
        <w:t xml:space="preserve"> Kapitalin</w:t>
      </w:r>
      <w:r>
        <w:t xml:space="preserve"> mukaan omistusoikeuden siirtävän järjestelyn määritelmää tulisi tarkentaa, jotta vältytään tulkinnanvaraisuudelta. Nykyisessä muodossaan ehdotus mahdollista tulki</w:t>
      </w:r>
      <w:r>
        <w:t>n</w:t>
      </w:r>
      <w:r>
        <w:t>nan, jonka mukaan omistusoikeuden siirtävien rahoitusvakuusjärjestelyiden lisäksi myös muut kuin vakuustarkoituksessa tehdyt omistusoikeuden siirtävät transaktiot ei-ammattimaisten asiakkaiden kanssa olisi kielletty. Lain tarkoittamat omistusoikeuden siirt</w:t>
      </w:r>
      <w:r>
        <w:t>ä</w:t>
      </w:r>
      <w:r>
        <w:t>vät järjestelyt olisi hyvä esittää selkeästi lain perusteluissa tai vaihtoehtoisesti rajata määr</w:t>
      </w:r>
      <w:r>
        <w:t>i</w:t>
      </w:r>
      <w:r>
        <w:t>telmä koskemaan vain arvopapereiden siirtoa vakuustarkoituksessa vakuuden antajalta v</w:t>
      </w:r>
      <w:r>
        <w:t>a</w:t>
      </w:r>
      <w:r>
        <w:t>kuuden saajalle. Osakkeiden tai arvopapereiden lainausta ei tulisi pitää omistusoikeuden siirtävänä vakuusjärjestelynä, eikä tulevan lain tulisi kieltää sitä ei-ammattimaisten asia</w:t>
      </w:r>
      <w:r>
        <w:t>k</w:t>
      </w:r>
      <w:r>
        <w:t xml:space="preserve">kaiden osalta. </w:t>
      </w:r>
    </w:p>
    <w:p w:rsidR="00ED7057" w:rsidRDefault="00ED7057" w:rsidP="00C16CD4">
      <w:pPr>
        <w:pStyle w:val="VMNormaaliSisentmtn"/>
        <w:ind w:left="1418"/>
        <w:jc w:val="both"/>
      </w:pPr>
    </w:p>
    <w:p w:rsidR="00ED7057" w:rsidRDefault="00ED7057" w:rsidP="00C16CD4">
      <w:pPr>
        <w:pStyle w:val="VMNormaaliSisentmtn"/>
        <w:ind w:left="1418"/>
        <w:jc w:val="both"/>
      </w:pPr>
      <w:r>
        <w:t>Esitysluonnoksen 9 luvun 5 §:ssä on säännös Finanssivalvonnan määräystenantovaltu</w:t>
      </w:r>
      <w:r>
        <w:t>u</w:t>
      </w:r>
      <w:r>
        <w:t xml:space="preserve">desta. </w:t>
      </w:r>
      <w:r w:rsidRPr="00525A30">
        <w:rPr>
          <w:b/>
        </w:rPr>
        <w:t>OP</w:t>
      </w:r>
      <w:r>
        <w:t xml:space="preserve"> kiinnittää huomiota siihen, että komission delegoidun direktiivin 7 artikla ehdot</w:t>
      </w:r>
      <w:r>
        <w:t>e</w:t>
      </w:r>
      <w:r>
        <w:t xml:space="preserve">taan pantavaksi täytäntöön kokonaisuudessaan Finanssivalvonnan määräyksin. Velvoite nimetä asiakasvaroista vastaava henkilö on niin keskeinen säännös, että siitä olisi syytä säätää lain tasolla. Lisäksi säännös olisi saatettava voimaan tavalla, joka ottaa huomioon Suomen pankkimarkkinoiden erityispiirteet. </w:t>
      </w:r>
      <w:r w:rsidRPr="00525A30">
        <w:rPr>
          <w:b/>
        </w:rPr>
        <w:t>OP</w:t>
      </w:r>
      <w:r>
        <w:t xml:space="preserve"> ehdottaa artiklan kansallista voimaansaa</w:t>
      </w:r>
      <w:r>
        <w:t>t</w:t>
      </w:r>
      <w:r>
        <w:t>tamista siten, että laissa mahdollistettaisiin ryhmätasoisen asiakasvaroista vastaavan to</w:t>
      </w:r>
      <w:r>
        <w:t>i</w:t>
      </w:r>
      <w:r>
        <w:t>mi</w:t>
      </w:r>
      <w:r w:rsidR="00525A30">
        <w:t>henkilön nimittäminen.</w:t>
      </w:r>
    </w:p>
    <w:p w:rsidR="00ED7057" w:rsidRDefault="00ED7057" w:rsidP="006F0DFF">
      <w:pPr>
        <w:pStyle w:val="VMOtsikko3"/>
        <w:jc w:val="both"/>
      </w:pPr>
      <w:r>
        <w:t>Menettelytavat asiakassuhteessa</w:t>
      </w:r>
    </w:p>
    <w:p w:rsidR="00ED7057" w:rsidRDefault="00ED7057" w:rsidP="00C16CD4">
      <w:pPr>
        <w:pStyle w:val="VMNormaaliSisentmtn"/>
        <w:ind w:left="1418"/>
        <w:jc w:val="both"/>
      </w:pPr>
      <w:r>
        <w:t xml:space="preserve">Asiakkaan luokittelemisen osalta </w:t>
      </w:r>
      <w:r w:rsidRPr="00525A30">
        <w:rPr>
          <w:b/>
        </w:rPr>
        <w:t>OSKL</w:t>
      </w:r>
      <w:r>
        <w:t xml:space="preserve"> katsoo, että vaatimus sijoittajan omasta tahdoni</w:t>
      </w:r>
      <w:r>
        <w:t>l</w:t>
      </w:r>
      <w:r>
        <w:t>maisusta tulla luokitelluksi ammattimaiseksi sijoittajaksi on syytä säilyttää, sillä luokittelu ammattimaiseksi heikentää merkittävällä tavalla sijoittajan oikeussuojaa. On myös syytä edellyttää, että sijoituspalveluita tarjoava osapuoli selkeästi ja mieluummin kirjallises</w:t>
      </w:r>
      <w:r w:rsidR="00BE3FFE">
        <w:t>t</w:t>
      </w:r>
      <w:r>
        <w:t>i se</w:t>
      </w:r>
      <w:r>
        <w:t>l</w:t>
      </w:r>
      <w:r>
        <w:t xml:space="preserve">vittää asiakkaalleen ammattimaiseksi luokittelusta aiheutuvat muutokset oikeudellisessa asemassa.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525A30">
        <w:rPr>
          <w:b/>
        </w:rPr>
        <w:t>Front</w:t>
      </w:r>
      <w:proofErr w:type="spellEnd"/>
      <w:r w:rsidRPr="00525A30">
        <w:rPr>
          <w:b/>
        </w:rPr>
        <w:t xml:space="preserve"> Capitalin</w:t>
      </w:r>
      <w:r>
        <w:t xml:space="preserve"> näkemyksen mukaan 10 luvun 1 §:n yhteydessä olisi tarkoituk</w:t>
      </w:r>
      <w:r w:rsidR="00525A30">
        <w:t>senmukaista huomi</w:t>
      </w:r>
      <w:r>
        <w:t>oida, että muiden kuin ammattimaisten asiakkaiden luokittelu joko ammattimaiseksi tai ei-ammattimaiseksi ei ole yksinään riittävää, vaan asiakkaan asemasta sopimisessa t</w:t>
      </w:r>
      <w:r>
        <w:t>u</w:t>
      </w:r>
      <w:r>
        <w:t xml:space="preserve">lisi ottaa huomioon asiakkaan kokonaisvaltainen arviointi. </w:t>
      </w:r>
      <w:proofErr w:type="spellStart"/>
      <w:r w:rsidRPr="00525A30">
        <w:rPr>
          <w:b/>
        </w:rPr>
        <w:t>Front</w:t>
      </w:r>
      <w:proofErr w:type="spellEnd"/>
      <w:r w:rsidRPr="00525A30">
        <w:rPr>
          <w:b/>
        </w:rPr>
        <w:t xml:space="preserve"> Capital</w:t>
      </w:r>
      <w:r>
        <w:t xml:space="preserve"> pitää erityisen tä</w:t>
      </w:r>
      <w:r>
        <w:t>r</w:t>
      </w:r>
      <w:r>
        <w:t>keänä sekä sijoituspalvelupuolella että rahastosääntelyssä erottaa kuluttaja-asiakkaiden vaatimukset kokeneiden asiakkaiden vaatimuksista.</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Finanssialan</w:t>
      </w:r>
      <w:r>
        <w:t xml:space="preserve"> mukaan 10 luvun 3 §:n sopimusta sijoituspalvelusta koskeva säännös tulisi muotoilla niin, että sijoitusneuvonnasta täytyy tehdä kirjallinen sopimus vain, jos tarjotaan soveltuvuuden säännöllistä arviota. Pykälätekstiin tulisi lisäksi lisätä maininta siitä, että s</w:t>
      </w:r>
      <w:r>
        <w:t>i</w:t>
      </w:r>
      <w:r>
        <w:t xml:space="preserve">joitusneuvonnasta ei kuitenkaan tarvitse tehdä kirjallista sopimusta, ellei asiakkaalle tarjota soveltuvuuden säännöllistä arviointia. </w:t>
      </w:r>
    </w:p>
    <w:p w:rsidR="00ED7057" w:rsidRDefault="00ED7057" w:rsidP="00C16CD4">
      <w:pPr>
        <w:pStyle w:val="VMNormaaliSisentmtn"/>
        <w:ind w:left="1418"/>
        <w:jc w:val="both"/>
      </w:pPr>
    </w:p>
    <w:p w:rsidR="00ED7057" w:rsidRDefault="00ED7057" w:rsidP="00C16CD4">
      <w:pPr>
        <w:pStyle w:val="VMNormaaliSisentmtn"/>
        <w:ind w:left="1418"/>
        <w:jc w:val="both"/>
      </w:pPr>
      <w:r>
        <w:t>10 luvun 5 §:n osalta</w:t>
      </w:r>
      <w:r w:rsidRPr="00525A30">
        <w:rPr>
          <w:b/>
        </w:rPr>
        <w:t xml:space="preserve"> OSKL</w:t>
      </w:r>
      <w:r>
        <w:t xml:space="preserve"> toteaa, että pankki- ja sijoituspalvelutuotteiden, jotka eivät olennaisesti liity toisiinsa, paketointi tulisi kieltää.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OM</w:t>
      </w:r>
      <w:r>
        <w:t xml:space="preserve"> katsoo, että yhdessä suhteessa lakiehdotuksen direktiivissä pysymisen lähtökohdasta tulee poiketa. Lakiehdotuksen 10 luvun 6 §:n 4 momentin mukaan ”riippumatonta sijoitu</w:t>
      </w:r>
      <w:r>
        <w:t>s</w:t>
      </w:r>
      <w:r>
        <w:t>neuvontaa” tarjoava toimija saisi tarjota ja arvioida osana valikoimaa myös rahoitusväline</w:t>
      </w:r>
      <w:r>
        <w:t>i</w:t>
      </w:r>
      <w:r>
        <w:t>tä, joita on laskenut liikkeelle tai tarjoaa toimija itse tai siihen läheisessä suhteessa oleva. Termin ”riippumaton sijoitusneuvonta” käyttö on tässä yhteydessä harhaanjohtavaa. Myö</w:t>
      </w:r>
      <w:r>
        <w:t>s</w:t>
      </w:r>
      <w:r>
        <w:t xml:space="preserve">kään </w:t>
      </w:r>
      <w:r w:rsidRPr="00525A30">
        <w:rPr>
          <w:b/>
        </w:rPr>
        <w:t>KKV</w:t>
      </w:r>
      <w:r>
        <w:t xml:space="preserve"> ei kannata riippumatonta sijoitusneuvontaa koskevaa sääntelyä luonnoksessa ehdotetussa muodossa niiltä osin kuin sallittaisiin se, että toimija voi tarjota ”riippumatonta sijoitusneuvontaa” silloin, kun toiminta ei tosiasiassa ole riippumatonta. Kuluttaja</w:t>
      </w:r>
      <w:r>
        <w:t>n</w:t>
      </w:r>
      <w:r>
        <w:t>suojasääntelyssä on yleisesti pidetty tärkeänä eri toimijoiden roolien pitämistä mahdoll</w:t>
      </w:r>
      <w:r>
        <w:t>i</w:t>
      </w:r>
      <w:r>
        <w:t xml:space="preserve">simman selkeinä, ja kuluttajanäkökohdista on pidetty tärkeänä muun muassa sitä, ettei neuvontaa ja myynninedistämistä sekoiteta toisiinsa. </w:t>
      </w:r>
      <w:r w:rsidRPr="00525A30">
        <w:rPr>
          <w:b/>
        </w:rPr>
        <w:t>OM</w:t>
      </w:r>
      <w:r>
        <w:t xml:space="preserve"> ja </w:t>
      </w:r>
      <w:r w:rsidRPr="00525A30">
        <w:rPr>
          <w:b/>
        </w:rPr>
        <w:t>KKV</w:t>
      </w:r>
      <w:r>
        <w:t xml:space="preserve"> katsovat, että sääntelyä tulisi jatkovalmistelussa tältä osin kiristää Ruotsissa ehdotetun mukaisesti siten, että rii</w:t>
      </w:r>
      <w:r>
        <w:t>p</w:t>
      </w:r>
      <w:r>
        <w:t>pumatonta neuvontaa tarjoava yritys ei saisi tarjota ja arvioida edellä tarkoitettuja rahoitu</w:t>
      </w:r>
      <w:r>
        <w:t>s</w:t>
      </w:r>
      <w:r>
        <w:t xml:space="preserve">välineitä. </w:t>
      </w:r>
    </w:p>
    <w:p w:rsidR="001E5C5D" w:rsidRDefault="001E5C5D" w:rsidP="00C16CD4">
      <w:pPr>
        <w:pStyle w:val="VMNormaaliSisentmtn"/>
        <w:ind w:left="1418"/>
        <w:jc w:val="both"/>
      </w:pPr>
    </w:p>
    <w:p w:rsidR="00ED7057" w:rsidRDefault="001E5C5D" w:rsidP="00C16CD4">
      <w:pPr>
        <w:pStyle w:val="VMNormaaliSisentmtn"/>
        <w:ind w:left="1418"/>
        <w:jc w:val="both"/>
      </w:pPr>
      <w:r w:rsidRPr="006F0DFF">
        <w:rPr>
          <w:b/>
        </w:rPr>
        <w:t>Kuluttajaliitto</w:t>
      </w:r>
      <w:r w:rsidRPr="001E5C5D">
        <w:t xml:space="preserve"> esittää, että Suomessakin pohdittaisiin Ruotsin tavoin direktiivin vähimmäi</w:t>
      </w:r>
      <w:r w:rsidRPr="001E5C5D">
        <w:t>s</w:t>
      </w:r>
      <w:r w:rsidRPr="001E5C5D">
        <w:t>vaatimukset ylittävien sijoitusneuvontaa koskevien kansallisten säännösten säätämistä jo lopullista hallituksen esitystä laadittaessa. Pohdinta pitäisi tehdä viimeistään, kun jatkova</w:t>
      </w:r>
      <w:r w:rsidRPr="001E5C5D">
        <w:t>l</w:t>
      </w:r>
      <w:r w:rsidRPr="001E5C5D">
        <w:t>mistelussa harkitaan asiakkaansuojan valvontatehtävän sisältöä.</w:t>
      </w:r>
    </w:p>
    <w:p w:rsidR="00A864E0" w:rsidRDefault="00A864E0" w:rsidP="00C16CD4">
      <w:pPr>
        <w:pStyle w:val="VMNormaaliSisentmtn"/>
        <w:ind w:left="1418"/>
        <w:jc w:val="both"/>
      </w:pPr>
    </w:p>
    <w:p w:rsidR="00A864E0" w:rsidRDefault="00A864E0" w:rsidP="00C16CD4">
      <w:pPr>
        <w:pStyle w:val="VMNormaaliSisentmtn"/>
        <w:ind w:left="1418"/>
        <w:jc w:val="both"/>
      </w:pPr>
      <w:r w:rsidRPr="006F0DFF">
        <w:rPr>
          <w:b/>
        </w:rPr>
        <w:t>OSKL</w:t>
      </w:r>
      <w:r w:rsidRPr="00A864E0">
        <w:t xml:space="preserve"> vaatii, että sijoitusneuvoja-nimikkeen käyttö tulee sallia yksinomaan aidosti riipp</w:t>
      </w:r>
      <w:r w:rsidRPr="00A864E0">
        <w:t>u</w:t>
      </w:r>
      <w:r w:rsidRPr="00A864E0">
        <w:t>mattomille sijoitusneuvojille, minkä vuoksi jonkin tai joidenkin yksittäisten sijoituspalveluja tarjoavien yhtiöiden sijoitustuotteita tarjoavilta myyjiltä pitää evätä oikeus käyttää kyseistä nimikettä.</w:t>
      </w:r>
    </w:p>
    <w:p w:rsidR="001E5C5D" w:rsidRDefault="001E5C5D" w:rsidP="00C16CD4">
      <w:pPr>
        <w:pStyle w:val="VMNormaaliSisentmtn"/>
        <w:ind w:left="1418"/>
        <w:jc w:val="both"/>
      </w:pPr>
    </w:p>
    <w:p w:rsidR="00ED7057" w:rsidRDefault="00ED7057" w:rsidP="00C16CD4">
      <w:pPr>
        <w:pStyle w:val="VMNormaaliSisentmtn"/>
        <w:ind w:left="1418"/>
        <w:jc w:val="both"/>
      </w:pPr>
      <w:r w:rsidRPr="00525A30">
        <w:rPr>
          <w:b/>
        </w:rPr>
        <w:t>FINE</w:t>
      </w:r>
      <w:r>
        <w:t xml:space="preserve"> puolestaan pitää hyvänä, että lakiin tulee täsmennys sijoituspalveluyrityksen velvoll</w:t>
      </w:r>
      <w:r>
        <w:t>i</w:t>
      </w:r>
      <w:r>
        <w:t>suudesta kertoa siitä, onko sijoitusneuvonta riippumatonta vai ei. Lisäksi on hyvä, että sijo</w:t>
      </w:r>
      <w:r>
        <w:t>i</w:t>
      </w:r>
      <w:r>
        <w:t xml:space="preserve">tuspalvelun ja rahoitusvälineen yhteydessä syntyvistä kuluista ja veloituksista on annettava sijoituksen voimassaoloaikana tiedot vuosittain.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Esitysluonnoksen mukaan 10 luvun 6 §:n kannustinkielto ei koske luottolaitoskonserneja. </w:t>
      </w:r>
      <w:proofErr w:type="spellStart"/>
      <w:r w:rsidRPr="00525A30">
        <w:rPr>
          <w:b/>
        </w:rPr>
        <w:t>OSKL</w:t>
      </w:r>
      <w:r>
        <w:t>:n</w:t>
      </w:r>
      <w:proofErr w:type="spellEnd"/>
      <w:r>
        <w:t xml:space="preserve"> näkemyksen mukaan luottolaitoskonsernien ulkopuoliset toimijat joutuvat näin huonompaan kilpailuasemaan, minkä vuoksi kaikkien sijoituspalveluja tarjoavien yritysten tulisi olla kannustinkiellon piirissä kaikkien sijoituspalveluiksi katsottavien tuotteiden osalta. </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OP</w:t>
      </w:r>
      <w:r>
        <w:t xml:space="preserve"> ehdottaa, että laadunparannuskriteerin tulkinnassa otetaan huomioon myös laajan pa</w:t>
      </w:r>
      <w:r>
        <w:t>i</w:t>
      </w:r>
      <w:r>
        <w:t>kallisen jakeluverkon ylläpitäminen Saksan mallin mukaan. Näin turvattai</w:t>
      </w:r>
      <w:r w:rsidR="00525A30">
        <w:t>siin laadukkaiden sijoituspalve</w:t>
      </w:r>
      <w:r>
        <w:t>luiden saatavuus myös syrjäisemmillä seuduilla ja kannustettaisiin panost</w:t>
      </w:r>
      <w:r>
        <w:t>a</w:t>
      </w:r>
      <w:r>
        <w:t>maan paikalliseen palveluun.</w:t>
      </w:r>
    </w:p>
    <w:p w:rsidR="00ED7057" w:rsidRDefault="00ED7057" w:rsidP="00C16CD4">
      <w:pPr>
        <w:pStyle w:val="VMNormaaliSisentmtn"/>
        <w:ind w:left="1418"/>
        <w:jc w:val="both"/>
      </w:pPr>
    </w:p>
    <w:p w:rsidR="00ED7057" w:rsidRDefault="00ED7057" w:rsidP="00C16CD4">
      <w:pPr>
        <w:pStyle w:val="VMNormaaliSisentmtn"/>
        <w:ind w:left="1418"/>
        <w:jc w:val="both"/>
      </w:pPr>
      <w:r w:rsidRPr="00525A30">
        <w:rPr>
          <w:b/>
        </w:rPr>
        <w:t xml:space="preserve">STTK </w:t>
      </w:r>
      <w:r>
        <w:t xml:space="preserve">ja </w:t>
      </w:r>
      <w:r w:rsidRPr="00525A30">
        <w:rPr>
          <w:b/>
        </w:rPr>
        <w:t>Pro</w:t>
      </w:r>
      <w:r>
        <w:t xml:space="preserve"> esittävät, että sijoituspalvelulain 10 luvun 6 §:n 7 momenttiin tehtäisiin lisäys, jonka mukaan sijoituspalveluyrityksellä ei saa olla sellaisia henkilöstön arviointijärjestelmiä, jotka johtavat siihen, ettei henkilöstöllä ole riittävästi aikaa suorittaa sijoituspalvelutehtäviä riittävän huolellisesti. </w:t>
      </w:r>
    </w:p>
    <w:p w:rsidR="00ED7057" w:rsidRDefault="00ED7057" w:rsidP="00C16CD4">
      <w:pPr>
        <w:pStyle w:val="VMNormaaliSisentmtn"/>
        <w:ind w:left="1418"/>
        <w:jc w:val="both"/>
      </w:pPr>
    </w:p>
    <w:p w:rsidR="00ED7057" w:rsidRDefault="00ED7057" w:rsidP="00C16CD4">
      <w:pPr>
        <w:pStyle w:val="VMNormaaliSisentmtn"/>
        <w:ind w:left="1418"/>
        <w:jc w:val="both"/>
      </w:pPr>
      <w:r>
        <w:t>Esityksessä tehtäisiin muutoksia toimeksiantojen toteuttamisperiaatteita koskevaan säänt</w:t>
      </w:r>
      <w:r>
        <w:t>e</w:t>
      </w:r>
      <w:r>
        <w:t>lyyn. Ehdotuksen mukaan sijoituspalveluyrityksen on etukäteen hankittava suostumus to</w:t>
      </w:r>
      <w:r>
        <w:t>i</w:t>
      </w:r>
      <w:r>
        <w:t xml:space="preserve">meksiantojen toteuttamisperiaatteille. </w:t>
      </w:r>
      <w:proofErr w:type="spellStart"/>
      <w:r w:rsidRPr="00525A30">
        <w:rPr>
          <w:b/>
        </w:rPr>
        <w:t>OP</w:t>
      </w:r>
      <w:r>
        <w:t>:n</w:t>
      </w:r>
      <w:proofErr w:type="spellEnd"/>
      <w:r>
        <w:t xml:space="preserve"> mukaan asiakkaan näkökulmasta olisi parempi ja selväpiirteisempää, jos toteuttamispolitiikan hyväksyminen vaadittaisiin ainoastaan uus</w:t>
      </w:r>
      <w:r>
        <w:t>i</w:t>
      </w:r>
      <w:r>
        <w:t xml:space="preserve">en asiakkaiden osalta. Vanhojen asiakkaiden osalta </w:t>
      </w:r>
      <w:r w:rsidRPr="00525A30">
        <w:rPr>
          <w:b/>
        </w:rPr>
        <w:t>OP</w:t>
      </w:r>
      <w:r>
        <w:t xml:space="preserve"> ehdottaa, että lakiin otettaisiin sii</w:t>
      </w:r>
      <w:r>
        <w:t>r</w:t>
      </w:r>
      <w:r>
        <w:t>tymäsäännös, jonka mukaan näille asiakkaille toteuttamispolitiikka voidaan toimittaa kirjall</w:t>
      </w:r>
      <w:r>
        <w:t>i</w:t>
      </w:r>
      <w:r>
        <w:t xml:space="preserve">sesti tiedoksi ennen toteuttamispolitiikan voimaantuloa.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525A30">
        <w:rPr>
          <w:b/>
        </w:rPr>
        <w:t>OSKL</w:t>
      </w:r>
      <w:r>
        <w:t>:n</w:t>
      </w:r>
      <w:proofErr w:type="spellEnd"/>
      <w:r>
        <w:t xml:space="preserve"> mukaan toimeksiantojen toteuttamisen edullisin ehdoin asiakkaan eduksi tulisi koskea myös rahastoja siten, että esimerkiksi vuosittain rahaston tulisi </w:t>
      </w:r>
      <w:r w:rsidR="00525A30">
        <w:t>julkistaa kaupa</w:t>
      </w:r>
      <w:r w:rsidR="00525A30">
        <w:t>n</w:t>
      </w:r>
      <w:r w:rsidR="00525A30">
        <w:t>käynnistään mak</w:t>
      </w:r>
      <w:r>
        <w:t xml:space="preserve">samansa provisiot sekä se, kenelle provisiot on maksettu. </w:t>
      </w:r>
    </w:p>
    <w:p w:rsidR="00760292" w:rsidRDefault="00760292" w:rsidP="00C16CD4">
      <w:pPr>
        <w:pStyle w:val="VMNormaaliSisentmtn"/>
        <w:ind w:left="1418"/>
        <w:jc w:val="both"/>
      </w:pPr>
    </w:p>
    <w:p w:rsidR="00760292" w:rsidRDefault="00760292" w:rsidP="006F0DFF">
      <w:pPr>
        <w:pStyle w:val="VMNormaaliSisentmtn"/>
        <w:ind w:left="1418"/>
        <w:jc w:val="both"/>
      </w:pPr>
      <w:r w:rsidRPr="00525A30">
        <w:rPr>
          <w:b/>
        </w:rPr>
        <w:t>Tietosuojavaltuutetun</w:t>
      </w:r>
      <w:r>
        <w:t xml:space="preserve"> mukaan puheluiden ja sähköisten viestien tallentamista koskeva</w:t>
      </w:r>
      <w:r>
        <w:t>s</w:t>
      </w:r>
      <w:r>
        <w:t>sa 10 luvun 12 §:n jatkovalmistelussa on selvitettävä, missä muodossa ehdotetut säännö</w:t>
      </w:r>
      <w:r>
        <w:t>k</w:t>
      </w:r>
      <w:r>
        <w:t xml:space="preserve">set voidaan ottaa lakiin, jotta varmistutaan, että lopullinen säädösteksti on luonnollisen henkilön oikeuksien osalta yhteensopiva yleisen tietosuoja-asetuksen kanssa. </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Kuntarahoituksen</w:t>
      </w:r>
      <w:r>
        <w:t xml:space="preserve"> mukaan ehdotettu puhelujen ja sähköisten viestien tallentamista kosk</w:t>
      </w:r>
      <w:r>
        <w:t>e</w:t>
      </w:r>
      <w:r>
        <w:t xml:space="preserve">va </w:t>
      </w:r>
      <w:r w:rsidR="00760292">
        <w:t>säännös</w:t>
      </w:r>
      <w:r>
        <w:t xml:space="preserve"> laajentaa velvoitetta tallentaa ja pitää kirjaa liiketoimia koskevista puhelinke</w:t>
      </w:r>
      <w:r>
        <w:t>s</w:t>
      </w:r>
      <w:r>
        <w:t xml:space="preserve">kusteluista ja sähköisistä viesteistä. Työnantajat saattavat useinkin antaa työntekijöidensä käyttöön matkapuhelimen, ja tavallisesti työntekijät voivat käyttää näitä matkapuhelimia myös henkilökohtaiseen viestintään. Lakiesitys laajentaisi velvollisuuden pitää kirjaa myös tällaisilla matkapuhelimilla käydyistä keskusteluista riippumatta siitä, </w:t>
      </w:r>
      <w:proofErr w:type="gramStart"/>
      <w:r>
        <w:t>onko</w:t>
      </w:r>
      <w:proofErr w:type="gramEnd"/>
      <w:r>
        <w:t xml:space="preserve"> työnantaja ta</w:t>
      </w:r>
      <w:r>
        <w:t>r</w:t>
      </w:r>
      <w:r>
        <w:t xml:space="preserve">koittanut nämä matkapuhelimet sijoituspalveluiden tarjoamista varten. </w:t>
      </w:r>
      <w:r w:rsidRPr="00AD378F">
        <w:rPr>
          <w:b/>
        </w:rPr>
        <w:t>Kuntarahoitus</w:t>
      </w:r>
      <w:r>
        <w:t xml:space="preserve"> ka</w:t>
      </w:r>
      <w:r>
        <w:t>t</w:t>
      </w:r>
      <w:r>
        <w:t>soo, että ongelmat voitaisiin välttää ja direktiivin tavoitteet silti saavuttaa lainsäädäntöra</w:t>
      </w:r>
      <w:r>
        <w:t>t</w:t>
      </w:r>
      <w:r>
        <w:t>kaisulla, joka sallisi sijoituspalveluyrityksen määritellä sisäisin ohjein viestintävälineet, joita sen työntekijät voivat käyttää liike</w:t>
      </w:r>
      <w:r w:rsidR="00AD378F">
        <w:t xml:space="preserve">toimia koskevaan viestintään. </w:t>
      </w:r>
    </w:p>
    <w:p w:rsidR="00ED7057" w:rsidRDefault="00ED7057" w:rsidP="006F0DFF">
      <w:pPr>
        <w:pStyle w:val="VMOtsikko3"/>
        <w:jc w:val="both"/>
      </w:pPr>
      <w:r>
        <w:t>Sijoittajien korvausrahasto</w:t>
      </w:r>
    </w:p>
    <w:p w:rsidR="00ED7057" w:rsidRDefault="00ED7057" w:rsidP="00C16CD4">
      <w:pPr>
        <w:pStyle w:val="VMNormaaliSisentmtn"/>
        <w:ind w:left="1418"/>
        <w:jc w:val="both"/>
      </w:pPr>
      <w:r>
        <w:t xml:space="preserve">Sijoittajien korvausrahastoa koskevaan sääntelyyn liittyen </w:t>
      </w:r>
      <w:r w:rsidRPr="00AD378F">
        <w:rPr>
          <w:b/>
        </w:rPr>
        <w:t>EK</w:t>
      </w:r>
      <w:r>
        <w:t xml:space="preserve"> huomauttaa, että keväällä 2016 talousvaliokunta katsoi, etteivät sijoittajien korvausrahaston kannatusmaksun määrä</w:t>
      </w:r>
      <w:r>
        <w:t>y</w:t>
      </w:r>
      <w:r>
        <w:t>tymisperusteet ota nykyisellään tarkoituksenmukaisella tavalla huomioon uudenlaisten sijo</w:t>
      </w:r>
      <w:r>
        <w:t>i</w:t>
      </w:r>
      <w:r>
        <w:t xml:space="preserve">tuspalvelujen ja sijoituspalveluyritysten erityispiirteitä. Myös </w:t>
      </w:r>
      <w:r w:rsidRPr="00AD378F">
        <w:rPr>
          <w:b/>
        </w:rPr>
        <w:t>Kallio</w:t>
      </w:r>
      <w:r>
        <w:t xml:space="preserve"> tuo esiin, että eduskunta on edellyttänyt, että valtioneuvosto ryhtyy välittömästi tarvittavien muutosten valmisteluun, jotta sijoittajien korvausrahastoa koskeva sääntely vastaisi muuttuneen toimintaympäristön tarpeita.</w:t>
      </w:r>
      <w:r w:rsidRPr="006F0DFF">
        <w:rPr>
          <w:b/>
        </w:rPr>
        <w:t xml:space="preserve"> </w:t>
      </w:r>
      <w:proofErr w:type="spellStart"/>
      <w:r w:rsidRPr="006F0DFF">
        <w:rPr>
          <w:b/>
        </w:rPr>
        <w:t>Invesdorin</w:t>
      </w:r>
      <w:proofErr w:type="spellEnd"/>
      <w:r>
        <w:t xml:space="preserve">, </w:t>
      </w:r>
      <w:r w:rsidRPr="00AD378F">
        <w:rPr>
          <w:b/>
        </w:rPr>
        <w:t>Finanssitaidon</w:t>
      </w:r>
      <w:r>
        <w:t xml:space="preserve">, </w:t>
      </w:r>
      <w:proofErr w:type="spellStart"/>
      <w:r w:rsidRPr="00AD378F">
        <w:rPr>
          <w:b/>
        </w:rPr>
        <w:t>Front</w:t>
      </w:r>
      <w:proofErr w:type="spellEnd"/>
      <w:r w:rsidRPr="00AD378F">
        <w:rPr>
          <w:b/>
        </w:rPr>
        <w:t xml:space="preserve"> Capitalin</w:t>
      </w:r>
      <w:r>
        <w:t xml:space="preserve">, </w:t>
      </w:r>
      <w:proofErr w:type="spellStart"/>
      <w:r w:rsidRPr="00AD378F">
        <w:rPr>
          <w:b/>
        </w:rPr>
        <w:t>Evervestin</w:t>
      </w:r>
      <w:proofErr w:type="spellEnd"/>
      <w:r>
        <w:t xml:space="preserve"> ja </w:t>
      </w:r>
      <w:proofErr w:type="spellStart"/>
      <w:r w:rsidRPr="00AD378F">
        <w:rPr>
          <w:b/>
        </w:rPr>
        <w:t>FiBAN</w:t>
      </w:r>
      <w:r>
        <w:t>:in</w:t>
      </w:r>
      <w:proofErr w:type="spellEnd"/>
      <w:r>
        <w:t xml:space="preserve"> mukaan olisi tarkoituksenmukaista ja tehokasta säätää uusista kannatusmaksujen määräytymisp</w:t>
      </w:r>
      <w:r>
        <w:t>e</w:t>
      </w:r>
      <w:r>
        <w:t>rusteista samalla, kun uutta direktiiviä pannaan täytäntöön ja sijoituspalvelulakia muut</w:t>
      </w:r>
      <w:r>
        <w:t>e</w:t>
      </w:r>
      <w:r>
        <w:t xml:space="preserve">taan.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AD378F">
        <w:rPr>
          <w:b/>
        </w:rPr>
        <w:t>Evervestin</w:t>
      </w:r>
      <w:proofErr w:type="spellEnd"/>
      <w:r>
        <w:t xml:space="preserve"> mukaan korvausrahaston riski perustuu sijoituspalveluyrityksen hal</w:t>
      </w:r>
      <w:r w:rsidR="00AD378F">
        <w:t>lussa olev</w:t>
      </w:r>
      <w:r w:rsidR="00AD378F">
        <w:t>i</w:t>
      </w:r>
      <w:r w:rsidR="00AD378F">
        <w:t>en asia</w:t>
      </w:r>
      <w:r>
        <w:t>kasvarojen määrään ja asiakasvarojen määrän tulisi olla kannatusmaksujen mä</w:t>
      </w:r>
      <w:r>
        <w:t>ä</w:t>
      </w:r>
      <w:r>
        <w:t>räytymisen peruste. Nykyisin kannatusmaksut perustuvat asiakasmääriin, mikä ei ole ta</w:t>
      </w:r>
      <w:r>
        <w:t>r</w:t>
      </w:r>
      <w:r>
        <w:t>koituksenmukaista eikä linjassa korvausrahaston riskin kannalta. Lisäksi nykyiset kann</w:t>
      </w:r>
      <w:r>
        <w:t>a</w:t>
      </w:r>
      <w:r>
        <w:t>tusmaksuperusteet vääristävät voimakkaasti kilpailua</w:t>
      </w:r>
      <w:r w:rsidR="001F39B3">
        <w:t>.</w:t>
      </w:r>
      <w:r>
        <w:t xml:space="preserve"> Myös </w:t>
      </w:r>
      <w:proofErr w:type="spellStart"/>
      <w:r w:rsidRPr="00AD378F">
        <w:rPr>
          <w:b/>
        </w:rPr>
        <w:t>Invesdorin</w:t>
      </w:r>
      <w:proofErr w:type="spellEnd"/>
      <w:r>
        <w:t xml:space="preserve"> ja </w:t>
      </w:r>
      <w:r w:rsidRPr="00AD378F">
        <w:rPr>
          <w:b/>
        </w:rPr>
        <w:t>Finanssitaidon</w:t>
      </w:r>
      <w:r>
        <w:t xml:space="preserve"> mukaan kannatusmaksujen tulisi määräytyä sijoituspalveluyrityksen hallussa olevien asi</w:t>
      </w:r>
      <w:r>
        <w:t>a</w:t>
      </w:r>
      <w:r>
        <w:t>kasvarojen määrän perusteella.</w:t>
      </w:r>
      <w:r w:rsidRPr="00AD378F">
        <w:rPr>
          <w:b/>
        </w:rPr>
        <w:t xml:space="preserve"> </w:t>
      </w:r>
      <w:proofErr w:type="spellStart"/>
      <w:proofErr w:type="gramStart"/>
      <w:r w:rsidRPr="00AD378F">
        <w:rPr>
          <w:b/>
        </w:rPr>
        <w:t>FiBAN</w:t>
      </w:r>
      <w:proofErr w:type="spellEnd"/>
      <w:proofErr w:type="gramEnd"/>
      <w:r>
        <w:t xml:space="preserve"> tukee ehdotusta siitä, että kannatusmaksun mä</w:t>
      </w:r>
      <w:r>
        <w:t>ä</w:t>
      </w:r>
      <w:r>
        <w:t>räytymisperuste</w:t>
      </w:r>
      <w:r w:rsidR="00AD378F">
        <w:t xml:space="preserve">isiin lisätään asiakkaan koko. </w:t>
      </w:r>
    </w:p>
    <w:p w:rsidR="00ED7057" w:rsidRDefault="00ED7057" w:rsidP="006F0DFF">
      <w:pPr>
        <w:pStyle w:val="VMOtsikko3"/>
        <w:jc w:val="both"/>
      </w:pPr>
      <w:r>
        <w:t>Hallinnolliset seuraamukset</w:t>
      </w:r>
    </w:p>
    <w:p w:rsidR="00ED7057" w:rsidRDefault="00ED7057" w:rsidP="00C16CD4">
      <w:pPr>
        <w:pStyle w:val="VMNormaaliSisentmtn"/>
        <w:ind w:left="1418"/>
        <w:jc w:val="both"/>
      </w:pPr>
      <w:r w:rsidRPr="00AD378F">
        <w:rPr>
          <w:b/>
        </w:rPr>
        <w:t>KHO</w:t>
      </w:r>
      <w:r>
        <w:t xml:space="preserve">:n mukaan </w:t>
      </w:r>
      <w:r w:rsidR="00E4276B">
        <w:t xml:space="preserve">esitysluonnoksen </w:t>
      </w:r>
      <w:r>
        <w:t>hallinnollisia seuraamuksia koskevat säännökset mu</w:t>
      </w:r>
      <w:r>
        <w:t>o</w:t>
      </w:r>
      <w:r>
        <w:t>dostavat vaikeasti sovellettavan kokonaisuuden</w:t>
      </w:r>
      <w:r w:rsidRPr="00AD378F">
        <w:rPr>
          <w:b/>
        </w:rPr>
        <w:t>. KHO</w:t>
      </w:r>
      <w:r>
        <w:t xml:space="preserve">:n arvion mukaan ehdotuksessa on kuitenkin otettu huomioon asiaa koskeva perustuslakivaliokunnan lausuntokäytäntö. </w:t>
      </w:r>
      <w:r w:rsidRPr="00AD378F">
        <w:rPr>
          <w:b/>
        </w:rPr>
        <w:t xml:space="preserve">KHO </w:t>
      </w:r>
      <w:r>
        <w:t>pitää mahdollisena ja perusteltuna sijoituspalvelulakiin ehdotettua muutosta, jonka mukaan luonnolliselle henkilölle määrättävän rikosoikeudellisen seuraamuksen lisäksi oikeushenk</w:t>
      </w:r>
      <w:r>
        <w:t>i</w:t>
      </w:r>
      <w:r>
        <w:t xml:space="preserve">lölle voitaisiin määrätä samasta teosta myös hallinnollinen seuraamusmaksu siltä osin kuin kyseiset teot sisältyvät myös seuraamusmaksusäännöksen soveltamisalaan ja kiinnittää tässä yhteydessä muutoin huomiota Euroopan ihmisoikeustuomioistuimen viimeaikaiseen oikeuskäytäntöön.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AD378F">
        <w:rPr>
          <w:b/>
        </w:rPr>
        <w:t>OM</w:t>
      </w:r>
      <w:r>
        <w:t>:n</w:t>
      </w:r>
      <w:proofErr w:type="spellEnd"/>
      <w:r>
        <w:t xml:space="preserve"> mukaan ehdotus puolestaan vaikuttaa kaksoisrangaistavuuden kiellon näk</w:t>
      </w:r>
      <w:r w:rsidR="00AD378F">
        <w:t>ökulmasta ongel</w:t>
      </w:r>
      <w:r>
        <w:t xml:space="preserve">malliselta. </w:t>
      </w:r>
      <w:r w:rsidRPr="00AD378F">
        <w:rPr>
          <w:b/>
        </w:rPr>
        <w:t>OM</w:t>
      </w:r>
      <w:r>
        <w:t xml:space="preserve"> kehottaa jatkovalmistelussa arvioimaan seuraamusten laadun ja su</w:t>
      </w:r>
      <w:r>
        <w:t>u</w:t>
      </w:r>
      <w:r>
        <w:t>ruuden oikeasuhtaisuutta direktiivisääntelyn mahdollistamissa rajoissa</w:t>
      </w:r>
      <w:r w:rsidR="00EF3EAE">
        <w:t>. L</w:t>
      </w:r>
      <w:r>
        <w:t>isäksi jotkin viitt</w:t>
      </w:r>
      <w:r>
        <w:t>a</w:t>
      </w:r>
      <w:r>
        <w:t>ukset sanktioiduista teoista vaikuttavat avoimilta, joten niitä olisi syytä tarkentaa.</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Asianajajaliitto</w:t>
      </w:r>
      <w:r>
        <w:t xml:space="preserve"> kiinnittää huomioita </w:t>
      </w:r>
      <w:proofErr w:type="spellStart"/>
      <w:r>
        <w:t>itsekriminointisuojaan</w:t>
      </w:r>
      <w:proofErr w:type="spellEnd"/>
      <w:r>
        <w:t>, jota ehdotetaan selvennett</w:t>
      </w:r>
      <w:r>
        <w:t>ä</w:t>
      </w:r>
      <w:r>
        <w:t>väksi seuraamusmaksun osalta sijoituspalvelulain 15 luvun 2 §:n 9 momentissa ja kaupa</w:t>
      </w:r>
      <w:r>
        <w:t>n</w:t>
      </w:r>
      <w:r>
        <w:t xml:space="preserve">käynnistä rahoitusvälineillä annetun lain 12 luvun 2 §:n 5 momentissa. </w:t>
      </w:r>
      <w:r w:rsidRPr="00AD378F">
        <w:rPr>
          <w:b/>
        </w:rPr>
        <w:t>Asianajajaliitto</w:t>
      </w:r>
      <w:r>
        <w:t xml:space="preserve"> p</w:t>
      </w:r>
      <w:r>
        <w:t>i</w:t>
      </w:r>
      <w:r>
        <w:t xml:space="preserve">tää </w:t>
      </w:r>
      <w:proofErr w:type="spellStart"/>
      <w:r>
        <w:t>itsekriminointisuojan</w:t>
      </w:r>
      <w:proofErr w:type="spellEnd"/>
      <w:r>
        <w:t xml:space="preserve"> ylläpitämistä tärkeänä ja korostaa, ettei suojan tule tulkita kosk</w:t>
      </w:r>
      <w:r>
        <w:t>e</w:t>
      </w:r>
      <w:r>
        <w:t>van vain esitykseen nimenomai</w:t>
      </w:r>
      <w:r w:rsidR="00AD378F">
        <w:t xml:space="preserve">sesti kirjattuja tapauksia. </w:t>
      </w:r>
    </w:p>
    <w:p w:rsidR="00ED7057" w:rsidRDefault="00ED7057" w:rsidP="00C16CD4">
      <w:pPr>
        <w:pStyle w:val="VMNormaaliSisentmtn"/>
        <w:ind w:left="1418"/>
        <w:jc w:val="both"/>
      </w:pPr>
    </w:p>
    <w:p w:rsidR="00ED7057" w:rsidRDefault="00ED7057" w:rsidP="00C16CD4">
      <w:pPr>
        <w:pStyle w:val="VMOtsikko2"/>
        <w:jc w:val="both"/>
      </w:pPr>
      <w:r>
        <w:t>3.2 Laki kau</w:t>
      </w:r>
      <w:r w:rsidR="00AD378F">
        <w:t>pankäynnistä rahoitusvälineillä</w:t>
      </w:r>
    </w:p>
    <w:p w:rsidR="00ED7057" w:rsidRDefault="00ED7057" w:rsidP="006F0DFF">
      <w:pPr>
        <w:pStyle w:val="VMOtsikko3"/>
        <w:jc w:val="both"/>
      </w:pPr>
      <w:proofErr w:type="gramStart"/>
      <w:r>
        <w:t xml:space="preserve">Säännellyn </w:t>
      </w:r>
      <w:proofErr w:type="spellStart"/>
      <w:r>
        <w:t>markkinan</w:t>
      </w:r>
      <w:proofErr w:type="spellEnd"/>
      <w:r>
        <w:t xml:space="preserve"> ylläpitäminen</w:t>
      </w:r>
      <w:proofErr w:type="gramEnd"/>
    </w:p>
    <w:p w:rsidR="00ED7057" w:rsidRDefault="00ED7057" w:rsidP="00C16CD4">
      <w:pPr>
        <w:pStyle w:val="VMNormaaliSisentmtn"/>
        <w:ind w:left="1418"/>
        <w:jc w:val="both"/>
      </w:pPr>
      <w:r w:rsidRPr="00AD378F">
        <w:rPr>
          <w:b/>
        </w:rPr>
        <w:t>Pörssin</w:t>
      </w:r>
      <w:r>
        <w:t xml:space="preserve"> mielestä lakiehdotuksen mukainen pakolliseksi ehdotettua nimitysvaliokuntaa ko</w:t>
      </w:r>
      <w:r>
        <w:t>s</w:t>
      </w:r>
      <w:r>
        <w:t xml:space="preserve">keva 2 luvun 19 §:n säännös ei ole tarpeellinen eikä perusteltu. </w:t>
      </w:r>
      <w:r w:rsidR="00F64CE9">
        <w:t xml:space="preserve">MIFID II:n </w:t>
      </w:r>
      <w:r>
        <w:t>45 artikla ei ede</w:t>
      </w:r>
      <w:r>
        <w:t>l</w:t>
      </w:r>
      <w:r>
        <w:t>lytä nimitysvaliokunnan perustamista, vaan jättää asian kansallisella tasolla ratkaistavaksi. Lakiehdotuksen 2 luvun 19 §:n 3 momentissa ehdotettavat erilliset tehtävät voidaan osoi</w:t>
      </w:r>
      <w:r>
        <w:t>t</w:t>
      </w:r>
      <w:r>
        <w:t xml:space="preserve">taa pörssin tehtäväksi ilman vaatimusta pakollisesta nimitysvaliokunnasta. Tällä tavalla pörssi voisi valita kunkin tehtävän toteuttamiseksi tarkoituksenmukaiset menettelyt. </w:t>
      </w:r>
      <w:r w:rsidRPr="00AD378F">
        <w:rPr>
          <w:b/>
        </w:rPr>
        <w:t>F</w:t>
      </w:r>
      <w:r w:rsidRPr="00AD378F">
        <w:rPr>
          <w:b/>
        </w:rPr>
        <w:t>i</w:t>
      </w:r>
      <w:r w:rsidRPr="00AD378F">
        <w:rPr>
          <w:b/>
        </w:rPr>
        <w:t>nanssivalvonta</w:t>
      </w:r>
      <w:r>
        <w:t xml:space="preserve"> katsoo, että </w:t>
      </w:r>
      <w:proofErr w:type="spellStart"/>
      <w:r>
        <w:t>NASDAQ-konsernin</w:t>
      </w:r>
      <w:proofErr w:type="spellEnd"/>
      <w:r>
        <w:t xml:space="preserve"> rakenteen johdosta pörssin nimitysvali</w:t>
      </w:r>
      <w:r>
        <w:t>o</w:t>
      </w:r>
      <w:r>
        <w:t xml:space="preserve">kuntaa koskevan lainsäädännön ei tulisi poiketa Ruotsin ja Tanskan sääntelystä. </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Pörssi</w:t>
      </w:r>
      <w:r>
        <w:t xml:space="preserve"> kannattaa esitysluonnoksessa olevaa 2 luvun 31 §:ää koskevaa ehdotusta, jonka mukaan vuosittaisesta sisäpiirirekisteriä koskevasta selvityksestä </w:t>
      </w:r>
      <w:r w:rsidR="00AD378F">
        <w:t>Finanssivalvonnalle lu</w:t>
      </w:r>
      <w:r w:rsidR="00AD378F">
        <w:t>o</w:t>
      </w:r>
      <w:r w:rsidR="00AD378F">
        <w:t xml:space="preserve">vutaan. </w:t>
      </w:r>
    </w:p>
    <w:p w:rsidR="00ED7057" w:rsidRDefault="00ED7057" w:rsidP="006F0DFF">
      <w:pPr>
        <w:pStyle w:val="VMOtsikko3"/>
        <w:jc w:val="both"/>
      </w:pPr>
      <w:proofErr w:type="gramStart"/>
      <w:r>
        <w:t xml:space="preserve">Säännellyn </w:t>
      </w:r>
      <w:proofErr w:type="spellStart"/>
      <w:r>
        <w:t>markkinan</w:t>
      </w:r>
      <w:proofErr w:type="spellEnd"/>
      <w:r>
        <w:t xml:space="preserve"> toiminnan järjestäminen</w:t>
      </w:r>
      <w:proofErr w:type="gramEnd"/>
    </w:p>
    <w:p w:rsidR="00ED7057" w:rsidRDefault="00ED7057" w:rsidP="00C16CD4">
      <w:pPr>
        <w:pStyle w:val="VMNormaaliSisentmtn"/>
        <w:ind w:left="1418"/>
        <w:jc w:val="both"/>
      </w:pPr>
      <w:r w:rsidRPr="00AD378F">
        <w:rPr>
          <w:b/>
        </w:rPr>
        <w:t>Finanssivalvonta</w:t>
      </w:r>
      <w:r>
        <w:t xml:space="preserve"> katsoo, ettei MIFID II:n 5 artiklan 2 kohtaa ja 18 artiklan 1 kohtaa ole otettu huomioon esitysluonnoksessa riittävästi. Direktiivin 5 artiklan mukaan jäsenvaltioiden on myönnettävä kaikille markkinoiden ylläpitäjille toimilupa ylläpitää monenkeskistä ka</w:t>
      </w:r>
      <w:r>
        <w:t>u</w:t>
      </w:r>
      <w:r>
        <w:t>pankäyntijärjestelmää tai organisoitua kaupankäyntijärjestelmää edellyttäen, että tarkist</w:t>
      </w:r>
      <w:r>
        <w:t>e</w:t>
      </w:r>
      <w:r>
        <w:t xml:space="preserve">taan etukäteen, että ne noudattavat direktiivin sijoituspalveluyrityksiä koskevan II osaston 2 lukua. </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Pörssin</w:t>
      </w:r>
      <w:r>
        <w:t xml:space="preserve"> mukaan pörssin valvontatehtävää koskevassa 3 luvun 2 §:n luonnok</w:t>
      </w:r>
      <w:r w:rsidR="00AD378F">
        <w:t>sessa ei ole otettu riit</w:t>
      </w:r>
      <w:r>
        <w:t>tävästi huomioon direktiivissä ja komission sääntelyssä esitettyjä tilanteita. Olisi tulkittavissa, ettei välitöntä ilmoitusvelvollisuutta tulisi ulottaa kategorisesti kaikkiin pykäl</w:t>
      </w:r>
      <w:r>
        <w:t>ä</w:t>
      </w:r>
      <w:r>
        <w:t>luonnoksessa viitattuihin sisäpiirikaupankäynti- ja markkinoiden manipulointitilanteisiin. Ti</w:t>
      </w:r>
      <w:r>
        <w:t>e</w:t>
      </w:r>
      <w:r>
        <w:t>tyt manipulatiiviset kaupankäyntitavat ovat myös luonteeltaan sellaisia, että ne muodost</w:t>
      </w:r>
      <w:r>
        <w:t>a</w:t>
      </w:r>
      <w:r>
        <w:t>vat pitkäkestoisena toimintana kielletyn tavan toimia. Tällaisesta toiminnasta on käytännö</w:t>
      </w:r>
      <w:r>
        <w:t>s</w:t>
      </w:r>
      <w:r>
        <w:t xml:space="preserve">sä erittäin vaikeaa ilmoittaa välittömästi. Lisäksi </w:t>
      </w:r>
      <w:r w:rsidRPr="00AD378F">
        <w:rPr>
          <w:b/>
        </w:rPr>
        <w:t>Pörssin</w:t>
      </w:r>
      <w:r>
        <w:t xml:space="preserve"> mukaan lakiluonnosta tai sen p</w:t>
      </w:r>
      <w:r>
        <w:t>e</w:t>
      </w:r>
      <w:r>
        <w:t xml:space="preserve">rusteluja tulisi selventää siten, että 3 luvun 3 §:n mukainen rikkomuksista ilmoittaminen riippumattoman ja itsenäisen kanavan kautta voidaan tarvittaessa järjestää myös </w:t>
      </w:r>
      <w:r w:rsidRPr="00AD378F">
        <w:rPr>
          <w:b/>
        </w:rPr>
        <w:t xml:space="preserve">Pörssin </w:t>
      </w:r>
      <w:r>
        <w:t xml:space="preserve">ulkopuolisen palveluntarjoajan avulla. </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Pörssi</w:t>
      </w:r>
      <w:r>
        <w:t xml:space="preserve"> ehdottaa, että pörssin sääntöjen vahvistusmenettelyä koskevia 3 luvun 7 §:n sää</w:t>
      </w:r>
      <w:r>
        <w:t>n</w:t>
      </w:r>
      <w:r>
        <w:t>nöksiä muutetaan siten, että pörssin sääntöjen vahvistusmenettelystä luovutaan kokonaan. Kansainvälinen käytäntö, Suomen pörssitoiminnan kilpailukyvyn turvaaminen ja pörssiä koskeva kattava sääntely sekä viranomaisvaltuudet puoltavat tätä. Sääntöjen hyväksymi</w:t>
      </w:r>
      <w:r>
        <w:t>s</w:t>
      </w:r>
      <w:r>
        <w:t>menettelyn tilalle omaksuttaisiin muita Pohjoismaita vastaava käytäntö sääntömuutosten toimittamisesta Finanssivalvonnalle ennen niiden voimaantuloa. Mikäli vahvistusmenett</w:t>
      </w:r>
      <w:r>
        <w:t>e</w:t>
      </w:r>
      <w:r>
        <w:t xml:space="preserve">lystä ei katsottaisi voitavan luopua kokonaan, tulisi sääntöjen vahvistusviranomaisen olla valtiovarainministeriön sijasta Finanssivalvonta. </w:t>
      </w:r>
    </w:p>
    <w:p w:rsidR="00ED7057" w:rsidRDefault="00ED7057" w:rsidP="00C16CD4">
      <w:pPr>
        <w:pStyle w:val="VMNormaaliSisentmtn"/>
        <w:ind w:left="1418"/>
        <w:jc w:val="both"/>
      </w:pPr>
    </w:p>
    <w:p w:rsidR="00ED7057" w:rsidRDefault="00ED7057" w:rsidP="00C16CD4">
      <w:pPr>
        <w:pStyle w:val="VMNormaaliSisentmtn"/>
        <w:ind w:left="1418"/>
        <w:jc w:val="both"/>
      </w:pPr>
      <w:r w:rsidRPr="00AD378F">
        <w:rPr>
          <w:b/>
        </w:rPr>
        <w:t>Pörssin</w:t>
      </w:r>
      <w:r>
        <w:t xml:space="preserve"> mukaan kaupankäyntiosapuolen oikeuksia koskevaan 3 luvun 15 §:ään ehdotettu lisäys pörssin velvollisuudesta toimittaa Finanssivalvonnalle vuosittain tiedot kaupankäy</w:t>
      </w:r>
      <w:r>
        <w:t>n</w:t>
      </w:r>
      <w:r>
        <w:t>tiosapuolistaan on tarpeeton. Velvollisuuden voitaisiin katsoa täyttyvän sillä perusteella, e</w:t>
      </w:r>
      <w:r>
        <w:t>t</w:t>
      </w:r>
      <w:r>
        <w:t xml:space="preserve">tä pörssi julkaisee jatkuvasti verkkosivullaan ajantasaiset listat jäsenistään ja tekee lisäksi II-tason säädösten perusteella jäseniä koskevia arvioita vuosittain. </w:t>
      </w:r>
    </w:p>
    <w:p w:rsidR="00ED7057" w:rsidRDefault="00ED7057" w:rsidP="00C16CD4">
      <w:pPr>
        <w:pStyle w:val="VMNormaaliSisentmtn"/>
        <w:ind w:left="1418"/>
        <w:jc w:val="both"/>
      </w:pPr>
    </w:p>
    <w:p w:rsidR="00ED7057" w:rsidRDefault="00ED7057">
      <w:pPr>
        <w:pStyle w:val="VMNormaaliSisentmtn"/>
        <w:ind w:left="1418"/>
        <w:jc w:val="both"/>
      </w:pPr>
      <w:r w:rsidRPr="00DC6397">
        <w:rPr>
          <w:b/>
        </w:rPr>
        <w:t xml:space="preserve">Pörssin </w:t>
      </w:r>
      <w:r>
        <w:t>mukaan velvollisuus solmia markkinatakaussopimus on rajattu direktiivin II-tason säädöksissä vain määrättyihin instrumentteihin. Lain 3 luvun 17 §:</w:t>
      </w:r>
      <w:proofErr w:type="spellStart"/>
      <w:r>
        <w:t>ää</w:t>
      </w:r>
      <w:proofErr w:type="spellEnd"/>
      <w:r>
        <w:t>, joka koskee sopimu</w:t>
      </w:r>
      <w:r>
        <w:t>s</w:t>
      </w:r>
      <w:r>
        <w:t>ta markkinatakauksesta, tulisi muuttaa siten, että rajaukset otetaan huomioon.</w:t>
      </w:r>
    </w:p>
    <w:p w:rsidR="00ED7057" w:rsidRDefault="00ED7057" w:rsidP="006F0DFF">
      <w:pPr>
        <w:pStyle w:val="VMOtsikko3"/>
        <w:jc w:val="both"/>
      </w:pPr>
      <w:r>
        <w:t xml:space="preserve">Pk-yritysten </w:t>
      </w:r>
      <w:proofErr w:type="spellStart"/>
      <w:r>
        <w:t>kasvumarkkina</w:t>
      </w:r>
      <w:proofErr w:type="spellEnd"/>
    </w:p>
    <w:p w:rsidR="00ED7057" w:rsidRDefault="00ED7057" w:rsidP="00C16CD4">
      <w:pPr>
        <w:pStyle w:val="VMNormaaliSisentmtn"/>
        <w:ind w:left="1418"/>
        <w:jc w:val="both"/>
      </w:pPr>
      <w:r w:rsidRPr="00DC6397">
        <w:rPr>
          <w:b/>
        </w:rPr>
        <w:t xml:space="preserve">Pörssi </w:t>
      </w:r>
      <w:r>
        <w:t xml:space="preserve">ehdottaa, että pk-yritysten </w:t>
      </w:r>
      <w:proofErr w:type="spellStart"/>
      <w:r>
        <w:t>kasvumarkkinan</w:t>
      </w:r>
      <w:proofErr w:type="spellEnd"/>
      <w:r>
        <w:t xml:space="preserve"> rekisteröintiä koskevaa 6 luvun 1 §:ää muutettaisiin siten, että monenkeskisen kaupankäynnin järjestäjä voi pyytää rekisteröintiä pk-yritysten </w:t>
      </w:r>
      <w:proofErr w:type="spellStart"/>
      <w:r>
        <w:t>kasvumarkkinaksi</w:t>
      </w:r>
      <w:proofErr w:type="spellEnd"/>
      <w:r>
        <w:t xml:space="preserve"> vain osaan hakijan ylläpitämästä monenkeskisestä kaupa</w:t>
      </w:r>
      <w:r>
        <w:t>n</w:t>
      </w:r>
      <w:r>
        <w:t xml:space="preserve">käyntijärjestelmästä. </w:t>
      </w:r>
      <w:r w:rsidRPr="00DC6397">
        <w:rPr>
          <w:b/>
        </w:rPr>
        <w:t>Pörssin</w:t>
      </w:r>
      <w:r>
        <w:t xml:space="preserve"> mukaan on tarkoituksenmukaista, että osittainen rekisteröinti mahdollistetaan, sillä monenkeskisessä kaupankäyntijärjestelmässä voi olla eri segmentt</w:t>
      </w:r>
      <w:r>
        <w:t>e</w:t>
      </w:r>
      <w:r>
        <w:t>jä erityyppisille liikkeeseenlaskijoille, ja kaupankäynnin kohteena voi olla hyvi</w:t>
      </w:r>
      <w:r w:rsidR="00DC6397">
        <w:t>n erilaisia r</w:t>
      </w:r>
      <w:r w:rsidR="00DC6397">
        <w:t>a</w:t>
      </w:r>
      <w:r w:rsidR="00DC6397">
        <w:t xml:space="preserve">hoitusvälineitä. </w:t>
      </w:r>
    </w:p>
    <w:p w:rsidR="00ED7057" w:rsidRDefault="00ED7057" w:rsidP="006F0DFF">
      <w:pPr>
        <w:pStyle w:val="VMOtsikko3"/>
        <w:jc w:val="both"/>
      </w:pPr>
      <w:r>
        <w:t>Rahoitusvälineiden läpinäkyvyysvaatimukset</w:t>
      </w:r>
    </w:p>
    <w:p w:rsidR="00ED7057" w:rsidRDefault="00ED7057" w:rsidP="00C16CD4">
      <w:pPr>
        <w:pStyle w:val="VMNormaaliSisentmtn"/>
        <w:ind w:left="1418"/>
        <w:jc w:val="both"/>
      </w:pPr>
      <w:r w:rsidRPr="00DC6397">
        <w:rPr>
          <w:b/>
        </w:rPr>
        <w:t>Finanssiala</w:t>
      </w:r>
      <w:r>
        <w:t xml:space="preserve"> kiinnittää huomiota 7 luvun 6 §:n 6 momenttiin, josta puuttuu kokonaan dire</w:t>
      </w:r>
      <w:r>
        <w:t>k</w:t>
      </w:r>
      <w:r>
        <w:t xml:space="preserve">tiivin ajatus siitä, että velvollisuus ei koske kaikenlaisia johdannaisia, vaan ainoastaan kauppapaikassa kaupankäynnin kohteena olevia hyödykejohdannaisia tai päästöoikeuksia ja niiden johdannaisia sekä taloudelliselta kannalta vastaavia </w:t>
      </w:r>
      <w:proofErr w:type="spellStart"/>
      <w:r>
        <w:t>OTC-sopimuksia</w:t>
      </w:r>
      <w:proofErr w:type="spellEnd"/>
      <w:r>
        <w:t xml:space="preserve">. Lisäksi </w:t>
      </w:r>
      <w:r w:rsidRPr="00DC6397">
        <w:rPr>
          <w:b/>
        </w:rPr>
        <w:t>F</w:t>
      </w:r>
      <w:r w:rsidRPr="00DC6397">
        <w:rPr>
          <w:b/>
        </w:rPr>
        <w:t>i</w:t>
      </w:r>
      <w:r w:rsidRPr="00DC6397">
        <w:rPr>
          <w:b/>
        </w:rPr>
        <w:t>nanssiala</w:t>
      </w:r>
      <w:r>
        <w:t xml:space="preserve"> tuo esiin, että momentin viimeinen virke, jonka mukaan sijoituspalveluyrityksen on ilmoitettava Finanssivalvonnalle, mikäli se toimittaa tiedot muulle toimivaltaiselle vira</w:t>
      </w:r>
      <w:r>
        <w:t>n</w:t>
      </w:r>
      <w:r>
        <w:t xml:space="preserve">omaiselle kuin Finanssivalvonnalle, on täysin kansallista lisäsääntelyä ja tulisi näin ollen poistaa. </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OSKL</w:t>
      </w:r>
      <w:r>
        <w:t xml:space="preserve"> tuo esiin, että oman pääoman </w:t>
      </w:r>
      <w:proofErr w:type="spellStart"/>
      <w:r>
        <w:t>ehtoiset</w:t>
      </w:r>
      <w:proofErr w:type="spellEnd"/>
      <w:r>
        <w:t xml:space="preserve"> liiketoimet on julkistettava reaaliaikaisesti. </w:t>
      </w:r>
      <w:proofErr w:type="spellStart"/>
      <w:r w:rsidRPr="00DC6397">
        <w:rPr>
          <w:b/>
        </w:rPr>
        <w:t>OSKL</w:t>
      </w:r>
      <w:r>
        <w:t>:n</w:t>
      </w:r>
      <w:proofErr w:type="spellEnd"/>
      <w:r>
        <w:t xml:space="preserve"> näkemyksen mukaan viranomaisten oikeuden myöntää poikkeuksia julkistamisve</w:t>
      </w:r>
      <w:r>
        <w:t>l</w:t>
      </w:r>
      <w:r>
        <w:t>vollisuudesta perusteina puutteellinen likviditeetti tai kaupan suuruus tulisi olla tarkkaan r</w:t>
      </w:r>
      <w:r>
        <w:t>a</w:t>
      </w:r>
      <w:r>
        <w:t xml:space="preserve">jattu ja poikkeuspyyntöjen asianmukaisesti perusteltuja. Sama koskee oikeutta myöntää poikkeus kauppaa edeltävien tietojen julkistamisvelvollisuudesta edellä mainituin perustein. </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Energiateollisuuden</w:t>
      </w:r>
      <w:r>
        <w:t xml:space="preserve"> mukaan tietyt uudessa kaupankäynnistä rahoitusvälineillä annetussa laissa säädetyt velvoitteet lisäävät kaupankäyntiosapuolille koituvaa raportointitaakkaa, mutta ovat linjassa direktiivin vaatimusten kanssa ja edesauttavat direktiivin tavoitteiden täyttymistä. </w:t>
      </w:r>
    </w:p>
    <w:p w:rsidR="00ED7057" w:rsidRDefault="00ED7057" w:rsidP="00C16CD4">
      <w:pPr>
        <w:pStyle w:val="VMNormaaliSisentmtn"/>
        <w:ind w:left="1418"/>
        <w:jc w:val="both"/>
      </w:pPr>
    </w:p>
    <w:p w:rsidR="00ED7057" w:rsidRDefault="00ED7057" w:rsidP="006F0DFF">
      <w:pPr>
        <w:pStyle w:val="VMNormaaliSisentmtn"/>
        <w:ind w:left="1418"/>
        <w:jc w:val="both"/>
      </w:pPr>
      <w:r>
        <w:t xml:space="preserve">Myös </w:t>
      </w:r>
      <w:r w:rsidRPr="00DC6397">
        <w:rPr>
          <w:b/>
        </w:rPr>
        <w:t>EK</w:t>
      </w:r>
      <w:r>
        <w:t xml:space="preserve"> toteaa, että direktiivi asettaa kauppapaikan kaupankäyntiosapuolille uusia velvoi</w:t>
      </w:r>
      <w:r>
        <w:t>t</w:t>
      </w:r>
      <w:r>
        <w:t>teita, joista aiheutuu kasvavaa hallinnollista taakkaa lähinnä raportointivelvoitteiden mu</w:t>
      </w:r>
      <w:r>
        <w:t>o</w:t>
      </w:r>
      <w:r>
        <w:t>dossa. Laki velvoittaa kaupankäyntiosapuolen toimittamaan kauppapaikalle Finanssiva</w:t>
      </w:r>
      <w:r>
        <w:t>l</w:t>
      </w:r>
      <w:r>
        <w:t xml:space="preserve">vonnan edellyttämät tiedot omista ja asiakkaidensa positioista tietyissä rahoitusvälineissä. </w:t>
      </w:r>
    </w:p>
    <w:p w:rsidR="00ED7057" w:rsidRDefault="00ED7057" w:rsidP="006F0DFF">
      <w:pPr>
        <w:pStyle w:val="VMOtsikko3"/>
        <w:jc w:val="both"/>
      </w:pPr>
      <w:r>
        <w:t>Oikeus tarjota raportointipalveluja</w:t>
      </w:r>
    </w:p>
    <w:p w:rsidR="006F0DFF" w:rsidRDefault="00ED7057" w:rsidP="006F0DFF">
      <w:pPr>
        <w:pStyle w:val="VMNormaaliSisentmtn"/>
        <w:ind w:left="1418"/>
        <w:jc w:val="both"/>
      </w:pPr>
      <w:proofErr w:type="spellStart"/>
      <w:r w:rsidRPr="00DC6397">
        <w:rPr>
          <w:b/>
        </w:rPr>
        <w:t>PRH</w:t>
      </w:r>
      <w:r>
        <w:t>:n</w:t>
      </w:r>
      <w:proofErr w:type="spellEnd"/>
      <w:r>
        <w:t xml:space="preserve"> mukaan kaupparekisteri-ilmoituksia käsiteltäessä tulisi ottaa huomioon 8 luvun 9 §, jossa säädetään raportointipalvelun tarjoajan toimiluvan rekisteröinnist</w:t>
      </w:r>
      <w:r w:rsidR="00DC6397">
        <w:t>ä kaupparekisteriin Finanssival</w:t>
      </w:r>
      <w:r>
        <w:t>vonnan ilmoituksen perusteella, sekä 8 luvun 13 §:n vaatimus siitä,</w:t>
      </w:r>
      <w:r w:rsidR="00DC6397">
        <w:t xml:space="preserve"> että rapo</w:t>
      </w:r>
      <w:r w:rsidR="00DC6397">
        <w:t>r</w:t>
      </w:r>
      <w:r w:rsidR="00DC6397">
        <w:t>tointipalvelun tarjo</w:t>
      </w:r>
      <w:r>
        <w:t>ajan osakepääoman tulee olla vähintään 50 000 euroa tai yhtiöllä tulee</w:t>
      </w:r>
      <w:r w:rsidR="00DC6397">
        <w:t xml:space="preserve"> olla riittävä vastuuvakuutus. </w:t>
      </w:r>
    </w:p>
    <w:p w:rsidR="006F0DFF" w:rsidRDefault="006F0DFF" w:rsidP="006F0DFF">
      <w:pPr>
        <w:pStyle w:val="VMNormaaliSisentmtn"/>
        <w:ind w:left="1418"/>
        <w:jc w:val="both"/>
      </w:pPr>
    </w:p>
    <w:p w:rsidR="006F0DFF" w:rsidRDefault="006F0DFF" w:rsidP="006F0DFF">
      <w:pPr>
        <w:pStyle w:val="VMNormaaliSisentmtn"/>
        <w:ind w:left="1418"/>
        <w:jc w:val="both"/>
      </w:pPr>
    </w:p>
    <w:p w:rsidR="006F0DFF" w:rsidRDefault="006F0DFF" w:rsidP="006F0DFF">
      <w:pPr>
        <w:pStyle w:val="VMNormaaliSisentmtn"/>
        <w:ind w:left="1418"/>
        <w:jc w:val="both"/>
      </w:pPr>
    </w:p>
    <w:p w:rsidR="00ED7057" w:rsidRDefault="00ED7057" w:rsidP="006F0DFF">
      <w:pPr>
        <w:pStyle w:val="VMOtsikko3"/>
        <w:jc w:val="both"/>
      </w:pPr>
      <w:r>
        <w:t>Raportointipalvelun tarjoajan toiminnan järjestämistä koskevat vaatimukset</w:t>
      </w:r>
    </w:p>
    <w:p w:rsidR="00ED7057" w:rsidRDefault="00ED7057" w:rsidP="00C16CD4">
      <w:pPr>
        <w:pStyle w:val="VMNormaaliSisentmtn"/>
        <w:ind w:left="1418"/>
        <w:jc w:val="both"/>
      </w:pPr>
      <w:proofErr w:type="spellStart"/>
      <w:r w:rsidRPr="00DC6397">
        <w:rPr>
          <w:b/>
        </w:rPr>
        <w:t>PRH</w:t>
      </w:r>
      <w:r>
        <w:t>:n</w:t>
      </w:r>
      <w:proofErr w:type="spellEnd"/>
      <w:r>
        <w:t xml:space="preserve"> mukaan ehdotuksen 9 luvussa käsitellään julkaistavia tietoja ja mainitaan eri yht</w:t>
      </w:r>
      <w:r>
        <w:t>e</w:t>
      </w:r>
      <w:r>
        <w:t>yksissä tunniste, mutta ehdotuksesta tai sen perusteluista ei käy tarkemmin ilmi, mistä tu</w:t>
      </w:r>
      <w:r>
        <w:t>n</w:t>
      </w:r>
      <w:r>
        <w:t xml:space="preserve">nisteesta on kysymys. </w:t>
      </w:r>
    </w:p>
    <w:p w:rsidR="00ED7057" w:rsidRDefault="00ED7057" w:rsidP="006F0DFF">
      <w:pPr>
        <w:pStyle w:val="VMOtsikko3"/>
        <w:jc w:val="both"/>
      </w:pPr>
      <w:r>
        <w:t>Vahingonkorvaus- ja rangaistussäännökset</w:t>
      </w:r>
    </w:p>
    <w:p w:rsidR="00ED7057" w:rsidRDefault="00ED7057" w:rsidP="00C16CD4">
      <w:pPr>
        <w:pStyle w:val="VMNormaaliSisentmtn"/>
        <w:ind w:left="1418"/>
        <w:jc w:val="both"/>
      </w:pPr>
      <w:r w:rsidRPr="00DC6397">
        <w:rPr>
          <w:b/>
        </w:rPr>
        <w:t>OM</w:t>
      </w:r>
      <w:r>
        <w:t xml:space="preserve"> katsoo lähtökohtaisesti, ettei </w:t>
      </w:r>
      <w:r w:rsidR="00B41BF2">
        <w:t xml:space="preserve">ole esitetty riittäviä perusteita </w:t>
      </w:r>
      <w:r>
        <w:t xml:space="preserve">ehdotetulle 13 luvun 2 §:n kriminalisoinnin laajentamiselle </w:t>
      </w:r>
      <w:r w:rsidR="006E2079">
        <w:t xml:space="preserve">koskemaan </w:t>
      </w:r>
      <w:r>
        <w:t xml:space="preserve">myös organisoidun kaupankäyntijärjestelmän </w:t>
      </w:r>
      <w:r w:rsidR="006E2079">
        <w:t xml:space="preserve">ylläpitämistä </w:t>
      </w:r>
      <w:r>
        <w:t>ja raportointipalvelun tarjoami</w:t>
      </w:r>
      <w:r w:rsidR="006E2079">
        <w:t>sta</w:t>
      </w:r>
      <w:r>
        <w:t xml:space="preserve"> ilman asianmukaista toimilupaa. Esityksen perusteluissa todetaan, ettei direktiivi edellytä ehdotetunlaista laajennusta nykyiseen kr</w:t>
      </w:r>
      <w:r>
        <w:t>i</w:t>
      </w:r>
      <w:r>
        <w:t>minalisointisäännökseen. Epäselväksi jää, miksei hallinnollisia sanktioita ole arvioitu riitt</w:t>
      </w:r>
      <w:r>
        <w:t>ä</w:t>
      </w:r>
      <w:r>
        <w:t>viksi. Säännöstä voidaan myös kritisoida siitä, ettei se täytä täsmällisyysvaatimusta. Mikäli ehdotettu kriminalisointi säilytetään esityksessä, voisi olla syytä lisätä sitä koskevaan pyk</w:t>
      </w:r>
      <w:r>
        <w:t>ä</w:t>
      </w:r>
      <w:r>
        <w:t xml:space="preserve">lään säännös rikosoikeudellisen seuraamuksen viimesijaisuudesta. </w:t>
      </w:r>
      <w:r w:rsidR="00B41BF2">
        <w:t>Lisäksi h</w:t>
      </w:r>
      <w:r>
        <w:t>allituksen es</w:t>
      </w:r>
      <w:r>
        <w:t>i</w:t>
      </w:r>
      <w:r>
        <w:t>tyksessä tulisi tuoda esiin ne rikokset, joihin nähden rangaistussäännös on toissijainen. Rangaistussäännösten tarpeen perustelemisen lisäksi mahdollisten uusien rangaistu</w:t>
      </w:r>
      <w:r>
        <w:t>s</w:t>
      </w:r>
      <w:r>
        <w:t xml:space="preserve">säännösten vaikutukset tulee arvioida. </w:t>
      </w:r>
    </w:p>
    <w:p w:rsidR="00ED7057" w:rsidRDefault="00ED7057" w:rsidP="00C16CD4">
      <w:pPr>
        <w:pStyle w:val="VMNormaaliSisentmtn"/>
        <w:ind w:left="1418"/>
        <w:jc w:val="both"/>
      </w:pPr>
    </w:p>
    <w:p w:rsidR="00ED7057" w:rsidRDefault="00DC6397" w:rsidP="00C16CD4">
      <w:pPr>
        <w:pStyle w:val="VMOtsikko2"/>
        <w:jc w:val="both"/>
      </w:pPr>
      <w:r>
        <w:t>3.3 Laki Finanssivalvonnasta</w:t>
      </w:r>
      <w:r w:rsidR="00443424">
        <w:t xml:space="preserve"> annetun lain muuttamisesta</w:t>
      </w:r>
    </w:p>
    <w:p w:rsidR="00ED7057" w:rsidRDefault="00ED7057" w:rsidP="006F0DFF">
      <w:pPr>
        <w:pStyle w:val="VMOtsikko3"/>
        <w:jc w:val="both"/>
      </w:pPr>
      <w:r>
        <w:t xml:space="preserve">Yleiset säännökset </w:t>
      </w:r>
    </w:p>
    <w:p w:rsidR="00ED7057" w:rsidRDefault="00ED7057" w:rsidP="00C16CD4">
      <w:pPr>
        <w:pStyle w:val="VMNormaaliSisentmtn"/>
        <w:ind w:left="1418"/>
        <w:jc w:val="both"/>
      </w:pPr>
      <w:r w:rsidRPr="00DC6397">
        <w:rPr>
          <w:b/>
        </w:rPr>
        <w:t>Energiavirasto</w:t>
      </w:r>
      <w:r>
        <w:t xml:space="preserve"> pitää esitysluonnoksen 3 e §:n mukaista viranomaisyhteistyötä sekä 71 §:n mukaista tietojen luovuttamista Finanssivalvonnan ja Energiaviraston välillä hyvänä ja p</w:t>
      </w:r>
      <w:r>
        <w:t>e</w:t>
      </w:r>
      <w:r>
        <w:t>rusteltuna uudistuksena aiemp</w:t>
      </w:r>
      <w:r w:rsidR="00DC6397">
        <w:t xml:space="preserve">aan lainsäädäntöön verrattuna. </w:t>
      </w:r>
    </w:p>
    <w:p w:rsidR="00ED7057" w:rsidRDefault="00ED7057" w:rsidP="006F0DFF">
      <w:pPr>
        <w:pStyle w:val="VMOtsikko3"/>
        <w:jc w:val="both"/>
      </w:pPr>
      <w:r>
        <w:t>Hallinnolliset seuraamukset</w:t>
      </w:r>
    </w:p>
    <w:p w:rsidR="00ED7057" w:rsidRDefault="00ED7057" w:rsidP="00C16CD4">
      <w:pPr>
        <w:pStyle w:val="VMNormaaliSisentmtn"/>
        <w:ind w:left="1418"/>
        <w:jc w:val="both"/>
      </w:pPr>
      <w:r>
        <w:t>Osa lausunnonantajista kannattaa ehdotettua 41 §:n säännöstä, jonka mukaan Finanss</w:t>
      </w:r>
      <w:r>
        <w:t>i</w:t>
      </w:r>
      <w:r>
        <w:t xml:space="preserve">valvonta olisi jatkossa toimivaltainen määräämään kaikki seuraamusmaksut. </w:t>
      </w:r>
      <w:proofErr w:type="spellStart"/>
      <w:r w:rsidRPr="00DC6397">
        <w:rPr>
          <w:b/>
        </w:rPr>
        <w:t>FiBAN</w:t>
      </w:r>
      <w:r>
        <w:t>:in</w:t>
      </w:r>
      <w:proofErr w:type="spellEnd"/>
      <w:r>
        <w:t xml:space="preserve"> mi</w:t>
      </w:r>
      <w:r>
        <w:t>e</w:t>
      </w:r>
      <w:r>
        <w:t>lestä on järkevää, ettei Finanssivalvonta enää tekisi esitystä yli miljoonan euron seura</w:t>
      </w:r>
      <w:r>
        <w:t>a</w:t>
      </w:r>
      <w:r>
        <w:t>musmaksun määräämisestä markkinaoikeuteen, vaan voisi määrätä kaikki seuraamu</w:t>
      </w:r>
      <w:r>
        <w:t>s</w:t>
      </w:r>
      <w:r>
        <w:t>maksut itse.</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 </w:t>
      </w:r>
      <w:r w:rsidRPr="00DC6397">
        <w:rPr>
          <w:b/>
        </w:rPr>
        <w:t xml:space="preserve">Finanssivalvonta </w:t>
      </w:r>
      <w:r>
        <w:t>kannattaa 4 luvun muutosehdotuksia, joista</w:t>
      </w:r>
      <w:r w:rsidR="00DC6397">
        <w:t xml:space="preserve"> keskeisin on, että F</w:t>
      </w:r>
      <w:r w:rsidR="00DC6397">
        <w:t>i</w:t>
      </w:r>
      <w:r w:rsidR="00DC6397">
        <w:t>nanssival</w:t>
      </w:r>
      <w:r>
        <w:t xml:space="preserve">vonta olisi jatkossa toimivaltainen määräämään kaikki seuraamusmaksut. </w:t>
      </w:r>
      <w:r w:rsidRPr="00DC6397">
        <w:rPr>
          <w:b/>
        </w:rPr>
        <w:t>F</w:t>
      </w:r>
      <w:r w:rsidRPr="00DC6397">
        <w:rPr>
          <w:b/>
        </w:rPr>
        <w:t>i</w:t>
      </w:r>
      <w:r w:rsidRPr="00DC6397">
        <w:rPr>
          <w:b/>
        </w:rPr>
        <w:t>nanssivalvonta</w:t>
      </w:r>
      <w:r>
        <w:t xml:space="preserve"> pitää ehdotusta hallinnollisen seuraamusjärjestelmän toimivuuden ja t</w:t>
      </w:r>
      <w:r>
        <w:t>e</w:t>
      </w:r>
      <w:r>
        <w:t>hokkuuden kannalta erityisen tärkeänä.</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OM</w:t>
      </w:r>
      <w:r>
        <w:t xml:space="preserve"> kannattaa ehdotusta kaikkien seuraamusmaksujen määräämisen keskit</w:t>
      </w:r>
      <w:r w:rsidR="00DC6397">
        <w:t>tämisestä F</w:t>
      </w:r>
      <w:r w:rsidR="00DC6397">
        <w:t>i</w:t>
      </w:r>
      <w:r w:rsidR="00DC6397">
        <w:t>nanssival</w:t>
      </w:r>
      <w:r>
        <w:t>vontaan siitä näkökulmasta, että tällöin korkein hallinto-oikeus ei olisi ensimmä</w:t>
      </w:r>
      <w:r>
        <w:t>i</w:t>
      </w:r>
      <w:r>
        <w:t>nen muutoksenhakuaste isommissakaan seuraamusmaksuissa. Esitykseen olisi kuitenkin tarpeen lisätä perusteluita sille, miksi myös huomattavien seuraamusmaksujen määrääm</w:t>
      </w:r>
      <w:r>
        <w:t>i</w:t>
      </w:r>
      <w:r>
        <w:t>nen siirrettäisiin Finanssivalvontaan, kun otetaan huomioon markkinaoikeuden valvontav</w:t>
      </w:r>
      <w:r>
        <w:t>i</w:t>
      </w:r>
      <w:r>
        <w:t>ranomaisen ulkopuolinen asema.</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Lausunnonantajat kuitenkin myös kritisoivat ehdotusta. </w:t>
      </w:r>
      <w:r w:rsidRPr="00DC6397">
        <w:rPr>
          <w:b/>
        </w:rPr>
        <w:t>OP</w:t>
      </w:r>
      <w:r>
        <w:t xml:space="preserve"> pitää</w:t>
      </w:r>
      <w:r w:rsidR="00DC6397">
        <w:t xml:space="preserve"> ehdotettua sääntelyä, jo</w:t>
      </w:r>
      <w:r w:rsidR="00DC6397">
        <w:t>n</w:t>
      </w:r>
      <w:r w:rsidR="00DC6397">
        <w:t>ka mu</w:t>
      </w:r>
      <w:r>
        <w:t>kaan Finanssivalvonta määräisi kaikki seuraamusmaksut, ongelmallisena sijoituspa</w:t>
      </w:r>
      <w:r>
        <w:t>l</w:t>
      </w:r>
      <w:r>
        <w:t>velun tarjoajien oikeusturvan kannalta. Suomalaiseen oikeuskäytäntöön perustuen tuntuu vieraalta, että hallintoviranomaisella olisi itsenäinen oikeus määrätä hyvin suuria seura</w:t>
      </w:r>
      <w:r>
        <w:t>a</w:t>
      </w:r>
      <w:r>
        <w:t>musmaksuja.</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 </w:t>
      </w:r>
      <w:r w:rsidRPr="00DC6397">
        <w:rPr>
          <w:b/>
        </w:rPr>
        <w:t>EK</w:t>
      </w:r>
      <w:r>
        <w:t xml:space="preserve"> vastustaa ehdotusta, jonka mukaan Finanssivalvonta määräisi jat</w:t>
      </w:r>
      <w:r w:rsidR="00DC6397">
        <w:t>kossa kaikki seuraa</w:t>
      </w:r>
      <w:r>
        <w:t>musmaksut, toimialan valvottavien oikeusturvanäkökohtiin vedoten. Nykysääntely tulisi säilyttää. Mikäli esitysluonnoksessa pitäydytään, tulee perusteluja syventää huoma</w:t>
      </w:r>
      <w:r>
        <w:t>t</w:t>
      </w:r>
      <w:r>
        <w:t>tavasti sen osalta, miten uusi menettely ei vaaranna valvottavien oikeusturvaa.</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Finanssialan</w:t>
      </w:r>
      <w:r>
        <w:t xml:space="preserve"> mukaan muutos saattaisi johtaa siihen, että käytännössä valvottavilla ei enää olisi samaa oikeusturvaa suurten seuraamusmaksujen määräämistä koskevan menettelyn kohdalla kuin nykyisin. Seuraamukset saattavat myös käytännössä kasvaa vain sen vuoksi, että s</w:t>
      </w:r>
      <w:r w:rsidR="00DC6397">
        <w:t>uurten seuraa</w:t>
      </w:r>
      <w:r>
        <w:t>musmaksujen menettely on siirretty Finanssivalvonnan samaan prose</w:t>
      </w:r>
      <w:r>
        <w:t>s</w:t>
      </w:r>
      <w:r>
        <w:t>siin. Merkittäviä sanktioita koskeva prosessi ei sisällä oikeudenkäyntimenettelyyn sisältyviä vastaajan turvaksi säädettyjä menettelyjä. Kysymys on myös kansallisesti lisäsääntelystä.</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Kuntarahoitus</w:t>
      </w:r>
      <w:r>
        <w:t xml:space="preserve"> katsoo, että huomattavien seuraamusten määräämisen tulisi kuulua rii</w:t>
      </w:r>
      <w:r>
        <w:t>p</w:t>
      </w:r>
      <w:r>
        <w:t>pumattomalle tuomioistuimelle</w:t>
      </w:r>
      <w:r w:rsidR="009708CE">
        <w:t>,</w:t>
      </w:r>
      <w:r>
        <w:t xml:space="preserve"> ja pitää perusteltuna, että voimassa olevaa lakia vastaava</w:t>
      </w:r>
      <w:r>
        <w:t>s</w:t>
      </w:r>
      <w:r>
        <w:t>ti yli miljoona euroa ylittävän seuraamusmaksun määräisi markkinaoikeus Finanssivalvo</w:t>
      </w:r>
      <w:r>
        <w:t>n</w:t>
      </w:r>
      <w:r>
        <w:t xml:space="preserve">nan esityksestä.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 </w:t>
      </w:r>
      <w:r w:rsidRPr="00DC6397">
        <w:rPr>
          <w:b/>
        </w:rPr>
        <w:t xml:space="preserve">MAO </w:t>
      </w:r>
      <w:r>
        <w:t>tuo esiin, ettei voimassa olevassa laissa ole haluttu antaa hallintoviranomaise</w:t>
      </w:r>
      <w:r>
        <w:t>l</w:t>
      </w:r>
      <w:r>
        <w:t>le oikeutta yli miljoonan euron seuraamusmaksun määräämiseen, vaan tällaisen seura</w:t>
      </w:r>
      <w:r>
        <w:t>a</w:t>
      </w:r>
      <w:r>
        <w:t>muksen määrää tuomioi</w:t>
      </w:r>
      <w:r w:rsidR="00DC6397">
        <w:t>s</w:t>
      </w:r>
      <w:r>
        <w:t>tuin.</w:t>
      </w:r>
      <w:r w:rsidR="00DC6397">
        <w:t xml:space="preserve"> </w:t>
      </w:r>
      <w:proofErr w:type="spellStart"/>
      <w:r w:rsidRPr="00DC6397">
        <w:rPr>
          <w:b/>
        </w:rPr>
        <w:t>MAO</w:t>
      </w:r>
      <w:r>
        <w:t>:n</w:t>
      </w:r>
      <w:proofErr w:type="spellEnd"/>
      <w:r>
        <w:t xml:space="preserve"> mukaan tulisi vielä pohtia, onko periaatteellisesti ja perustuslain kannalta oikein, että hallintoviranomainen voi määrätä näin huomattavia sa</w:t>
      </w:r>
      <w:r>
        <w:t>k</w:t>
      </w:r>
      <w:r>
        <w:t>kotyyppisiä seuraamuksia. Myös yhdenmukaisuus puoltaa nykytilan säilyttämistä, sillä ki</w:t>
      </w:r>
      <w:r>
        <w:t>l</w:t>
      </w:r>
      <w:r>
        <w:t>pailulaissa tarkoitetun seuraamusmaksun määrää kilpailu- ja kuluttajaviraston esityksestä markkinaoikeus. Toisaalta ehdotettu säännös muuttaisi nykytilaa siten, ettei korkein halli</w:t>
      </w:r>
      <w:r>
        <w:t>n</w:t>
      </w:r>
      <w:r>
        <w:t xml:space="preserve">to-oikeus olisi seuraamusmaksun osalta ensimmäinen muutoksenhakutuomioistuin kuten nykyään. </w:t>
      </w:r>
      <w:r w:rsidRPr="00DC6397">
        <w:rPr>
          <w:b/>
        </w:rPr>
        <w:t>MAO</w:t>
      </w:r>
      <w:r>
        <w:t xml:space="preserve"> tuo esiin, että korkein hallinto-oikeus on eräissä yhteyksissä pitänyt tätä n</w:t>
      </w:r>
      <w:r>
        <w:t>y</w:t>
      </w:r>
      <w:r>
        <w:t xml:space="preserve">kytilaa ongelmallisena.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proofErr w:type="gramStart"/>
      <w:r w:rsidRPr="00DC6397">
        <w:rPr>
          <w:b/>
        </w:rPr>
        <w:t>FiBAN</w:t>
      </w:r>
      <w:proofErr w:type="spellEnd"/>
      <w:proofErr w:type="gramEnd"/>
      <w:r>
        <w:t xml:space="preserve"> kannattaa Finanssivalvonnan käytössä olevan seuraamusmaksun enimmäismäär</w:t>
      </w:r>
      <w:r>
        <w:t>i</w:t>
      </w:r>
      <w:r>
        <w:t>en korotusta 41 a §:n ehdotuksen mukaisesti, eli 10 prosenttia konsernin kokonaisliikevai</w:t>
      </w:r>
      <w:r>
        <w:t>h</w:t>
      </w:r>
      <w:r>
        <w:t xml:space="preserve">dosta sekä luonnollisille henkilöille 5 miljoonaa euroa. </w:t>
      </w:r>
    </w:p>
    <w:p w:rsidR="00ED7057" w:rsidRDefault="00ED7057" w:rsidP="00C16CD4">
      <w:pPr>
        <w:pStyle w:val="VMNormaaliSisentmtn"/>
        <w:ind w:left="1418"/>
        <w:jc w:val="both"/>
      </w:pPr>
    </w:p>
    <w:p w:rsidR="00ED7057" w:rsidRDefault="00ED7057" w:rsidP="00C16CD4">
      <w:pPr>
        <w:pStyle w:val="VMNormaaliSisentmtn"/>
        <w:ind w:left="1418"/>
        <w:jc w:val="both"/>
      </w:pPr>
      <w:r>
        <w:t>Esitysluonnoksen 49 § koskee Finanssivalvonnan yhteistyötä vaihtoehtoisten riidanratka</w:t>
      </w:r>
      <w:r>
        <w:t>i</w:t>
      </w:r>
      <w:r>
        <w:t xml:space="preserve">suelinten kanssa. </w:t>
      </w:r>
      <w:r w:rsidRPr="00DC6397">
        <w:rPr>
          <w:b/>
        </w:rPr>
        <w:t>OM</w:t>
      </w:r>
      <w:r>
        <w:t xml:space="preserve"> katsoo, että ehdotettu valvonnallinen yhteistyö johtaisi</w:t>
      </w:r>
      <w:r w:rsidR="00DC6397">
        <w:t xml:space="preserve"> erittäin o</w:t>
      </w:r>
      <w:r w:rsidR="00DC6397">
        <w:t>n</w:t>
      </w:r>
      <w:r w:rsidR="00DC6397">
        <w:t>gelmalliseen asetel</w:t>
      </w:r>
      <w:r>
        <w:t xml:space="preserve">maan, jossa </w:t>
      </w:r>
      <w:proofErr w:type="spellStart"/>
      <w:r>
        <w:t>FINE:n</w:t>
      </w:r>
      <w:proofErr w:type="spellEnd"/>
      <w:r>
        <w:t xml:space="preserve"> asema muuttuisi vaihtoehtoisesta ri</w:t>
      </w:r>
      <w:r w:rsidR="00DC6397">
        <w:t>idanratkaisuel</w:t>
      </w:r>
      <w:r w:rsidR="00DC6397">
        <w:t>i</w:t>
      </w:r>
      <w:r w:rsidR="00DC6397">
        <w:t>mestä viranomais</w:t>
      </w:r>
      <w:r>
        <w:t>valvontaan osallistuvaksi tahoksi. Finanssivalvonta on valvova vira</w:t>
      </w:r>
      <w:r>
        <w:t>n</w:t>
      </w:r>
      <w:r>
        <w:t xml:space="preserve">omainen, eivätkä sen tehtävät saa sekoittua </w:t>
      </w:r>
      <w:proofErr w:type="spellStart"/>
      <w:r>
        <w:t>FINE:n</w:t>
      </w:r>
      <w:proofErr w:type="spellEnd"/>
      <w:r>
        <w:t xml:space="preserve"> tehtävien kanssa. </w:t>
      </w:r>
      <w:r w:rsidRPr="00DC6397">
        <w:rPr>
          <w:b/>
        </w:rPr>
        <w:t>OM</w:t>
      </w:r>
      <w:r>
        <w:t xml:space="preserve"> toteaa lisäksi, että nykytilassa, jossa Finanssivalvonta informoi asiakkaita </w:t>
      </w:r>
      <w:proofErr w:type="spellStart"/>
      <w:r>
        <w:t>FINE:n</w:t>
      </w:r>
      <w:proofErr w:type="spellEnd"/>
      <w:r>
        <w:t xml:space="preserve"> palveluista ja seuraa </w:t>
      </w:r>
      <w:proofErr w:type="spellStart"/>
      <w:r>
        <w:t>FINE:n</w:t>
      </w:r>
      <w:proofErr w:type="spellEnd"/>
      <w:r>
        <w:t xml:space="preserve"> ratkaisusuosituksia, ei ole kysymys toimijoiden välisestä yhteistyöstä. Toimijoiden yhteistyön ei tule olla valvonnallista yhteistyötä. </w:t>
      </w:r>
      <w:r w:rsidRPr="00DC6397">
        <w:rPr>
          <w:b/>
        </w:rPr>
        <w:t>OM</w:t>
      </w:r>
      <w:r>
        <w:t xml:space="preserve"> suhtautuukin varauksellisesti ehdot</w:t>
      </w:r>
      <w:r>
        <w:t>e</w:t>
      </w:r>
      <w:r>
        <w:t>tun kaltaisen pykälän säätämiseen. Mikäli pykälä kuitenkin säädetään, yhteistoiminnan tul</w:t>
      </w:r>
      <w:r>
        <w:t>i</w:t>
      </w:r>
      <w:r>
        <w:t xml:space="preserve">si koskea kaikkia Suomessa toimivia </w:t>
      </w:r>
      <w:proofErr w:type="spellStart"/>
      <w:r>
        <w:t>ADR-direktiivin</w:t>
      </w:r>
      <w:proofErr w:type="spellEnd"/>
      <w:r>
        <w:t xml:space="preserve"> 2013/11/EU nojalla ilmoitettuja riida</w:t>
      </w:r>
      <w:r>
        <w:t>n</w:t>
      </w:r>
      <w:r>
        <w:t>ratkaisuelimiä, joiden toimivaltaan kuuluu rahoituspalveluita ja rahoitusvälineitä koskevien riita-asioiden ratkaiseminen.</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FINE</w:t>
      </w:r>
      <w:r>
        <w:t xml:space="preserve"> puolestaan pitää hyvänä, että yhteistyö valvojan ja vaihtoehtoisen riidanratkaisuel</w:t>
      </w:r>
      <w:r>
        <w:t>i</w:t>
      </w:r>
      <w:r>
        <w:t xml:space="preserve">men kanssa kirjataan lakiin. Finanssivalvonnan ja </w:t>
      </w:r>
      <w:proofErr w:type="spellStart"/>
      <w:r>
        <w:t>FINE:n</w:t>
      </w:r>
      <w:proofErr w:type="spellEnd"/>
      <w:r>
        <w:t xml:space="preserve"> ja niiden edeltäjien yhteistyö on jatkunut jo vuosikymmeniä ja on ollut vallitseva käytäntö.</w:t>
      </w:r>
    </w:p>
    <w:p w:rsidR="00ED7057" w:rsidRDefault="00ED7057" w:rsidP="00C16CD4">
      <w:pPr>
        <w:pStyle w:val="VMNormaaliSisentmtn"/>
        <w:ind w:left="1418"/>
        <w:jc w:val="both"/>
      </w:pPr>
    </w:p>
    <w:p w:rsidR="00ED7057" w:rsidRDefault="00ED7057" w:rsidP="00C16CD4">
      <w:pPr>
        <w:pStyle w:val="VMNormaaliSisentmtn"/>
        <w:ind w:left="1418"/>
        <w:jc w:val="both"/>
      </w:pPr>
      <w:r w:rsidRPr="00DC6397">
        <w:rPr>
          <w:b/>
        </w:rPr>
        <w:t>Finanssiala</w:t>
      </w:r>
      <w:r>
        <w:t xml:space="preserve"> huomauttaa, että sanktioiden määräämistä koskevasta vallitsevasta </w:t>
      </w:r>
      <w:r w:rsidRPr="00DC6397">
        <w:rPr>
          <w:i/>
        </w:rPr>
        <w:t xml:space="preserve">ne </w:t>
      </w:r>
      <w:proofErr w:type="spellStart"/>
      <w:r w:rsidRPr="00DC6397">
        <w:rPr>
          <w:i/>
        </w:rPr>
        <w:t>bis</w:t>
      </w:r>
      <w:proofErr w:type="spellEnd"/>
      <w:r w:rsidRPr="00DC6397">
        <w:rPr>
          <w:i/>
        </w:rPr>
        <w:t xml:space="preserve"> in </w:t>
      </w:r>
      <w:proofErr w:type="spellStart"/>
      <w:r w:rsidRPr="00DC6397">
        <w:rPr>
          <w:i/>
        </w:rPr>
        <w:t>idem</w:t>
      </w:r>
      <w:proofErr w:type="spellEnd"/>
      <w:r>
        <w:t xml:space="preserve"> -periaatteesta luovutaan, eli yhteisösakkojen ja sanktioiden määrääminen tulee ma</w:t>
      </w:r>
      <w:r>
        <w:t>h</w:t>
      </w:r>
      <w:r>
        <w:t>dolliseksi yhtä aikaa. Tästä voimassa olevasta oikeusperiaatteesta poikkeamis</w:t>
      </w:r>
      <w:r w:rsidR="00DC6397">
        <w:t>ta ei peru</w:t>
      </w:r>
      <w:r w:rsidR="00DC6397">
        <w:t>s</w:t>
      </w:r>
      <w:r w:rsidR="00DC6397">
        <w:t xml:space="preserve">tella riittävästi.  </w:t>
      </w:r>
    </w:p>
    <w:p w:rsidR="00ED7057" w:rsidRDefault="00ED7057" w:rsidP="006F0DFF">
      <w:pPr>
        <w:pStyle w:val="VMOtsikko3"/>
        <w:jc w:val="both"/>
      </w:pPr>
      <w:r>
        <w:t>Erinäiset säännökset</w:t>
      </w:r>
    </w:p>
    <w:p w:rsidR="00ED7057" w:rsidRDefault="00ED7057" w:rsidP="00C16CD4">
      <w:pPr>
        <w:pStyle w:val="VMNormaaliSisentmtn"/>
        <w:ind w:left="1418"/>
        <w:jc w:val="both"/>
      </w:pPr>
      <w:r>
        <w:t xml:space="preserve">Ehdotetussa 73 §:ssä säädetään muutoksenhausta. </w:t>
      </w:r>
      <w:r w:rsidRPr="001E5B5C">
        <w:rPr>
          <w:b/>
        </w:rPr>
        <w:t>Finanssivalvonta</w:t>
      </w:r>
      <w:r>
        <w:t xml:space="preserve"> kannattaa ehdotu</w:t>
      </w:r>
      <w:r>
        <w:t>s</w:t>
      </w:r>
      <w:r>
        <w:t>ta siitä, että sen määräämistä hallinnollisista seuraamuksista valitettaisiin jatkossa markk</w:t>
      </w:r>
      <w:r>
        <w:t>i</w:t>
      </w:r>
      <w:r>
        <w:t>naoikeuden sijaan hallinto-oikeuteen.</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Myöskään </w:t>
      </w:r>
      <w:proofErr w:type="spellStart"/>
      <w:r w:rsidRPr="001E5B5C">
        <w:rPr>
          <w:b/>
        </w:rPr>
        <w:t>OM</w:t>
      </w:r>
      <w:r>
        <w:t>:llä</w:t>
      </w:r>
      <w:proofErr w:type="spellEnd"/>
      <w:r>
        <w:t xml:space="preserve"> ei ole huomauttamista siihen, että Finanssivalvonnan antamia hallinnoll</w:t>
      </w:r>
      <w:r>
        <w:t>i</w:t>
      </w:r>
      <w:r>
        <w:t xml:space="preserve">sia seuraamuksia koskevat valitukset ohjautuvat hallinto-oikeuteen. </w:t>
      </w:r>
      <w:r w:rsidRPr="001E5B5C">
        <w:rPr>
          <w:b/>
        </w:rPr>
        <w:t>OM</w:t>
      </w:r>
      <w:r>
        <w:t xml:space="preserve"> myös korostaa, e</w:t>
      </w:r>
      <w:r>
        <w:t>t</w:t>
      </w:r>
      <w:r>
        <w:t>tä Finanssivalvonnan päätöksiä koskevan muutoksenhakutien tulee olla selvä ja mahdoll</w:t>
      </w:r>
      <w:r>
        <w:t>i</w:t>
      </w:r>
      <w:r>
        <w:t>simman johdonmukainen sen suhteen, mikä on toimivaltainen tuomioistuin.</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1E5B5C">
        <w:rPr>
          <w:b/>
        </w:rPr>
        <w:t>MAO</w:t>
      </w:r>
      <w:r>
        <w:t>:n</w:t>
      </w:r>
      <w:proofErr w:type="spellEnd"/>
      <w:r>
        <w:t xml:space="preserve"> mukaan rahoitusmarkkinoihin liittyvän erityisasiantuntemuksen turvaaminen puoltaa nykytilan säilyttämistä siten, että Finanssivalvonnan määräämiin hallinnollisiin seuraamu</w:t>
      </w:r>
      <w:r>
        <w:t>k</w:t>
      </w:r>
      <w:r>
        <w:t>siin haetaan muutosta markkinaoikeudessa.  Muutoksenhakumahdollisuus kaikkiin hallinto-oikeuksiin ei turvaisi tarvittavaa erityisosaamista. Finanssivalvonnasta annetun lain säät</w:t>
      </w:r>
      <w:r>
        <w:t>ä</w:t>
      </w:r>
      <w:r>
        <w:t>misen ja uudistusten yhteydessä on pohdittu tarkoituksenmukaisinta valitustietä, eikä y</w:t>
      </w:r>
      <w:r>
        <w:t>h</w:t>
      </w:r>
      <w:r>
        <w:t xml:space="preserve">teiskunnassa </w:t>
      </w:r>
      <w:proofErr w:type="spellStart"/>
      <w:r w:rsidRPr="001E5B5C">
        <w:rPr>
          <w:b/>
        </w:rPr>
        <w:t>MAO</w:t>
      </w:r>
      <w:r>
        <w:t>:n</w:t>
      </w:r>
      <w:proofErr w:type="spellEnd"/>
      <w:r>
        <w:t xml:space="preserve"> näkemyksen mukaan ei ole tapahtunut sellaisia muutoksia, että te</w:t>
      </w:r>
      <w:r>
        <w:t>h</w:t>
      </w:r>
      <w:r>
        <w:t>tyä arviota olisi muutettava. Finanssivalvonta-asioiden käsittelystä markkinaoikeudessa</w:t>
      </w:r>
      <w:r w:rsidR="0025311D">
        <w:t xml:space="preserve"> ei</w:t>
      </w:r>
      <w:r>
        <w:t xml:space="preserve"> ole esitetty kritiikkiä ja lainvalmistelun johdonmukaisuus puoltaa nykyisen sääntelyn säily</w:t>
      </w:r>
      <w:r>
        <w:t>t</w:t>
      </w:r>
      <w:r>
        <w:t xml:space="preserve">tämistä.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KHO</w:t>
      </w:r>
      <w:r>
        <w:t xml:space="preserve"> on toistuvasti kiinnittänyt huomiota siihen, ettei ole tarkoituksenmukaista, että </w:t>
      </w:r>
      <w:r w:rsidR="00315903">
        <w:t>korkein hallinto-oikeus</w:t>
      </w:r>
      <w:r w:rsidRPr="006F0DFF">
        <w:t xml:space="preserve"> </w:t>
      </w:r>
      <w:r>
        <w:t>toimii ensimmäisenä muutoksenhakutuomioistuimena markkinaoikeuden määräämää seuraamusmaksua koskevissa asioissa, vaan korkeimman hallinto-oikeuden tulisi lakisääteisten tehtäviensä mukaisesti käyttää ylintä tuomiovaltaa hallintolainkäyttöas</w:t>
      </w:r>
      <w:r>
        <w:t>i</w:t>
      </w:r>
      <w:r>
        <w:t xml:space="preserve">oissa. </w:t>
      </w:r>
      <w:r w:rsidRPr="001E5B5C">
        <w:rPr>
          <w:b/>
        </w:rPr>
        <w:t>KHO</w:t>
      </w:r>
      <w:r>
        <w:t xml:space="preserve"> ei myöskään ole pitänyt perusteltuna, että markkinaoikeudelle osoitetaan ra</w:t>
      </w:r>
      <w:r>
        <w:t>t</w:t>
      </w:r>
      <w:r>
        <w:t xml:space="preserve">kaistavaksi hallinnollisia sanktioita koskevia hakemus- tai valitusasioita, jotka eivät liity muutoin markkinaoikeuden toimivaltaan kuuluviin oikeudenaloihin. Tähän nähden </w:t>
      </w:r>
      <w:r w:rsidRPr="001E5B5C">
        <w:rPr>
          <w:b/>
        </w:rPr>
        <w:t>KHO</w:t>
      </w:r>
      <w:r>
        <w:t xml:space="preserve"> p</w:t>
      </w:r>
      <w:r>
        <w:t>i</w:t>
      </w:r>
      <w:r>
        <w:t xml:space="preserve">tää ehdotettua muutosta perusteltuna.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Finanssivalvonta</w:t>
      </w:r>
      <w:r>
        <w:t xml:space="preserve"> vastustaa ehdotusta, jonka mukaan myös muut hallinto-oikeudet kuin Helsingin hallinto-oikeus voisivat käsitellä Finanssivalvonnan päätöksistä tehtyjä valituksia. Kysymys on erityisosaamista vaativista asioista, mikä edellyttää valitusten keskittämistä y</w:t>
      </w:r>
      <w:r>
        <w:t>h</w:t>
      </w:r>
      <w:r>
        <w:t>teen valitusinstanssiin eli Helsingin hallinto-oikeuteen.</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 </w:t>
      </w:r>
      <w:r w:rsidRPr="001E5B5C">
        <w:rPr>
          <w:b/>
        </w:rPr>
        <w:t>OM</w:t>
      </w:r>
      <w:r>
        <w:t xml:space="preserve"> kiinnittää huomiota siihen, että ehdotettu muutos, jonka mukaan valitusten käsi</w:t>
      </w:r>
      <w:r>
        <w:t>t</w:t>
      </w:r>
      <w:r>
        <w:t>telyä ei keskitettäisi Helsingin hallinto-oikeuteen, on ristiriidassa asiassa esitettyjen perust</w:t>
      </w:r>
      <w:r>
        <w:t>e</w:t>
      </w:r>
      <w:r>
        <w:t>luiden kanssa. Asioiden keskittäminen yhteen hallinto-oikeuteen olisi kannatettavaa, sillä asioissa on selkeä erityisasiantuntemuksen tarve ja valitusten ennustettu lukumäärä on h</w:t>
      </w:r>
      <w:r>
        <w:t>y</w:t>
      </w:r>
      <w:r>
        <w:t>vin vähäinen.</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KHO</w:t>
      </w:r>
      <w:r>
        <w:t xml:space="preserve"> katsoo, että huolimatta yleisestä tavoitteesta kehittää hallinto-oikeuksia tasavahvoina yleisinä hallintotuomioistuimina ehdotuksessa tarkoitetun lainsäädännön edellyttämä er</w:t>
      </w:r>
      <w:r>
        <w:t>i</w:t>
      </w:r>
      <w:r>
        <w:t>tyisasiantuntemus ja valitusasioiden oletettavasti vähäinen lukumäärä huomioon ottaen F</w:t>
      </w:r>
      <w:r>
        <w:t>i</w:t>
      </w:r>
      <w:r>
        <w:t>nanssivalvonnan päätöksistä tehtävien valitusten käsittely olisi jatkossakin aiheellista ke</w:t>
      </w:r>
      <w:r>
        <w:t>s</w:t>
      </w:r>
      <w:r>
        <w:t>kittää yhdelle hallinto-oikeudelle, jonka ei kuitenkaan välttämättä tulisi olla Helsingin halli</w:t>
      </w:r>
      <w:r>
        <w:t>n</w:t>
      </w:r>
      <w:r>
        <w:t xml:space="preserve">to-oikeus.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Esitysluonnoksen mukaan Finanssivalvonnan päätökseen haetaan muutosta valittamalla hallinto-lainkäyttölain mukaisesti, mikä tarkoittaa valitusoikeutta korkeimpaan hallinto-oikeuteen. </w:t>
      </w:r>
      <w:r w:rsidRPr="001E5B5C">
        <w:rPr>
          <w:b/>
        </w:rPr>
        <w:t>OM</w:t>
      </w:r>
      <w:r>
        <w:t xml:space="preserve"> puoltaa valituslupaan perustuvaa sääntelyvaihtoehtoa lisättäväksi 73 §:n 1 momenttiin. Esimerkiksi perustuslakivaliokunta on käytännössään katsonut, ettei valitusl</w:t>
      </w:r>
      <w:r>
        <w:t>u</w:t>
      </w:r>
      <w:r>
        <w:t>pasääntely ole poissuljettua silloinkaan, kun kysymys on hallinnollista seuraamusta kosk</w:t>
      </w:r>
      <w:r>
        <w:t>e</w:t>
      </w:r>
      <w:r>
        <w:t xml:space="preserve">vasta asiasta. </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Myös </w:t>
      </w:r>
      <w:r w:rsidRPr="001E5B5C">
        <w:rPr>
          <w:b/>
        </w:rPr>
        <w:t>KHO</w:t>
      </w:r>
      <w:r>
        <w:t xml:space="preserve"> toteaa, että hallintolainkäytön kehittämisen yleisenä suuntaviivana on, että ja</w:t>
      </w:r>
      <w:r>
        <w:t>t</w:t>
      </w:r>
      <w:r>
        <w:t>kovalitus hallinto-oikeuden päätöksestä korkeimpaan hallinto-oikeuteen säädetään valitu</w:t>
      </w:r>
      <w:r>
        <w:t>s</w:t>
      </w:r>
      <w:r>
        <w:t xml:space="preserve">luvan myöntämistä edellyttäväksi. </w:t>
      </w:r>
      <w:r w:rsidRPr="001E5B5C">
        <w:rPr>
          <w:b/>
        </w:rPr>
        <w:t>KHO</w:t>
      </w:r>
      <w:r>
        <w:t>:n käsityksen mukaan tästä lähtökohdasta ei ole syytä poiketa koskien valittamista hallinto-oikeuden Finanssivalvonnan päätöksestä tehdyn valituksen johdosta antamaan päätökseen. Edelleen tulisi valituslupaa edellyttää myös val</w:t>
      </w:r>
      <w:r>
        <w:t>i</w:t>
      </w:r>
      <w:r>
        <w:t>tettaessa korkeimpaan hallinto-oikeuteen hallinto-oikeuden päätöksestä, joka on annettu valtiovarainministeriön kaupankäynnistä rahoitusvälineillä annetun lain</w:t>
      </w:r>
      <w:r w:rsidR="00315903">
        <w:t xml:space="preserve"> 11 luvun</w:t>
      </w:r>
      <w:r>
        <w:t xml:space="preserve"> 1 §:ssä tarkoitetusta päätöksestä tehdyn valituksen johdosta. </w:t>
      </w:r>
    </w:p>
    <w:p w:rsidR="006F0DFF" w:rsidRDefault="006F0DFF" w:rsidP="00C16CD4">
      <w:pPr>
        <w:pStyle w:val="VMNormaaliSisentmtn"/>
        <w:ind w:left="1418"/>
        <w:jc w:val="both"/>
      </w:pPr>
    </w:p>
    <w:p w:rsidR="00ED7057" w:rsidRDefault="00ED7057" w:rsidP="00C16CD4">
      <w:pPr>
        <w:pStyle w:val="VMOtsikko2"/>
        <w:jc w:val="both"/>
      </w:pPr>
      <w:r>
        <w:t xml:space="preserve">3.4 </w:t>
      </w:r>
      <w:r w:rsidR="00443424">
        <w:t>Laki joukkorahoituslain muuttamisesta</w:t>
      </w:r>
      <w:r>
        <w:t xml:space="preserve"> </w:t>
      </w:r>
    </w:p>
    <w:p w:rsidR="00ED7057" w:rsidRDefault="00ED7057" w:rsidP="006F0DFF">
      <w:pPr>
        <w:pStyle w:val="VMOtsikko3"/>
        <w:jc w:val="both"/>
      </w:pPr>
      <w:r>
        <w:t xml:space="preserve">Yleiset kommentit </w:t>
      </w:r>
    </w:p>
    <w:p w:rsidR="00ED7057" w:rsidRDefault="00ED7057" w:rsidP="00C16CD4">
      <w:pPr>
        <w:pStyle w:val="VMNormaaliSisentmtn"/>
        <w:ind w:left="1418"/>
        <w:jc w:val="both"/>
      </w:pPr>
      <w:r>
        <w:t>Useat lausunnonantajat lausuivat joukkorahoituslakiin ehdotetuista muutoksis</w:t>
      </w:r>
      <w:r w:rsidR="001E5B5C">
        <w:t>ta. Suuri osa lausun</w:t>
      </w:r>
      <w:r>
        <w:t>noista koski MIFID II:n 3 artiklan tulkintaa. Suurin osa lausunnonantajista joko n</w:t>
      </w:r>
      <w:r>
        <w:t>i</w:t>
      </w:r>
      <w:r>
        <w:t>menomaisesti kannatt</w:t>
      </w:r>
      <w:r w:rsidR="009D1253">
        <w:t>aa</w:t>
      </w:r>
      <w:r>
        <w:t xml:space="preserve"> ehdotusta sijoitusmuotoisen joukkorahoituksen välittäjän rekist</w:t>
      </w:r>
      <w:r w:rsidR="001E5B5C">
        <w:t>e</w:t>
      </w:r>
      <w:r w:rsidR="001E5B5C">
        <w:t>röintivaatimuksen muut</w:t>
      </w:r>
      <w:r>
        <w:t>tamista toimilupavaatimukseksi (</w:t>
      </w:r>
      <w:r w:rsidRPr="001E5B5C">
        <w:rPr>
          <w:b/>
        </w:rPr>
        <w:t>OP</w:t>
      </w:r>
      <w:r>
        <w:t xml:space="preserve">, </w:t>
      </w:r>
      <w:r w:rsidRPr="001E5B5C">
        <w:rPr>
          <w:b/>
        </w:rPr>
        <w:t>Finanssivalvonta</w:t>
      </w:r>
      <w:r>
        <w:t xml:space="preserve">, </w:t>
      </w:r>
      <w:r w:rsidRPr="001E5B5C">
        <w:rPr>
          <w:b/>
        </w:rPr>
        <w:t>Finan</w:t>
      </w:r>
      <w:r w:rsidRPr="001E5B5C">
        <w:rPr>
          <w:b/>
        </w:rPr>
        <w:t>s</w:t>
      </w:r>
      <w:r w:rsidRPr="001E5B5C">
        <w:rPr>
          <w:b/>
        </w:rPr>
        <w:t>siala</w:t>
      </w:r>
      <w:r>
        <w:t xml:space="preserve">, </w:t>
      </w:r>
      <w:proofErr w:type="spellStart"/>
      <w:proofErr w:type="gramStart"/>
      <w:r w:rsidRPr="001E5B5C">
        <w:rPr>
          <w:b/>
        </w:rPr>
        <w:t>FiBAN</w:t>
      </w:r>
      <w:proofErr w:type="spellEnd"/>
      <w:proofErr w:type="gramEnd"/>
      <w:r>
        <w:t xml:space="preserve">, </w:t>
      </w:r>
      <w:proofErr w:type="spellStart"/>
      <w:r w:rsidRPr="001E5B5C">
        <w:rPr>
          <w:b/>
        </w:rPr>
        <w:t>Invesdor</w:t>
      </w:r>
      <w:proofErr w:type="spellEnd"/>
      <w:r w:rsidR="001E5B5C">
        <w:t xml:space="preserve"> ja </w:t>
      </w:r>
      <w:r w:rsidR="001E5B5C" w:rsidRPr="001E5B5C">
        <w:rPr>
          <w:b/>
        </w:rPr>
        <w:t>Pörs</w:t>
      </w:r>
      <w:r w:rsidRPr="001E5B5C">
        <w:rPr>
          <w:b/>
        </w:rPr>
        <w:t>sisäätiö</w:t>
      </w:r>
      <w:r>
        <w:t>) tai ei siitä lausu. Osa lausunnonantajista sen s</w:t>
      </w:r>
      <w:r>
        <w:t>i</w:t>
      </w:r>
      <w:r>
        <w:t>jaan vastust</w:t>
      </w:r>
      <w:r w:rsidR="009D1253">
        <w:t>aa</w:t>
      </w:r>
      <w:r w:rsidR="005B2944">
        <w:t xml:space="preserve"> ehdotusta</w:t>
      </w:r>
      <w:r>
        <w:t xml:space="preserve"> tai ky</w:t>
      </w:r>
      <w:r w:rsidR="001E5B5C">
        <w:t>seenalais</w:t>
      </w:r>
      <w:r w:rsidR="009D1253">
        <w:t>taa</w:t>
      </w:r>
      <w:r w:rsidR="001E5B5C">
        <w:t xml:space="preserve"> </w:t>
      </w:r>
      <w:r w:rsidR="005B2944">
        <w:t xml:space="preserve">sen </w:t>
      </w:r>
      <w:r>
        <w:t>(</w:t>
      </w:r>
      <w:r w:rsidRPr="001E5B5C">
        <w:rPr>
          <w:b/>
        </w:rPr>
        <w:t>Keskuskauppakamari</w:t>
      </w:r>
      <w:r>
        <w:t xml:space="preserve">, </w:t>
      </w:r>
      <w:r w:rsidRPr="001E5B5C">
        <w:rPr>
          <w:b/>
        </w:rPr>
        <w:t>Yrittäjät</w:t>
      </w:r>
      <w:r>
        <w:t xml:space="preserve">, </w:t>
      </w:r>
      <w:proofErr w:type="spellStart"/>
      <w:r w:rsidRPr="001E5B5C">
        <w:rPr>
          <w:b/>
        </w:rPr>
        <w:t>Priv</w:t>
      </w:r>
      <w:r w:rsidRPr="001E5B5C">
        <w:rPr>
          <w:b/>
        </w:rPr>
        <w:t>a</w:t>
      </w:r>
      <w:r w:rsidRPr="001E5B5C">
        <w:rPr>
          <w:b/>
        </w:rPr>
        <w:t>net</w:t>
      </w:r>
      <w:proofErr w:type="spellEnd"/>
      <w:r>
        <w:t xml:space="preserve">, </w:t>
      </w:r>
      <w:r w:rsidRPr="001E5B5C">
        <w:rPr>
          <w:b/>
        </w:rPr>
        <w:t>Kallio</w:t>
      </w:r>
      <w:r>
        <w:t xml:space="preserve">, </w:t>
      </w:r>
      <w:r w:rsidRPr="001E5B5C">
        <w:rPr>
          <w:b/>
        </w:rPr>
        <w:t>Asianajajaliitto</w:t>
      </w:r>
      <w:r w:rsidR="001E5B5C">
        <w:t xml:space="preserve">, </w:t>
      </w:r>
      <w:r w:rsidR="001E5B5C" w:rsidRPr="001E5B5C">
        <w:rPr>
          <w:b/>
        </w:rPr>
        <w:t>Joukkorahoitusyh</w:t>
      </w:r>
      <w:r w:rsidRPr="001E5B5C">
        <w:rPr>
          <w:b/>
        </w:rPr>
        <w:t>distys</w:t>
      </w:r>
      <w:r>
        <w:t>).</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OP</w:t>
      </w:r>
      <w:r>
        <w:t xml:space="preserve"> pitää joukkorahoitusta koskevaan sääntelyyn tehtäviä muutoksia teknisluonteisina ja tarpeellisina.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Finanssivalvonta</w:t>
      </w:r>
      <w:r>
        <w:t xml:space="preserve"> kannattaa ehdotusta joukkorahoituslain ja sijoituspalvelulain välisen su</w:t>
      </w:r>
      <w:r>
        <w:t>h</w:t>
      </w:r>
      <w:r>
        <w:t>teen selkeyttämisestä. Ehdotettu lähestymistapa on onnistunut eikä olennaisesti muuttaisi joukkorahoituslakia säädettäessä valitt</w:t>
      </w:r>
      <w:r w:rsidR="001E5B5C">
        <w:t xml:space="preserve">ua lähestymistapaa. </w:t>
      </w:r>
      <w:r w:rsidR="001E5B5C" w:rsidRPr="001E5B5C">
        <w:rPr>
          <w:b/>
        </w:rPr>
        <w:t>Finanssival</w:t>
      </w:r>
      <w:r w:rsidRPr="001E5B5C">
        <w:rPr>
          <w:b/>
        </w:rPr>
        <w:t>vonta</w:t>
      </w:r>
      <w:r>
        <w:t xml:space="preserve"> kannattaa ehdotusta siitä, että toimiluvallinen joukkorahoituksen välittäjä saisi tarjota joukkorahoitu</w:t>
      </w:r>
      <w:r>
        <w:t>k</w:t>
      </w:r>
      <w:r>
        <w:t xml:space="preserve">sen välitystä ilman erillistä rekisteröintiä. Lain tehokkaan valvonnan näkökulmasta </w:t>
      </w:r>
      <w:r w:rsidRPr="001E5B5C">
        <w:rPr>
          <w:b/>
        </w:rPr>
        <w:t>Finan</w:t>
      </w:r>
      <w:r w:rsidRPr="001E5B5C">
        <w:rPr>
          <w:b/>
        </w:rPr>
        <w:t>s</w:t>
      </w:r>
      <w:r w:rsidRPr="001E5B5C">
        <w:rPr>
          <w:b/>
        </w:rPr>
        <w:t>sivalvonta</w:t>
      </w:r>
      <w:r>
        <w:t xml:space="preserve"> pitää kuitenkin välttämättömänä, että se saa tiedon joukkorahoituksen välitystä harjoittavista valvottavistaan. </w:t>
      </w:r>
      <w:r w:rsidRPr="001E5B5C">
        <w:rPr>
          <w:b/>
        </w:rPr>
        <w:t>Finanssivalvonta</w:t>
      </w:r>
      <w:r>
        <w:t xml:space="preserve"> katsoo, etteivät rahoitusvälineillä tapaht</w:t>
      </w:r>
      <w:r>
        <w:t>u</w:t>
      </w:r>
      <w:r>
        <w:t>van joukkorahoituksen välittäjän velvoitteet voi olla vähäisemmät kuin mitä muilla kuin r</w:t>
      </w:r>
      <w:r>
        <w:t>a</w:t>
      </w:r>
      <w:r>
        <w:t xml:space="preserve">hoitusvälineillä tapahtuvan joukkorahoituksen välittäjän velvoitteet ovat.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Finanssialan</w:t>
      </w:r>
      <w:r>
        <w:t xml:space="preserve"> mukaan on kannatettavaa, että joukkorahoituslakiin </w:t>
      </w:r>
      <w:r w:rsidR="001E5B5C">
        <w:t>ehdotettavilla muutoksi</w:t>
      </w:r>
      <w:r w:rsidR="001E5B5C">
        <w:t>l</w:t>
      </w:r>
      <w:r w:rsidR="001E5B5C">
        <w:t>la pyri</w:t>
      </w:r>
      <w:r>
        <w:t>tään selventämään lain ja sijoituspalvelulain suhdetta. Joukkorah</w:t>
      </w:r>
      <w:r w:rsidR="001E5B5C">
        <w:t>oituslain suhde mu</w:t>
      </w:r>
      <w:r w:rsidR="001E5B5C">
        <w:t>i</w:t>
      </w:r>
      <w:r w:rsidR="001E5B5C">
        <w:t>hin arvopape</w:t>
      </w:r>
      <w:r>
        <w:t>rimarkkinalainsäädännön säädöksiin kaipaisi kuitenkin vielä enemmän se</w:t>
      </w:r>
      <w:r>
        <w:t>l</w:t>
      </w:r>
      <w:r>
        <w:t>vennystä. Virheellisten tulkintojen välttämiseksi olisi erityisesti tarpeen selventää sitä, mitä sääntelyä sovelletaan sijoituspalveluita tarjoavaan luottolaitokseen, joka välittää sijoitu</w:t>
      </w:r>
      <w:r>
        <w:t>s</w:t>
      </w:r>
      <w:r>
        <w:t>muotoista joukkorahoitusta rahoitusvälineillä. Olisi lisäksi toivottavaa, että hallituksen es</w:t>
      </w:r>
      <w:r>
        <w:t>i</w:t>
      </w:r>
      <w:r>
        <w:t>tyksessä käsiteltäisiin lakia kaupankäynnistä rahoitusvälineillä ja kyseisen lain soveltuvuu</w:t>
      </w:r>
      <w:r>
        <w:t>t</w:t>
      </w:r>
      <w:r>
        <w:t>ta sijoitusmuotoiseen joukkorahoitukseen rahoitusvälineillä.</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proofErr w:type="gramStart"/>
      <w:r w:rsidRPr="001E5B5C">
        <w:rPr>
          <w:b/>
        </w:rPr>
        <w:t>FiBAN</w:t>
      </w:r>
      <w:proofErr w:type="spellEnd"/>
      <w:proofErr w:type="gramEnd"/>
      <w:r>
        <w:t xml:space="preserve"> kannattaa joukkorahoituslain ehdotettua muuttamista lisäämällä MIFID II:n muka</w:t>
      </w:r>
      <w:r>
        <w:t>i</w:t>
      </w:r>
      <w:r>
        <w:t xml:space="preserve">nen </w:t>
      </w:r>
      <w:r w:rsidR="001E5B5C">
        <w:t>toi</w:t>
      </w:r>
      <w:r>
        <w:t xml:space="preserve">milupavaatimus sijoitusmuotoisen joukkorahoituksen välittäjälle. </w:t>
      </w:r>
      <w:proofErr w:type="spellStart"/>
      <w:proofErr w:type="gramStart"/>
      <w:r w:rsidRPr="001E5B5C">
        <w:rPr>
          <w:b/>
        </w:rPr>
        <w:t>FiBAN</w:t>
      </w:r>
      <w:proofErr w:type="spellEnd"/>
      <w:proofErr w:type="gramEnd"/>
      <w:r w:rsidRPr="001E5B5C">
        <w:rPr>
          <w:b/>
        </w:rPr>
        <w:t xml:space="preserve"> </w:t>
      </w:r>
      <w:r>
        <w:t>tuo kuitenkin esiin, että luvan saanti on kallista ja rajaa toimijoiden määrää luomalla kynnyksen tulla markkinoille. Suomen pienen kotimarkkinakoon takia on pohdittava, luodaanko kansainväl</w:t>
      </w:r>
      <w:r>
        <w:t>i</w:t>
      </w:r>
      <w:r>
        <w:t>sesti laadituilla kulu- ja vaatimustasoilla suomalaisille toimijoille vaikeuksia aloittaa tai k</w:t>
      </w:r>
      <w:r>
        <w:t>o</w:t>
      </w:r>
      <w:r>
        <w:t>konaan toimia Suomen markkinoilla.</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1E5B5C">
        <w:rPr>
          <w:b/>
        </w:rPr>
        <w:t>Invesdor</w:t>
      </w:r>
      <w:proofErr w:type="spellEnd"/>
      <w:r>
        <w:t xml:space="preserve"> tuo esiin, että joukkorahoituslakiin tehtävät muutokset o</w:t>
      </w:r>
      <w:r w:rsidR="001E5B5C">
        <w:t>vat välttämättömiä, sillä nykyi</w:t>
      </w:r>
      <w:r>
        <w:t>sessä muodossaan laki olisi EU-lainsäädännön vastainen. Yritykset kuitenkin kaipa</w:t>
      </w:r>
      <w:r>
        <w:t>a</w:t>
      </w:r>
      <w:r>
        <w:t xml:space="preserve">vat lainsäädäntöön ennustettavuutta ja selkeyttä, jotta toiminta voidaan perustaa kestävälle pohjalle. Joukkorahoituslain vesittymistä ei kansallisella tasolla voi estää. Sen sijaan </w:t>
      </w:r>
      <w:proofErr w:type="spellStart"/>
      <w:r w:rsidRPr="001E5B5C">
        <w:rPr>
          <w:b/>
        </w:rPr>
        <w:t>I</w:t>
      </w:r>
      <w:r w:rsidRPr="001E5B5C">
        <w:rPr>
          <w:b/>
        </w:rPr>
        <w:t>n</w:t>
      </w:r>
      <w:r w:rsidRPr="001E5B5C">
        <w:rPr>
          <w:b/>
        </w:rPr>
        <w:t>vesdorin</w:t>
      </w:r>
      <w:proofErr w:type="spellEnd"/>
      <w:r>
        <w:t xml:space="preserve"> näkemyksen mukaan olisi vältettävä sitä, että Suomessa luodaan EU-sääntelyn asettamia vaatimuksia tiukempia kansallisia sääntöjä. Lisäksi toimijoiden asemaa voisi he</w:t>
      </w:r>
      <w:r>
        <w:t>l</w:t>
      </w:r>
      <w:r>
        <w:t xml:space="preserve">pottaa niissä asioissa, joista voidaan säätää kansallisesti.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Pörssisäätiö</w:t>
      </w:r>
      <w:r>
        <w:t xml:space="preserve"> kannattaa ehdotettua muutosta, jonka mukaan jatkossa sijoitusmuotoisen joukkorahoituksen tarjoajilta vaaditaan aikaisemman rekisteröinnin sijaan toimilupa. Nopeat sääntelymuutokset ovat markkinatoimijoiden kannalta epätoivottavina, mutta </w:t>
      </w:r>
      <w:r w:rsidRPr="001E5B5C">
        <w:rPr>
          <w:b/>
        </w:rPr>
        <w:t>Pörssisäätiö</w:t>
      </w:r>
      <w:r>
        <w:t xml:space="preserve"> kannattaa silti esitettyä muutosta. Suomen osinkoverotusjärjestelmän johdosta sijoittaja ei tee sijoituspäätöstään puhtaasti arvioimansa riskin ja tuotto-odotuksen perusteella, sillä v</w:t>
      </w:r>
      <w:r>
        <w:t>e</w:t>
      </w:r>
      <w:r>
        <w:t xml:space="preserve">rokohtelu vääristää tilannetta listaamattomien yritysten hyväksi. Tämän vuoksi on erityisen tärkeää juuri Suomessa kiinnittää huomiota myös listaamattomiin osakkeisiin sijoittavien ei-ammattimaisten asiakkaiden sijoittajansuojaan. </w:t>
      </w:r>
      <w:r w:rsidRPr="001E5B5C">
        <w:rPr>
          <w:b/>
        </w:rPr>
        <w:t>Pörssisäätiö</w:t>
      </w:r>
      <w:r>
        <w:t xml:space="preserve"> pitää ehdotettua kevyempää toimilupamenettelyä hieman epäselvänä ja mahdollisesti tarpeettomana</w:t>
      </w:r>
      <w:r w:rsidR="007D704B">
        <w:t>.</w:t>
      </w:r>
      <w:r>
        <w:t xml:space="preserve"> On tärkeää, että direktiivin perusperiaatteita noudatetaan myös mahdollisessa kevyemmässä mallissa. Näitä perusperiaatteita ovat esimerkiksi sijoitusneuvojien pätevyysvaatimus ja kannustinkielto, jotka vähintään tulisi lisätä vaatimuksiin. </w:t>
      </w:r>
    </w:p>
    <w:p w:rsidR="00ED7057" w:rsidRDefault="00ED7057" w:rsidP="00C16CD4">
      <w:pPr>
        <w:pStyle w:val="VMNormaaliSisentmtn"/>
        <w:ind w:left="1418"/>
        <w:jc w:val="both"/>
      </w:pPr>
    </w:p>
    <w:p w:rsidR="00ED7057" w:rsidRDefault="00ED7057" w:rsidP="00C16CD4">
      <w:pPr>
        <w:pStyle w:val="VMNormaaliSisentmtn"/>
        <w:ind w:left="1418"/>
        <w:jc w:val="both"/>
      </w:pPr>
      <w:r w:rsidRPr="001E5B5C">
        <w:rPr>
          <w:b/>
        </w:rPr>
        <w:t>OM</w:t>
      </w:r>
      <w:r>
        <w:t xml:space="preserve"> tukee pyrkimystä selkeyttää joukkorahoituslain suhde muuhun EU-säädöksiin perust</w:t>
      </w:r>
      <w:r>
        <w:t>u</w:t>
      </w:r>
      <w:r>
        <w:t xml:space="preserve">vaan kansalliseen sääntelyyn. </w:t>
      </w:r>
      <w:r w:rsidRPr="001E5B5C">
        <w:rPr>
          <w:b/>
        </w:rPr>
        <w:t>OM</w:t>
      </w:r>
      <w:r>
        <w:t xml:space="preserve"> esittää kuitenkin vielä harkittavaksi, voisiko selkeyttäm</w:t>
      </w:r>
      <w:r>
        <w:t>i</w:t>
      </w:r>
      <w:r>
        <w:t>sen toteuttaa teknisesti toisella tavalla, joka sopisi voimassa</w:t>
      </w:r>
      <w:r w:rsidR="00AE7899">
        <w:t xml:space="preserve"> </w:t>
      </w:r>
      <w:r>
        <w:t>olevan lain rakenteeseen p</w:t>
      </w:r>
      <w:r>
        <w:t>a</w:t>
      </w:r>
      <w:r>
        <w:t xml:space="preserve">remmin.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647246">
        <w:rPr>
          <w:b/>
        </w:rPr>
        <w:t>TEM</w:t>
      </w:r>
      <w:r w:rsidR="00E63FA8">
        <w:t>:n</w:t>
      </w:r>
      <w:proofErr w:type="spellEnd"/>
      <w:r w:rsidR="00E63FA8">
        <w:t xml:space="preserve"> näkemyksen mukaan</w:t>
      </w:r>
      <w:r>
        <w:t xml:space="preserve"> joukkorahoituslakiin esitetty toimilupavelvoite lisää läpinäk</w:t>
      </w:r>
      <w:r>
        <w:t>y</w:t>
      </w:r>
      <w:r>
        <w:t>vyyttä, mutta saattaa toisaalta nostaa uusien toimijoiden alle tulon kynnystä ja siten hida</w:t>
      </w:r>
      <w:r>
        <w:t>s</w:t>
      </w:r>
      <w:r>
        <w:t xml:space="preserve">taa joukkorahoitusmarkkinoiden kehitystä.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EK</w:t>
      </w:r>
      <w:r>
        <w:t xml:space="preserve"> katsoo, että esitys kaipaa täsmentämistä ja perustelujen laajentamista siltä osin kuin si</w:t>
      </w:r>
      <w:r>
        <w:t>l</w:t>
      </w:r>
      <w:r>
        <w:t>lä määritellään voimassa olevan kansallisen joukkorahoituslain suhdetta uudistuvaan sijo</w:t>
      </w:r>
      <w:r>
        <w:t>i</w:t>
      </w:r>
      <w:r>
        <w:t>tuspalvelulakiin ja ylipäätään arvopaperimarkkinasääntelyyn.</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Keskuskauppakamarin</w:t>
      </w:r>
      <w:r>
        <w:t xml:space="preserve"> mukaan esitysluonnoksen perusteluista välittyy käsitys, jonka m</w:t>
      </w:r>
      <w:r>
        <w:t>u</w:t>
      </w:r>
      <w:r>
        <w:t>kaan MIFID II:n 3 artikla ehdottomasti ja vailla tulkinnanmahdollisuutta edellyttäisi ehdote</w:t>
      </w:r>
      <w:r>
        <w:t>t</w:t>
      </w:r>
      <w:r>
        <w:t xml:space="preserve">tua toimilupamenettelyä. Keskuskauppakamarin näkemyksen mukaan tämä väite vaikuttaa saatavilla olevin tiedoin kyseenalaiselta. </w:t>
      </w:r>
      <w:r w:rsidRPr="00647246">
        <w:rPr>
          <w:b/>
        </w:rPr>
        <w:t>Keskuskauppakamari</w:t>
      </w:r>
      <w:r>
        <w:t xml:space="preserve"> on huolissaan siitä, onko lainvalmistelussa riittävällä tavalla varmistettu, että kaikki esitetyt muutokset ovat todella välttämättömiä direktiivin implementoimiseksi. Jo nykyisen joukkorahoituslain valmistelussa on katsottu kyseisen artiklan tarjoavan tulkintamahdollisuuksia. Lisäksi esitysluonnoksessa ei oteta lainkaan kantaa voimassa olevan joukkorahoituslain perusteluissa esitettyyn tulki</w:t>
      </w:r>
      <w:r>
        <w:t>n</w:t>
      </w:r>
      <w:r>
        <w:t>taan, jonka mukaan nykyinen rekisteröintimenettely on katsottava luvanvaraisuutta vasta</w:t>
      </w:r>
      <w:r>
        <w:t>a</w:t>
      </w:r>
      <w:r>
        <w:t xml:space="preserve">vaksi menettelyksi. Esitysluonnoksessa ei perustella, miksi joukkorahoituslain yhteydessä omaksuttu tulkinta olisi virheellinen.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Yrittäjien</w:t>
      </w:r>
      <w:r>
        <w:t xml:space="preserve"> näkemyksen mukaan sijoitusmuotoisen joukkorahoituksen välittäjän toimilup</w:t>
      </w:r>
      <w:r>
        <w:t>a</w:t>
      </w:r>
      <w:r>
        <w:t>vaatimus käytännössä vesittäisi koko joukkorahoituslain, kun sijoitusmuotoista joukkoraho</w:t>
      </w:r>
      <w:r>
        <w:t>i</w:t>
      </w:r>
      <w:r>
        <w:t xml:space="preserve">tusta ei voisi tarjota enää rekisteröitymisen perusteella. </w:t>
      </w:r>
      <w:r w:rsidRPr="00647246">
        <w:rPr>
          <w:b/>
        </w:rPr>
        <w:t>Yrittäjien</w:t>
      </w:r>
      <w:r>
        <w:t xml:space="preserve"> mukaan esitysluonnos näyttäisi lisäksi johtavan tilanteeseen, jossa sellaisen toimijan, joka tarjoaa sekä laina- että sijoitusmuotoista joukkorahoitusta, pitää sekä rekisteröityä että hakea toimilupaa Finanss</w:t>
      </w:r>
      <w:r>
        <w:t>i</w:t>
      </w:r>
      <w:r>
        <w:t>valvonnalta. Tällainen päällekkäinen hallinnollinen taakka on tarpeeton ja tulee toteutue</w:t>
      </w:r>
      <w:r>
        <w:t>s</w:t>
      </w:r>
      <w:r>
        <w:t xml:space="preserve">saan rajusti leikkaamaan joukkorahoituksen välitystä. </w:t>
      </w:r>
      <w:r w:rsidRPr="00647246">
        <w:rPr>
          <w:b/>
        </w:rPr>
        <w:t>Yrittäjien</w:t>
      </w:r>
      <w:r>
        <w:t xml:space="preserve"> käsityksen mukaan mu</w:t>
      </w:r>
      <w:r>
        <w:t>u</w:t>
      </w:r>
      <w:r>
        <w:t xml:space="preserve">tosehdotuksen perusteena oleva MIFID II:n 3 artikla ei edellytä ehdotettua muutosta. </w:t>
      </w:r>
      <w:r w:rsidRPr="00647246">
        <w:rPr>
          <w:b/>
        </w:rPr>
        <w:t>Yri</w:t>
      </w:r>
      <w:r w:rsidRPr="00647246">
        <w:rPr>
          <w:b/>
        </w:rPr>
        <w:t>t</w:t>
      </w:r>
      <w:r w:rsidRPr="00647246">
        <w:rPr>
          <w:b/>
        </w:rPr>
        <w:t>täjät</w:t>
      </w:r>
      <w:r>
        <w:t xml:space="preserve"> pitää joukkorahoituslakia koskevaa esitysluonnosta kokonaisuutena vaillinaisesti va</w:t>
      </w:r>
      <w:r>
        <w:t>l</w:t>
      </w:r>
      <w:r>
        <w:t>misteltuna ja monilta osin hallitusohjelman ja kärkihankkeiden vastaisena.</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6F0DFF">
        <w:rPr>
          <w:b/>
        </w:rPr>
        <w:t>Privanet</w:t>
      </w:r>
      <w:proofErr w:type="spellEnd"/>
      <w:r>
        <w:t xml:space="preserve"> vastustaa joukkorahoituslain muutosesitystä. Muutosehdotus on tehty kuulematta toimialaa tai etujärjestöjä, ja sillä on voimakkaita haitallisia vaikutuksia kotimaiseen vaiht</w:t>
      </w:r>
      <w:r>
        <w:t>o</w:t>
      </w:r>
      <w:r>
        <w:t xml:space="preserve">ehtoisen rahoituksen </w:t>
      </w:r>
      <w:proofErr w:type="spellStart"/>
      <w:r>
        <w:t>markk</w:t>
      </w:r>
      <w:r w:rsidR="00647246">
        <w:t>i</w:t>
      </w:r>
      <w:r>
        <w:t>naan</w:t>
      </w:r>
      <w:proofErr w:type="spellEnd"/>
      <w:r>
        <w:t>. Muutosehdotuksen liityntä direktiiviin on vähäinen ja m</w:t>
      </w:r>
      <w:r>
        <w:t>o</w:t>
      </w:r>
      <w:r>
        <w:t>nilta osin keinotekoinen. MIFID II:n 3 artikla antaa direktiivissä asetetuin reunaehdoin j</w:t>
      </w:r>
      <w:r>
        <w:t>ä</w:t>
      </w:r>
      <w:r>
        <w:t>senvaltioille mahdollisuuden olla soveltamatta sääntelyä tietynlaiseen toimintaan, kuten Suomessa sijoitusmuotoiseen joukkorahoitukseen. Ehdotuksessa ei myöskään ole otettu riittävällä tavalla huomioon hallitusohjelman kirjauksia joukkorahoituksen tukemisesta ja sääntelykehikon pitämisestä joustavana, vaikka direktiivin täytäntöönpanon yhteydessä t</w:t>
      </w:r>
      <w:r>
        <w:t>ä</w:t>
      </w:r>
      <w:r>
        <w:t xml:space="preserve">mä olisi mahdollista. Muutosehdotus vaikuttaa olevan laadittu kiireessä ja ilman riittävää joukkorahoitusmarkkinoita koskevaa asiantuntemusta. </w:t>
      </w:r>
      <w:proofErr w:type="spellStart"/>
      <w:r w:rsidRPr="00647246">
        <w:rPr>
          <w:b/>
        </w:rPr>
        <w:t>Privanet</w:t>
      </w:r>
      <w:proofErr w:type="spellEnd"/>
      <w:r w:rsidRPr="00647246">
        <w:rPr>
          <w:b/>
        </w:rPr>
        <w:t xml:space="preserve"> </w:t>
      </w:r>
      <w:r>
        <w:t xml:space="preserve">pitää joukkorahoituslain muutosehdotuksen valmisteluprosessia kaiken kaikkiaan todella epätavallisena ja monelta osin keskeisten avoimen lainvalmistelun ja demokratiaperiaatteiden vastaisena. </w:t>
      </w:r>
      <w:proofErr w:type="spellStart"/>
      <w:r w:rsidRPr="00647246">
        <w:rPr>
          <w:b/>
        </w:rPr>
        <w:t>Privanet</w:t>
      </w:r>
      <w:proofErr w:type="spellEnd"/>
      <w:r w:rsidRPr="00647246">
        <w:rPr>
          <w:b/>
        </w:rPr>
        <w:t xml:space="preserve"> </w:t>
      </w:r>
      <w:r>
        <w:t>toivoo, että muutosehdotuksen valmistelun taustat ja niiden tarkoitusperät selvitetään hu</w:t>
      </w:r>
      <w:r>
        <w:t>o</w:t>
      </w:r>
      <w:r>
        <w:t xml:space="preserve">lellisesti ja avoimesti riippumattoman tahon toimesta.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Asianajajaliitto</w:t>
      </w:r>
      <w:r>
        <w:t xml:space="preserve"> ei ole täysin samaa mieltä siitä, miten esitysluonnoksessa on tulkittu MIFID II:n 3 artiklassa lueteltujen vaatimusten pakottavuutta. Direktiivi näyttäisi vaativan ainoa</w:t>
      </w:r>
      <w:r>
        <w:t>s</w:t>
      </w:r>
      <w:r>
        <w:t xml:space="preserve">taan, että 3 artiklan mukaisiin toimijoihin tulisi soveltaa kansallisia vaatimuksia, jotka ovat vähintään verrattavissa tiettyihin direktiivin artikloihin. </w:t>
      </w:r>
      <w:r w:rsidRPr="00647246">
        <w:rPr>
          <w:b/>
        </w:rPr>
        <w:t>Asianajajaliiton</w:t>
      </w:r>
      <w:r>
        <w:t xml:space="preserve"> mukaan sijoitu</w:t>
      </w:r>
      <w:r>
        <w:t>s</w:t>
      </w:r>
      <w:r>
        <w:t>muotoista joukkorahoitusta koskevan sääntelyn uudistamista tulisi arvioida vielä nykyistä perusteellisemmin. MIFID II:n 3 artiklan implementoinnissa vaikuttaisi olevan tilaa kansall</w:t>
      </w:r>
      <w:r>
        <w:t>i</w:t>
      </w:r>
      <w:r>
        <w:t xml:space="preserve">selle liikkumavaralle enemmän kuin mitä esitysluonnoksessa esitetään. Ennakoitavuuden ja oikeusvarmuuden kannalta on ongelmallista, jos toimijoille asetetaan uusia vaatimuksia välittömästi ilman, että vaatimusten asettaminen on sääntelyn näkökulmasta yksiselitteisen ehdotonta. </w:t>
      </w:r>
      <w:r w:rsidRPr="00647246">
        <w:rPr>
          <w:b/>
        </w:rPr>
        <w:t xml:space="preserve">Asianajajaliitto </w:t>
      </w:r>
      <w:r>
        <w:t>toteaa myös yleisenä kommenttina, että joukkorahoitusta ta</w:t>
      </w:r>
      <w:r>
        <w:t>r</w:t>
      </w:r>
      <w:r>
        <w:t>joavien toimijoiden näkökulmasta on ongelmallista, että toimintaedellytyksiä koskeva mu</w:t>
      </w:r>
      <w:r>
        <w:t>u</w:t>
      </w:r>
      <w:r>
        <w:t xml:space="preserve">tos tehdään hetkellä, jolloin moni joukkorahoituksen tarjoaja on vasta rekisteröitymässä.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Kallion</w:t>
      </w:r>
      <w:r>
        <w:t xml:space="preserve"> mukaan kun tarkastellaan alkuperäisen joukkorahoituslain 9 ja 10 §:n sisältöä, a</w:t>
      </w:r>
      <w:r>
        <w:t>i</w:t>
      </w:r>
      <w:r>
        <w:t>noa merkittävä MIFID II:n asettama muutos näyttäisi liittyvän direktiivin 3 artiklan 2 kohdan täytäntöön panemiseen sijoitusmuotoisen joukkorahoituksen osalta. Muilta osin riittäisi sijo</w:t>
      </w:r>
      <w:r>
        <w:t>i</w:t>
      </w:r>
      <w:r>
        <w:t>tuspalvelulakiin tehtävien muutosten ottaminen huomioon korjaamalla tarvittavat pykälävii</w:t>
      </w:r>
      <w:r>
        <w:t>t</w:t>
      </w:r>
      <w:r>
        <w:t>taukset. Tältä osin muutosehdotus on selvästi ylimitoitettu ja sisältä huomattavaa lisäsää</w:t>
      </w:r>
      <w:r>
        <w:t>n</w:t>
      </w:r>
      <w:r>
        <w:t xml:space="preserve">telyä direktiivin tosiasiallisesti asettamiin edellytyksiin nähden. </w:t>
      </w:r>
      <w:r w:rsidRPr="00647246">
        <w:rPr>
          <w:b/>
        </w:rPr>
        <w:t>Kallion</w:t>
      </w:r>
      <w:r>
        <w:t xml:space="preserve"> mukaan ei ole syytä ennakollisesti heikentää hyväks</w:t>
      </w:r>
      <w:r w:rsidR="00E85A12">
        <w:t>i</w:t>
      </w:r>
      <w:r>
        <w:t xml:space="preserve"> havaittua kansallista lainsäädäntökehikkoa ennen kuin saadaan tarkempaa tietoa siitä, mihin suuntaan kansallista kehikkoa pitäisi ylipäätään MIFID II:n johdosta lähteä muuttamaan.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Joukkorahoitusyhdistyksen</w:t>
      </w:r>
      <w:r>
        <w:t xml:space="preserve"> näkemyksen mukaan valtiovarainministeriön tulkin</w:t>
      </w:r>
      <w:r w:rsidR="00647246">
        <w:t>ta MIFID II:n pa</w:t>
      </w:r>
      <w:r>
        <w:t>kollisista vaikutuksista joukkorahoituslakiin on virheellinen. Ehdotettu lakimuutos toisi tullessaan myös kokonaan uuden väliportaan osatoimiluvan kautta. Tämä uusi väliporras on tarpeeton ja luo Euroopan monimutkaisimman ja vaikeaselkoisimman lainsäädännöll</w:t>
      </w:r>
      <w:r>
        <w:t>i</w:t>
      </w:r>
      <w:r>
        <w:t>sen joukkorahoitusta koskevan kehikon. Uusi tulkintalinja vaikuttaa myös olevan ris</w:t>
      </w:r>
      <w:r w:rsidR="00647246">
        <w:t>tiriida</w:t>
      </w:r>
      <w:r w:rsidR="00647246">
        <w:t>s</w:t>
      </w:r>
      <w:r w:rsidR="00647246">
        <w:t>sa komission pääomamark</w:t>
      </w:r>
      <w:r>
        <w:t>kinaunionin puolivälitarkastelua koskevan tiedonannon kanssa.</w:t>
      </w:r>
    </w:p>
    <w:p w:rsidR="00ED7057" w:rsidRDefault="00ED7057" w:rsidP="00C16CD4">
      <w:pPr>
        <w:pStyle w:val="VMNormaaliSisentmtn"/>
        <w:ind w:left="1418"/>
        <w:jc w:val="both"/>
      </w:pPr>
    </w:p>
    <w:p w:rsidR="00ED7057" w:rsidRDefault="00ED7057" w:rsidP="00C16CD4">
      <w:pPr>
        <w:pStyle w:val="VMNormaaliSisentmtn"/>
        <w:ind w:left="1418"/>
        <w:jc w:val="both"/>
      </w:pPr>
      <w:r>
        <w:t xml:space="preserve">Lisäksi ehdotusten vaikutuksista ja vuorovaikutuksesta sidosryhmien kanssa lausuttiin. </w:t>
      </w:r>
      <w:r w:rsidR="00647246">
        <w:rPr>
          <w:b/>
        </w:rPr>
        <w:t>Joukkora</w:t>
      </w:r>
      <w:r w:rsidRPr="00647246">
        <w:rPr>
          <w:b/>
        </w:rPr>
        <w:t>hoitusyhdistyksen</w:t>
      </w:r>
      <w:r>
        <w:t xml:space="preserve"> mukaan tehdyt vaikutusarviot ovat puutteellisia, eikä todell</w:t>
      </w:r>
      <w:r>
        <w:t>i</w:t>
      </w:r>
      <w:r>
        <w:t>sia toimialaa koskevia vaikutuksia ole selvitetty ja arvioitu. Lisäksi lain valmi</w:t>
      </w:r>
      <w:r w:rsidR="00647246">
        <w:t>stelussa on tu</w:t>
      </w:r>
      <w:r w:rsidR="00647246">
        <w:t>l</w:t>
      </w:r>
      <w:r w:rsidR="00647246">
        <w:t>lut ilmi menette</w:t>
      </w:r>
      <w:r>
        <w:t xml:space="preserve">lyllisiä epäkohtia.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Kallion</w:t>
      </w:r>
      <w:r>
        <w:t xml:space="preserve"> mukaan vaikuttaa siltä, että muutosehdotus on valmisteltu kiireellä ja se perustuu monelta osin vakaviin väärinkäsityksiin EU-oikeuden asettamista vaatimuksista sekä jou</w:t>
      </w:r>
      <w:r>
        <w:t>k</w:t>
      </w:r>
      <w:r>
        <w:t>korahoituksesta rahoitusmuotona. Joukkorahoituslain muuttamisen yhteydes</w:t>
      </w:r>
      <w:r w:rsidR="00647246">
        <w:t>sä tulisi laatia tarkat ja yksi</w:t>
      </w:r>
      <w:r>
        <w:t xml:space="preserve">tyiskohtaiset vaikutusarviot muutosten vaikutuksista. </w:t>
      </w:r>
      <w:r w:rsidRPr="00647246">
        <w:rPr>
          <w:b/>
        </w:rPr>
        <w:t>Kallio</w:t>
      </w:r>
      <w:r>
        <w:t xml:space="preserve"> myös pitää mu</w:t>
      </w:r>
      <w:r>
        <w:t>u</w:t>
      </w:r>
      <w:r>
        <w:t xml:space="preserve">tosehdotusta monelta osin ennenaikaisena ja toteaa, että muutosehdotuksen oheen tulisi laatia kattava oikeusvertailu. </w:t>
      </w:r>
      <w:r w:rsidRPr="00647246">
        <w:rPr>
          <w:b/>
        </w:rPr>
        <w:t>Kallion</w:t>
      </w:r>
      <w:r>
        <w:t xml:space="preserve"> mukaan esimerkiksi muutosehdotuksen vastuuvalmi</w:t>
      </w:r>
      <w:r>
        <w:t>s</w:t>
      </w:r>
      <w:r>
        <w:t xml:space="preserve">telija on vaihdettu kesken muutosehdotuksen valmistelun, toimialaa tai etujärjestöjä ei ole kuultu, muita jäsenvaltioita ei ole konsultoitu ja komissioon ei olla oltu yhteydessä sääntelyn tulkinnan osalta.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Keskuskauppakamarin</w:t>
      </w:r>
      <w:r>
        <w:t xml:space="preserve"> mukaan ehdotetut muutokset vaikuttaisivat pohjautuvan ainakin osittain virheelliseen näkemykseen siitä, ettei muutoksilla olisi olennaista merkitystä toim</w:t>
      </w:r>
      <w:r>
        <w:t>i</w:t>
      </w:r>
      <w:r>
        <w:t xml:space="preserve">alaan ja joukkorahoitusmarkkinoiden toimintaedellytyksiin. </w:t>
      </w:r>
      <w:r w:rsidRPr="00647246">
        <w:rPr>
          <w:b/>
        </w:rPr>
        <w:t>Keskuskauppakamari</w:t>
      </w:r>
      <w:r>
        <w:t xml:space="preserve"> pitää merkittävä puutteena sitä, että perusteluissa ei ole esillä suomalaisen joukkorahoitusto</w:t>
      </w:r>
      <w:r>
        <w:t>i</w:t>
      </w:r>
      <w:r>
        <w:t xml:space="preserve">mialan kilpailukyky suhteessa muihin verrokkimaihin. </w:t>
      </w:r>
      <w:r w:rsidRPr="00647246">
        <w:rPr>
          <w:b/>
        </w:rPr>
        <w:t>Keskuskauppakamarin</w:t>
      </w:r>
      <w:r>
        <w:t xml:space="preserve"> mukaan la</w:t>
      </w:r>
      <w:r>
        <w:t>u</w:t>
      </w:r>
      <w:r>
        <w:t>sunnolla olevan esityksen valmistelussa vuorovaikutus eri sidosryhmien kanssa on ollut huomattavan suppeaa. Ministeriön järjestämä kuulemistilaisuus on ollut ensimmäinen ja a</w:t>
      </w:r>
      <w:r>
        <w:t>i</w:t>
      </w:r>
      <w:r>
        <w:t>noa tilaisuus, jossa markkinatoimijoille annettiin mahdollisuus esittää esitystä koskevia n</w:t>
      </w:r>
      <w:r>
        <w:t>ä</w:t>
      </w:r>
      <w:r>
        <w:t xml:space="preserve">kemyksiään. </w:t>
      </w:r>
    </w:p>
    <w:p w:rsidR="00ED7057" w:rsidRDefault="00ED7057" w:rsidP="00C16CD4">
      <w:pPr>
        <w:pStyle w:val="VMNormaaliSisentmtn"/>
        <w:ind w:left="1418"/>
        <w:jc w:val="both"/>
      </w:pPr>
    </w:p>
    <w:p w:rsidR="00ED7057" w:rsidRDefault="00ED7057" w:rsidP="00C16CD4">
      <w:pPr>
        <w:pStyle w:val="VMNormaaliSisentmtn"/>
        <w:ind w:left="1418"/>
        <w:jc w:val="both"/>
      </w:pPr>
      <w:r w:rsidRPr="00647246">
        <w:rPr>
          <w:b/>
        </w:rPr>
        <w:t>Finanssitaidon</w:t>
      </w:r>
      <w:r w:rsidRPr="00647246">
        <w:t xml:space="preserve"> mukaan toimijoiden kuuleminen olisi tärkeää myö</w:t>
      </w:r>
      <w:r w:rsidR="00647246">
        <w:t>s joukkorahoituslain osa</w:t>
      </w:r>
      <w:r w:rsidR="00647246">
        <w:t>l</w:t>
      </w:r>
      <w:r w:rsidR="00647246">
        <w:t>ta. Mi</w:t>
      </w:r>
      <w:r w:rsidRPr="00647246">
        <w:t>käli laina</w:t>
      </w:r>
      <w:r>
        <w:t>muotoisen joukkorahoituksen jatkuvuuden kannalta kriittisiä tulkintakysymy</w:t>
      </w:r>
      <w:r>
        <w:t>k</w:t>
      </w:r>
      <w:r>
        <w:t>siä ilmaantuu, olisi pyrittävä varmistamaan, että keskeisiä tulkintoja ja rajanvetoja laaditaan harkitusti ja mahdollistetaan alan toimijoiden ja muiden oleellisten osapuolten vaikutu</w:t>
      </w:r>
      <w:r>
        <w:t>s</w:t>
      </w:r>
      <w:r>
        <w:t xml:space="preserve">mahdollisuudet. </w:t>
      </w:r>
    </w:p>
    <w:p w:rsidR="00ED7057" w:rsidRDefault="00ED7057" w:rsidP="00C16CD4">
      <w:pPr>
        <w:pStyle w:val="VMNormaaliSisentmtn"/>
        <w:ind w:left="1418"/>
        <w:jc w:val="both"/>
      </w:pPr>
    </w:p>
    <w:p w:rsidR="00ED7057" w:rsidRDefault="00ED7057" w:rsidP="00C16CD4">
      <w:pPr>
        <w:pStyle w:val="VMNormaaliSisentmtn"/>
        <w:ind w:left="1418"/>
        <w:jc w:val="both"/>
      </w:pPr>
      <w:r>
        <w:t>Osa lausunnonantajista esitt</w:t>
      </w:r>
      <w:r w:rsidR="009D1253">
        <w:t>ää</w:t>
      </w:r>
      <w:r>
        <w:t xml:space="preserve"> joukkorahoitusta koskevien muutosten jatkovalmistelun eriyttämistä lausuttavana olevasta lainsäädäntökokonaisuudesta. </w:t>
      </w:r>
      <w:r w:rsidRPr="00647246">
        <w:rPr>
          <w:b/>
        </w:rPr>
        <w:t>EK</w:t>
      </w:r>
      <w:r>
        <w:t xml:space="preserve">, </w:t>
      </w:r>
      <w:r w:rsidRPr="00647246">
        <w:rPr>
          <w:b/>
        </w:rPr>
        <w:t>Keskuskauppak</w:t>
      </w:r>
      <w:r w:rsidRPr="00647246">
        <w:rPr>
          <w:b/>
        </w:rPr>
        <w:t>a</w:t>
      </w:r>
      <w:r w:rsidRPr="00647246">
        <w:rPr>
          <w:b/>
        </w:rPr>
        <w:t>mari</w:t>
      </w:r>
      <w:r>
        <w:t xml:space="preserve">, </w:t>
      </w:r>
      <w:r w:rsidRPr="00647246">
        <w:rPr>
          <w:b/>
        </w:rPr>
        <w:t>Yrittäjä</w:t>
      </w:r>
      <w:r>
        <w:t xml:space="preserve">t, </w:t>
      </w:r>
      <w:r w:rsidRPr="00647246">
        <w:rPr>
          <w:b/>
        </w:rPr>
        <w:t>Kallio</w:t>
      </w:r>
      <w:r>
        <w:t xml:space="preserve"> ja </w:t>
      </w:r>
      <w:proofErr w:type="spellStart"/>
      <w:r w:rsidRPr="00647246">
        <w:rPr>
          <w:b/>
        </w:rPr>
        <w:t>Privanet</w:t>
      </w:r>
      <w:proofErr w:type="spellEnd"/>
      <w:r>
        <w:t xml:space="preserve"> esittävät, että joukkorahoituslain muutosehdotus irrot</w:t>
      </w:r>
      <w:r>
        <w:t>e</w:t>
      </w:r>
      <w:r>
        <w:t>taan esity</w:t>
      </w:r>
      <w:r w:rsidR="00647246">
        <w:t>sluonnoksesta.</w:t>
      </w:r>
    </w:p>
    <w:p w:rsidR="00ED7057" w:rsidRDefault="00ED7057" w:rsidP="006F0DFF">
      <w:pPr>
        <w:pStyle w:val="VMOtsikko3"/>
        <w:jc w:val="both"/>
      </w:pPr>
      <w:r>
        <w:t>Lisäehdotukset</w:t>
      </w:r>
    </w:p>
    <w:p w:rsidR="00ED7057" w:rsidRDefault="00ED7057" w:rsidP="00C16CD4">
      <w:pPr>
        <w:pStyle w:val="VMNormaaliSisentmtn"/>
        <w:ind w:left="1418"/>
        <w:jc w:val="both"/>
      </w:pPr>
      <w:r w:rsidRPr="00647246">
        <w:rPr>
          <w:b/>
        </w:rPr>
        <w:t>Pörssisäätiö</w:t>
      </w:r>
      <w:r>
        <w:t xml:space="preserve"> esittää, että selkeyden vuoksi lakimuutoksen perusteluissa otettaisiin huom</w:t>
      </w:r>
      <w:r>
        <w:t>i</w:t>
      </w:r>
      <w:r>
        <w:t>oon jo markkinoille kehittyvät joukkorahoituksen jälkimarkkinapaikat eli listaamattomien yr</w:t>
      </w:r>
      <w:r>
        <w:t>i</w:t>
      </w:r>
      <w:r>
        <w:t xml:space="preserve">tysten osakkeiden vaihdantapaikat. </w:t>
      </w:r>
      <w:r w:rsidRPr="00647246">
        <w:rPr>
          <w:b/>
        </w:rPr>
        <w:t>Pörssisäätiön</w:t>
      </w:r>
      <w:r>
        <w:t xml:space="preserve"> näkemyksen mukaan on MIFID II:n hengen mukaista pitää tällaisia markkinapaikkoja lähtökohtaisesti monenkeskisinä markk</w:t>
      </w:r>
      <w:r>
        <w:t>i</w:t>
      </w:r>
      <w:r>
        <w:t>napaikkoina. Kun kysymyksessä on nopeasti kehittyvä toimiala, jolla on paljon ei-ammattimaisia asiakkaita, lainsäätäjän olisi hyvä ottaa asiaan aktiivisesti kantaa. Jälk</w:t>
      </w:r>
      <w:r>
        <w:t>i</w:t>
      </w:r>
      <w:r>
        <w:t xml:space="preserve">markkinapaikkojen jättäminen </w:t>
      </w:r>
      <w:proofErr w:type="spellStart"/>
      <w:r>
        <w:t>MTF-sääntelyn</w:t>
      </w:r>
      <w:proofErr w:type="spellEnd"/>
      <w:r>
        <w:t xml:space="preserve"> ulkopuolelle heikentäisi sijoittajansuojaa merkittävästi.</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647246">
        <w:rPr>
          <w:b/>
        </w:rPr>
        <w:t>Euroclearin</w:t>
      </w:r>
      <w:proofErr w:type="spellEnd"/>
      <w:r>
        <w:t xml:space="preserve"> mukaan ehdotetussa 9 §:ssä tulisi huomioida se, että myös arvopaperikeskus saa tarjota sijoituspalveluita ja harjoittaa sijoitustoimintaa arvopaperikeskusase</w:t>
      </w:r>
      <w:r w:rsidR="00647246">
        <w:t xml:space="preserve">tuksen 73 artiklan mukaisesti. </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647246">
        <w:rPr>
          <w:b/>
        </w:rPr>
        <w:t>Front</w:t>
      </w:r>
      <w:proofErr w:type="spellEnd"/>
      <w:r w:rsidRPr="00647246">
        <w:rPr>
          <w:b/>
        </w:rPr>
        <w:t xml:space="preserve"> Capitalin</w:t>
      </w:r>
      <w:r>
        <w:t xml:space="preserve"> mukaan lain joukkorahoituksen määritelmää tulisi täsmentää suhteessa hiljattain uudistettuun määritelmään vertaislainavälityksestä. </w:t>
      </w:r>
      <w:proofErr w:type="spellStart"/>
      <w:r w:rsidRPr="00647246">
        <w:rPr>
          <w:b/>
        </w:rPr>
        <w:t>Front</w:t>
      </w:r>
      <w:proofErr w:type="spellEnd"/>
      <w:r w:rsidRPr="00647246">
        <w:rPr>
          <w:b/>
        </w:rPr>
        <w:t xml:space="preserve"> Capital</w:t>
      </w:r>
      <w:r>
        <w:t xml:space="preserve"> kiinnittää hu</w:t>
      </w:r>
      <w:r>
        <w:t>o</w:t>
      </w:r>
      <w:r>
        <w:t xml:space="preserve">miota siihen, että vertaislainavälitystä ei ole aikaisemmin joukkorahoitusta koskevassa sääntelyssä ja esitöissä käsitelty lainkaan joukkorahoituksena. Lakiin tulisi lisätä maininta siitä, ettei lain säännöksiä sovelleta vertaislainavälitykseen. </w:t>
      </w:r>
    </w:p>
    <w:p w:rsidR="00ED7057" w:rsidRDefault="00ED7057" w:rsidP="006F0DFF">
      <w:pPr>
        <w:pStyle w:val="VMOtsikko3"/>
        <w:jc w:val="both"/>
      </w:pPr>
      <w:r>
        <w:t>Asiakkaansuoja</w:t>
      </w:r>
    </w:p>
    <w:p w:rsidR="00ED7057" w:rsidRDefault="00ED7057" w:rsidP="00C16CD4">
      <w:pPr>
        <w:pStyle w:val="VMNormaaliSisentmtn"/>
        <w:ind w:left="1418"/>
        <w:jc w:val="both"/>
      </w:pPr>
      <w:proofErr w:type="spellStart"/>
      <w:proofErr w:type="gramStart"/>
      <w:r w:rsidRPr="00647246">
        <w:rPr>
          <w:b/>
        </w:rPr>
        <w:t>FiBAN</w:t>
      </w:r>
      <w:proofErr w:type="spellEnd"/>
      <w:proofErr w:type="gramEnd"/>
      <w:r>
        <w:t xml:space="preserve"> pitää epäloogisena sitä, että joukkorahoituslaissa on 5 milj</w:t>
      </w:r>
      <w:r w:rsidR="00647246">
        <w:t>oonan euron esiteraja ja arvopa</w:t>
      </w:r>
      <w:r>
        <w:t>perimarkkinalaissa 2,5 miljoonan esiteraja. Sääntely olisi tältä osin syytä johdonm</w:t>
      </w:r>
      <w:r>
        <w:t>u</w:t>
      </w:r>
      <w:r>
        <w:t>kaistaa, jottei se tulevaisuudessa aiheuta määrittelyongelmia.</w:t>
      </w:r>
    </w:p>
    <w:p w:rsidR="00ED7057" w:rsidRDefault="00ED7057" w:rsidP="00C16CD4">
      <w:pPr>
        <w:pStyle w:val="VMNormaaliSisentmtn"/>
        <w:ind w:left="1418"/>
        <w:jc w:val="both"/>
      </w:pPr>
    </w:p>
    <w:p w:rsidR="00ED7057" w:rsidRDefault="00ED7057" w:rsidP="00C16CD4">
      <w:pPr>
        <w:pStyle w:val="VMNormaaliSisentmtn"/>
        <w:ind w:left="1418"/>
        <w:jc w:val="both"/>
      </w:pPr>
      <w:proofErr w:type="spellStart"/>
      <w:r w:rsidRPr="00647246">
        <w:rPr>
          <w:b/>
        </w:rPr>
        <w:t>OP</w:t>
      </w:r>
      <w:r>
        <w:t>:n</w:t>
      </w:r>
      <w:proofErr w:type="spellEnd"/>
      <w:r>
        <w:t xml:space="preserve"> mukaan joukkorahoituslain mukaisen tiedonantovelvollisuuden ja arvopaperimarkk</w:t>
      </w:r>
      <w:r>
        <w:t>i</w:t>
      </w:r>
      <w:r>
        <w:t>nalain 1 luvun 4 §:n ja sijoituspalvelun tarjoajan tiedonantovelvollisuuden välistä suhdetta tulisi selkiyttää siten, että joukkorahoituksen välittäjä täyttää arvopaperimarkkinalain muka</w:t>
      </w:r>
      <w:r>
        <w:t>i</w:t>
      </w:r>
      <w:r>
        <w:t>sen tiedonantovelvollisuuden asettamalla saataville joukkorahoituslain edellyttämän info</w:t>
      </w:r>
      <w:r>
        <w:t>r</w:t>
      </w:r>
      <w:r>
        <w:t xml:space="preserve">maation. </w:t>
      </w:r>
    </w:p>
    <w:p w:rsidR="00ED7057" w:rsidRDefault="00ED7057" w:rsidP="00C16CD4">
      <w:pPr>
        <w:pStyle w:val="VMNormaaliSisentmtn"/>
        <w:ind w:left="1418"/>
        <w:jc w:val="both"/>
      </w:pPr>
    </w:p>
    <w:p w:rsidR="00787735" w:rsidRDefault="00ED7057" w:rsidP="00C16CD4">
      <w:pPr>
        <w:pStyle w:val="VMNormaaliSisentmtn"/>
        <w:ind w:left="1418"/>
        <w:jc w:val="both"/>
      </w:pPr>
      <w:r w:rsidRPr="00647246">
        <w:rPr>
          <w:b/>
        </w:rPr>
        <w:t>KKV</w:t>
      </w:r>
      <w:r>
        <w:t xml:space="preserve"> katsoo, että ehdotettua joukkorahoituslain 10 §:ää tulisi tarkistaa jatkovalmistelussa rahoitusvälineillä tapahtuvan sijoitusmuotoisen joukkorahoituksen osalta. Asianmukaisuu</w:t>
      </w:r>
      <w:r>
        <w:t>s</w:t>
      </w:r>
      <w:r>
        <w:t>arviointia koskevat joukkorahoituksen välittäjän velvollisuudet eivät saa supistua suhteessa nykyisin voimassa olevaan säännökseen. Muussa tapauksessa ehdotetusta sääntelystä seuraisi, että sijoittajansuoja heikkenee suhteessa vastikään voimaan tulleeseen säänt</w:t>
      </w:r>
      <w:r>
        <w:t>e</w:t>
      </w:r>
      <w:r>
        <w:t>lyyn.</w:t>
      </w:r>
    </w:p>
    <w:p w:rsidR="00DF1954" w:rsidRDefault="00DF1954" w:rsidP="00DF1954">
      <w:pPr>
        <w:pStyle w:val="VMleipteksti"/>
      </w:pPr>
    </w:p>
    <w:p w:rsidR="00DF1954" w:rsidRDefault="00DF1954" w:rsidP="00DF1954">
      <w:pPr>
        <w:pStyle w:val="VMleipteksti"/>
        <w:ind w:right="305"/>
      </w:pPr>
    </w:p>
    <w:p w:rsidR="00DF1954" w:rsidRDefault="00DF1954" w:rsidP="00DF1954">
      <w:pPr>
        <w:pStyle w:val="VMleipteksti"/>
        <w:ind w:right="305"/>
      </w:pPr>
    </w:p>
    <w:p w:rsidR="00DA3D6E" w:rsidRPr="00787735" w:rsidRDefault="00AF6B9B" w:rsidP="00787735">
      <w:pPr>
        <w:pStyle w:val="VMRiippuva"/>
        <w:ind w:right="305"/>
      </w:pPr>
      <w:r>
        <w:tab/>
      </w:r>
    </w:p>
    <w:sectPr w:rsidR="00DA3D6E" w:rsidRPr="00787735" w:rsidSect="0056055D">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276" w:left="1134" w:header="567"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94" w:rsidRDefault="00FF4894">
      <w:r>
        <w:separator/>
      </w:r>
    </w:p>
  </w:endnote>
  <w:endnote w:type="continuationSeparator" w:id="0">
    <w:p w:rsidR="00FF4894" w:rsidRDefault="00F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A4" w:rsidRDefault="00750DA4">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A4" w:rsidRDefault="00750DA4">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FE" w:rsidRDefault="00790EFE" w:rsidP="00790EFE">
    <w:pPr>
      <w:pStyle w:val="VMAsiakirjanidver"/>
    </w:pPr>
    <w:r>
      <w:rPr>
        <w:noProof/>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215265</wp:posOffset>
              </wp:positionV>
              <wp:extent cx="3512185" cy="685800"/>
              <wp:effectExtent l="635" t="0" r="1905" b="1270"/>
              <wp:wrapNone/>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A0" w:firstRow="1" w:lastRow="0" w:firstColumn="1" w:lastColumn="0" w:noHBand="0" w:noVBand="0"/>
                          </w:tblPr>
                          <w:tblGrid>
                            <w:gridCol w:w="2281"/>
                            <w:gridCol w:w="387"/>
                            <w:gridCol w:w="2530"/>
                            <w:gridCol w:w="260"/>
                          </w:tblGrid>
                          <w:tr w:rsidR="00790EFE" w:rsidRPr="001F6896" w:rsidTr="009915CD">
                            <w:trPr>
                              <w:gridAfter w:val="1"/>
                              <w:wAfter w:w="263" w:type="dxa"/>
                              <w:trHeight w:val="158"/>
                            </w:trPr>
                            <w:tc>
                              <w:tcPr>
                                <w:tcW w:w="2289" w:type="dxa"/>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922" w:type="dxa"/>
                                <w:gridSpan w:val="2"/>
                              </w:tcPr>
                              <w:p w:rsidR="00790EFE" w:rsidRPr="00B63F6F" w:rsidRDefault="00790EFE" w:rsidP="007B5FA5">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0295 16001 </w:t>
                                </w:r>
                                <w:r w:rsidRPr="00B63F6F">
                                  <w:rPr>
                                    <w:rFonts w:ascii="Arial" w:hAnsi="Arial" w:cs="Arial"/>
                                    <w:sz w:val="16"/>
                                    <w:szCs w:val="16"/>
                                    <w:lang w:val="en-GB"/>
                                  </w:rPr>
                                  <w:t xml:space="preserve">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790EFE" w:rsidRPr="001F6896" w:rsidTr="009915CD">
                            <w:trPr>
                              <w:gridAfter w:val="1"/>
                              <w:wAfter w:w="263" w:type="dxa"/>
                            </w:trPr>
                            <w:tc>
                              <w:tcPr>
                                <w:tcW w:w="2289" w:type="dxa"/>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922"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790EFE" w:rsidRPr="001F6896" w:rsidTr="009915CD">
                            <w:trPr>
                              <w:gridAfter w:val="1"/>
                              <w:wAfter w:w="263" w:type="dxa"/>
                            </w:trPr>
                            <w:tc>
                              <w:tcPr>
                                <w:tcW w:w="2289" w:type="dxa"/>
                              </w:tcPr>
                              <w:p w:rsidR="00790EFE" w:rsidRPr="00B63F6F" w:rsidRDefault="00790EFE" w:rsidP="009915CD">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922"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valtiovarainministerio@vm.fi</w:t>
                                </w:r>
                              </w:p>
                            </w:tc>
                          </w:tr>
                          <w:tr w:rsidR="00790EFE" w:rsidTr="009915CD">
                            <w:trPr>
                              <w:gridAfter w:val="1"/>
                              <w:wAfter w:w="263" w:type="dxa"/>
                              <w:trHeight w:val="86"/>
                            </w:trPr>
                            <w:tc>
                              <w:tcPr>
                                <w:tcW w:w="2289" w:type="dxa"/>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790EFE" w:rsidTr="009915CD">
                            <w:trPr>
                              <w:gridAfter w:val="1"/>
                              <w:wAfter w:w="263" w:type="dxa"/>
                              <w:trHeight w:val="128"/>
                            </w:trPr>
                            <w:tc>
                              <w:tcPr>
                                <w:tcW w:w="2289" w:type="dxa"/>
                              </w:tcPr>
                              <w:p w:rsidR="00790EFE" w:rsidRPr="00B63F6F" w:rsidRDefault="00790EFE" w:rsidP="009915CD">
                                <w:pPr>
                                  <w:rPr>
                                    <w:rFonts w:ascii="Arial" w:hAnsi="Arial" w:cs="Arial"/>
                                    <w:sz w:val="16"/>
                                    <w:szCs w:val="16"/>
                                    <w:lang w:val="en-GB"/>
                                  </w:rPr>
                                </w:pPr>
                              </w:p>
                            </w:tc>
                            <w:tc>
                              <w:tcPr>
                                <w:tcW w:w="2922" w:type="dxa"/>
                                <w:gridSpan w:val="2"/>
                              </w:tcPr>
                              <w:p w:rsidR="00790EFE" w:rsidRPr="00B63F6F" w:rsidRDefault="00790EFE" w:rsidP="009915CD">
                                <w:pPr>
                                  <w:rPr>
                                    <w:rFonts w:ascii="Arial" w:hAnsi="Arial" w:cs="Arial"/>
                                    <w:sz w:val="16"/>
                                    <w:szCs w:val="16"/>
                                    <w:lang w:val="en-GB"/>
                                  </w:rPr>
                                </w:pPr>
                              </w:p>
                            </w:tc>
                          </w:tr>
                          <w:tr w:rsidR="00790EFE" w:rsidRPr="001F6896" w:rsidTr="009915CD">
                            <w:trPr>
                              <w:trHeight w:val="158"/>
                            </w:trPr>
                            <w:tc>
                              <w:tcPr>
                                <w:tcW w:w="2676" w:type="dxa"/>
                                <w:gridSpan w:val="2"/>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798" w:type="dxa"/>
                                <w:gridSpan w:val="2"/>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w:t>
                                </w:r>
                                <w:r w:rsidRPr="00B63F6F">
                                  <w:rPr>
                                    <w:rFonts w:ascii="Arial" w:hAnsi="Arial" w:cs="Arial"/>
                                    <w:sz w:val="16"/>
                                    <w:szCs w:val="16"/>
                                    <w:lang w:val="en-GB"/>
                                  </w:rPr>
                                  <w:t xml:space="preserve">9 160 01 </w:t>
                                </w:r>
                                <w:r>
                                  <w:rPr>
                                    <w:rFonts w:ascii="Arial" w:hAnsi="Arial" w:cs="Arial"/>
                                    <w:sz w:val="16"/>
                                    <w:szCs w:val="16"/>
                                    <w:lang w:val="en-GB"/>
                                  </w:rPr>
                                  <w:t>tai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9 578 11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790EFE" w:rsidRPr="001F6896" w:rsidTr="009915CD">
                            <w:tc>
                              <w:tcPr>
                                <w:tcW w:w="2676"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798"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790EFE" w:rsidRPr="001F6896" w:rsidTr="009915CD">
                            <w:tc>
                              <w:tcPr>
                                <w:tcW w:w="2676"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798"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valtiovarainministerio@vm.fi</w:t>
                                </w:r>
                              </w:p>
                            </w:tc>
                          </w:tr>
                          <w:tr w:rsidR="00790EFE" w:rsidTr="009915CD">
                            <w:trPr>
                              <w:trHeight w:val="86"/>
                            </w:trPr>
                            <w:tc>
                              <w:tcPr>
                                <w:tcW w:w="2676"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790EFE" w:rsidTr="009915CD">
                            <w:trPr>
                              <w:trHeight w:val="128"/>
                            </w:trPr>
                            <w:tc>
                              <w:tcPr>
                                <w:tcW w:w="2676" w:type="dxa"/>
                                <w:gridSpan w:val="2"/>
                              </w:tcPr>
                              <w:p w:rsidR="00790EFE" w:rsidRPr="00B63F6F" w:rsidRDefault="00790EFE" w:rsidP="009915CD">
                                <w:pPr>
                                  <w:rPr>
                                    <w:rFonts w:ascii="Arial" w:hAnsi="Arial" w:cs="Arial"/>
                                    <w:sz w:val="16"/>
                                    <w:szCs w:val="16"/>
                                    <w:lang w:val="en-GB"/>
                                  </w:rPr>
                                </w:pPr>
                              </w:p>
                            </w:tc>
                            <w:tc>
                              <w:tcPr>
                                <w:tcW w:w="2798" w:type="dxa"/>
                                <w:gridSpan w:val="2"/>
                              </w:tcPr>
                              <w:p w:rsidR="00790EFE" w:rsidRPr="00B63F6F" w:rsidRDefault="00790EFE" w:rsidP="009915CD">
                                <w:pPr>
                                  <w:rPr>
                                    <w:rFonts w:ascii="Arial" w:hAnsi="Arial" w:cs="Arial"/>
                                    <w:sz w:val="16"/>
                                    <w:szCs w:val="16"/>
                                    <w:lang w:val="en-GB"/>
                                  </w:rPr>
                                </w:pPr>
                              </w:p>
                            </w:tc>
                          </w:tr>
                        </w:tbl>
                        <w:p w:rsidR="00790EFE" w:rsidRDefault="00790EFE" w:rsidP="00790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5" o:spid="_x0000_s1026" type="#_x0000_t202" style="position:absolute;margin-left:-5.2pt;margin-top:16.95pt;width:276.5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" filled="f" stroked="f">
              <v:textbox>
                <w:txbxContent>
                  <w:tbl>
                    <w:tblPr>
                      <w:tblW w:w="0" w:type="auto"/>
                      <w:tblLook w:val="00A0" w:firstRow="1" w:lastRow="0" w:firstColumn="1" w:lastColumn="0" w:noHBand="0" w:noVBand="0"/>
                    </w:tblPr>
                    <w:tblGrid>
                      <w:gridCol w:w="2281"/>
                      <w:gridCol w:w="387"/>
                      <w:gridCol w:w="2530"/>
                      <w:gridCol w:w="260"/>
                    </w:tblGrid>
                    <w:tr w:rsidR="00790EFE" w:rsidRPr="001F6896" w:rsidTr="009915CD">
                      <w:trPr>
                        <w:gridAfter w:val="1"/>
                        <w:wAfter w:w="263" w:type="dxa"/>
                        <w:trHeight w:val="158"/>
                      </w:trPr>
                      <w:tc>
                        <w:tcPr>
                          <w:tcW w:w="2289" w:type="dxa"/>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922" w:type="dxa"/>
                          <w:gridSpan w:val="2"/>
                        </w:tcPr>
                        <w:p w:rsidR="00790EFE" w:rsidRPr="00B63F6F" w:rsidRDefault="00790EFE" w:rsidP="007B5FA5">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0295 16001 </w:t>
                          </w:r>
                          <w:r w:rsidRPr="00B63F6F">
                            <w:rPr>
                              <w:rFonts w:ascii="Arial" w:hAnsi="Arial" w:cs="Arial"/>
                              <w:sz w:val="16"/>
                              <w:szCs w:val="16"/>
                              <w:lang w:val="en-GB"/>
                            </w:rPr>
                            <w:t xml:space="preserve">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790EFE" w:rsidRPr="001F6896" w:rsidTr="009915CD">
                      <w:trPr>
                        <w:gridAfter w:val="1"/>
                        <w:wAfter w:w="263" w:type="dxa"/>
                      </w:trPr>
                      <w:tc>
                        <w:tcPr>
                          <w:tcW w:w="2289" w:type="dxa"/>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922"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790EFE" w:rsidRPr="001F6896" w:rsidTr="009915CD">
                      <w:trPr>
                        <w:gridAfter w:val="1"/>
                        <w:wAfter w:w="263" w:type="dxa"/>
                      </w:trPr>
                      <w:tc>
                        <w:tcPr>
                          <w:tcW w:w="2289" w:type="dxa"/>
                        </w:tcPr>
                        <w:p w:rsidR="00790EFE" w:rsidRPr="00B63F6F" w:rsidRDefault="00790EFE" w:rsidP="009915CD">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922"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valtiovarainministerio@vm.fi</w:t>
                          </w:r>
                        </w:p>
                      </w:tc>
                    </w:tr>
                    <w:tr w:rsidR="00790EFE" w:rsidTr="009915CD">
                      <w:trPr>
                        <w:gridAfter w:val="1"/>
                        <w:wAfter w:w="263" w:type="dxa"/>
                        <w:trHeight w:val="86"/>
                      </w:trPr>
                      <w:tc>
                        <w:tcPr>
                          <w:tcW w:w="2289" w:type="dxa"/>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790EFE" w:rsidTr="009915CD">
                      <w:trPr>
                        <w:gridAfter w:val="1"/>
                        <w:wAfter w:w="263" w:type="dxa"/>
                        <w:trHeight w:val="128"/>
                      </w:trPr>
                      <w:tc>
                        <w:tcPr>
                          <w:tcW w:w="2289" w:type="dxa"/>
                        </w:tcPr>
                        <w:p w:rsidR="00790EFE" w:rsidRPr="00B63F6F" w:rsidRDefault="00790EFE" w:rsidP="009915CD">
                          <w:pPr>
                            <w:rPr>
                              <w:rFonts w:ascii="Arial" w:hAnsi="Arial" w:cs="Arial"/>
                              <w:sz w:val="16"/>
                              <w:szCs w:val="16"/>
                              <w:lang w:val="en-GB"/>
                            </w:rPr>
                          </w:pPr>
                        </w:p>
                      </w:tc>
                      <w:tc>
                        <w:tcPr>
                          <w:tcW w:w="2922" w:type="dxa"/>
                          <w:gridSpan w:val="2"/>
                        </w:tcPr>
                        <w:p w:rsidR="00790EFE" w:rsidRPr="00B63F6F" w:rsidRDefault="00790EFE" w:rsidP="009915CD">
                          <w:pPr>
                            <w:rPr>
                              <w:rFonts w:ascii="Arial" w:hAnsi="Arial" w:cs="Arial"/>
                              <w:sz w:val="16"/>
                              <w:szCs w:val="16"/>
                              <w:lang w:val="en-GB"/>
                            </w:rPr>
                          </w:pPr>
                        </w:p>
                      </w:tc>
                    </w:tr>
                    <w:tr w:rsidR="00790EFE" w:rsidRPr="001F6896" w:rsidTr="009915CD">
                      <w:trPr>
                        <w:trHeight w:val="158"/>
                      </w:trPr>
                      <w:tc>
                        <w:tcPr>
                          <w:tcW w:w="2676" w:type="dxa"/>
                          <w:gridSpan w:val="2"/>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798" w:type="dxa"/>
                          <w:gridSpan w:val="2"/>
                        </w:tcPr>
                        <w:p w:rsidR="00790EFE" w:rsidRPr="00B63F6F" w:rsidRDefault="00790EFE" w:rsidP="009915CD">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w:t>
                          </w:r>
                          <w:r w:rsidRPr="00B63F6F">
                            <w:rPr>
                              <w:rFonts w:ascii="Arial" w:hAnsi="Arial" w:cs="Arial"/>
                              <w:sz w:val="16"/>
                              <w:szCs w:val="16"/>
                              <w:lang w:val="en-GB"/>
                            </w:rPr>
                            <w:t xml:space="preserve">9 160 01 </w:t>
                          </w:r>
                          <w:r>
                            <w:rPr>
                              <w:rFonts w:ascii="Arial" w:hAnsi="Arial" w:cs="Arial"/>
                              <w:sz w:val="16"/>
                              <w:szCs w:val="16"/>
                              <w:lang w:val="en-GB"/>
                            </w:rPr>
                            <w:t>tai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9 578 11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790EFE" w:rsidRPr="001F6896" w:rsidTr="009915CD">
                      <w:tc>
                        <w:tcPr>
                          <w:tcW w:w="2676"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798" w:type="dxa"/>
                          <w:gridSpan w:val="2"/>
                        </w:tcPr>
                        <w:p w:rsidR="00790EFE" w:rsidRPr="00B63F6F" w:rsidRDefault="00790EFE" w:rsidP="009915CD">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790EFE" w:rsidRPr="001F6896" w:rsidTr="009915CD">
                      <w:tc>
                        <w:tcPr>
                          <w:tcW w:w="2676"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798"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valtiovarainministerio@vm.fi</w:t>
                          </w:r>
                        </w:p>
                      </w:tc>
                    </w:tr>
                    <w:tr w:rsidR="00790EFE" w:rsidTr="009915CD">
                      <w:trPr>
                        <w:trHeight w:val="86"/>
                      </w:trPr>
                      <w:tc>
                        <w:tcPr>
                          <w:tcW w:w="2676" w:type="dxa"/>
                          <w:gridSpan w:val="2"/>
                        </w:tcPr>
                        <w:p w:rsidR="00790EFE" w:rsidRPr="00B63F6F" w:rsidRDefault="00790EFE" w:rsidP="009915CD">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790EFE" w:rsidRPr="00B63F6F" w:rsidRDefault="00790EFE" w:rsidP="009915CD">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790EFE" w:rsidTr="009915CD">
                      <w:trPr>
                        <w:trHeight w:val="128"/>
                      </w:trPr>
                      <w:tc>
                        <w:tcPr>
                          <w:tcW w:w="2676" w:type="dxa"/>
                          <w:gridSpan w:val="2"/>
                        </w:tcPr>
                        <w:p w:rsidR="00790EFE" w:rsidRPr="00B63F6F" w:rsidRDefault="00790EFE" w:rsidP="009915CD">
                          <w:pPr>
                            <w:rPr>
                              <w:rFonts w:ascii="Arial" w:hAnsi="Arial" w:cs="Arial"/>
                              <w:sz w:val="16"/>
                              <w:szCs w:val="16"/>
                              <w:lang w:val="en-GB"/>
                            </w:rPr>
                          </w:pPr>
                        </w:p>
                      </w:tc>
                      <w:tc>
                        <w:tcPr>
                          <w:tcW w:w="2798" w:type="dxa"/>
                          <w:gridSpan w:val="2"/>
                        </w:tcPr>
                        <w:p w:rsidR="00790EFE" w:rsidRPr="00B63F6F" w:rsidRDefault="00790EFE" w:rsidP="009915CD">
                          <w:pPr>
                            <w:rPr>
                              <w:rFonts w:ascii="Arial" w:hAnsi="Arial" w:cs="Arial"/>
                              <w:sz w:val="16"/>
                              <w:szCs w:val="16"/>
                              <w:lang w:val="en-GB"/>
                            </w:rPr>
                          </w:pPr>
                        </w:p>
                      </w:tc>
                    </w:tr>
                  </w:tbl>
                  <w:p w:rsidR="00790EFE" w:rsidRDefault="00790EFE" w:rsidP="00790EFE"/>
                </w:txbxContent>
              </v:textbox>
            </v:shape>
          </w:pict>
        </mc:Fallback>
      </mc:AlternateContent>
    </w:r>
  </w:p>
  <w:p w:rsidR="00790EFE" w:rsidRPr="005470E9" w:rsidRDefault="00790EFE" w:rsidP="00790EFE">
    <w:pPr>
      <w:ind w:left="3912"/>
      <w:rPr>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104140</wp:posOffset>
              </wp:positionV>
              <wp:extent cx="6286500" cy="0"/>
              <wp:effectExtent l="7620" t="8890" r="11430" b="10160"/>
              <wp:wrapNone/>
              <wp:docPr id="4" name="Suora yhdysviiv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F54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uora yhdysviiva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496.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" strokecolor="#0f5489"/>
          </w:pict>
        </mc:Fallback>
      </mc:AlternateContent>
    </w:r>
  </w:p>
  <w:p w:rsidR="00790EFE" w:rsidRPr="005470E9" w:rsidRDefault="00790EFE" w:rsidP="00790EFE">
    <w:pPr>
      <w:ind w:left="1304" w:firstLine="1304"/>
      <w:rPr>
        <w:lang w:val="en-GB"/>
      </w:rPr>
    </w:pPr>
    <w:r>
      <w:rPr>
        <w:noProof/>
      </w:rPr>
      <w:drawing>
        <wp:anchor distT="0" distB="0" distL="114300" distR="114300" simplePos="0" relativeHeight="251664384" behindDoc="1" locked="0" layoutInCell="1" allowOverlap="1" wp14:anchorId="6CA9A981" wp14:editId="43D8BD4A">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790EFE" w:rsidRDefault="00790EFE" w:rsidP="00790EFE">
    <w:pPr>
      <w:ind w:left="2410"/>
      <w:jc w:val="center"/>
      <w:rPr>
        <w:lang w:val="en-GB"/>
      </w:rPr>
    </w:pPr>
  </w:p>
  <w:p w:rsidR="00790EFE" w:rsidRDefault="00790EFE" w:rsidP="00790EFE">
    <w:pPr>
      <w:ind w:left="2410"/>
      <w:jc w:val="center"/>
      <w:rPr>
        <w:lang w:val="en-GB"/>
      </w:rPr>
    </w:pPr>
  </w:p>
  <w:p w:rsidR="00FF4894" w:rsidRDefault="00FF4894" w:rsidP="0056055D">
    <w:pPr>
      <w:pStyle w:val="VMAlatunniste"/>
    </w:pPr>
  </w:p>
  <w:tbl>
    <w:tblPr>
      <w:tblStyle w:val="TaulukkoRuudukko"/>
      <w:tblW w:w="6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324"/>
      <w:gridCol w:w="1701"/>
    </w:tblGrid>
    <w:tr w:rsidR="00790EFE" w:rsidTr="00790EFE">
      <w:tc>
        <w:tcPr>
          <w:tcW w:w="2041" w:type="dxa"/>
        </w:tcPr>
        <w:p w:rsidR="00790EFE" w:rsidRDefault="00790EFE" w:rsidP="0056055D">
          <w:pPr>
            <w:pStyle w:val="VMAlatunniste"/>
          </w:pPr>
        </w:p>
      </w:tc>
      <w:tc>
        <w:tcPr>
          <w:tcW w:w="2324" w:type="dxa"/>
        </w:tcPr>
        <w:p w:rsidR="00790EFE" w:rsidRDefault="00790EFE"/>
      </w:tc>
      <w:tc>
        <w:tcPr>
          <w:tcW w:w="1701" w:type="dxa"/>
        </w:tcPr>
        <w:p w:rsidR="00790EFE" w:rsidRDefault="00790EFE"/>
      </w:tc>
    </w:tr>
  </w:tbl>
  <w:p w:rsidR="00FF4894" w:rsidRDefault="00FF4894" w:rsidP="0056055D">
    <w:pPr>
      <w:pStyle w:val="VM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94" w:rsidRDefault="00FF4894">
      <w:r>
        <w:separator/>
      </w:r>
    </w:p>
  </w:footnote>
  <w:footnote w:type="continuationSeparator" w:id="0">
    <w:p w:rsidR="00FF4894" w:rsidRDefault="00FF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A4" w:rsidRDefault="00750DA4">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FF4894" w:rsidTr="00ED7057">
      <w:trPr>
        <w:cantSplit/>
        <w:trHeight w:val="255"/>
      </w:trPr>
      <w:tc>
        <w:tcPr>
          <w:tcW w:w="5211" w:type="dxa"/>
        </w:tcPr>
        <w:p w:rsidR="00FF4894" w:rsidRDefault="00FF4894" w:rsidP="00AF6B9B">
          <w:pPr>
            <w:pStyle w:val="VMYltunniste"/>
          </w:pPr>
        </w:p>
      </w:tc>
      <w:tc>
        <w:tcPr>
          <w:tcW w:w="2410" w:type="dxa"/>
        </w:tcPr>
        <w:p w:rsidR="00FF4894" w:rsidRPr="00571769" w:rsidRDefault="00FF4894" w:rsidP="00AF6B9B">
          <w:pPr>
            <w:pStyle w:val="VMYltunniste"/>
            <w:rPr>
              <w:b/>
            </w:rPr>
          </w:pPr>
        </w:p>
      </w:tc>
      <w:tc>
        <w:tcPr>
          <w:tcW w:w="2835" w:type="dxa"/>
        </w:tcPr>
        <w:p w:rsidR="00FF4894" w:rsidRDefault="00FF4894"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BE36B5">
            <w:rPr>
              <w:noProof/>
              <w:szCs w:val="20"/>
            </w:rPr>
            <w:t>28</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BE36B5">
            <w:rPr>
              <w:noProof/>
              <w:szCs w:val="20"/>
            </w:rPr>
            <w:t>28</w:t>
          </w:r>
          <w:r>
            <w:rPr>
              <w:szCs w:val="20"/>
            </w:rPr>
            <w:fldChar w:fldCharType="end"/>
          </w:r>
          <w:r>
            <w:rPr>
              <w:szCs w:val="20"/>
            </w:rPr>
            <w:t>)</w:t>
          </w:r>
        </w:p>
      </w:tc>
    </w:tr>
  </w:tbl>
  <w:p w:rsidR="00FF4894" w:rsidRDefault="00FF4894" w:rsidP="00AF6B9B">
    <w:pPr>
      <w:pStyle w:val="VMYltunniste"/>
    </w:pPr>
  </w:p>
  <w:p w:rsidR="00FF4894" w:rsidRDefault="00FF4894" w:rsidP="00AF6B9B">
    <w:pPr>
      <w:pStyle w:val="VM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FF4894" w:rsidTr="009F4543">
      <w:trPr>
        <w:cantSplit/>
        <w:trHeight w:val="255"/>
      </w:trPr>
      <w:tc>
        <w:tcPr>
          <w:tcW w:w="5211" w:type="dxa"/>
        </w:tcPr>
        <w:p w:rsidR="00FF4894" w:rsidRDefault="00FF4894" w:rsidP="00AF6B9B">
          <w:pPr>
            <w:pStyle w:val="VMYltunniste"/>
          </w:pPr>
        </w:p>
      </w:tc>
      <w:tc>
        <w:tcPr>
          <w:tcW w:w="2410" w:type="dxa"/>
        </w:tcPr>
        <w:p w:rsidR="00FF4894" w:rsidRPr="00571769" w:rsidRDefault="00FF4894" w:rsidP="00AF6B9B">
          <w:pPr>
            <w:pStyle w:val="VMYltunniste"/>
            <w:rPr>
              <w:b/>
            </w:rPr>
          </w:pPr>
          <w:r>
            <w:rPr>
              <w:b/>
            </w:rPr>
            <w:t>Lausuntoyhteenveto</w:t>
          </w:r>
        </w:p>
      </w:tc>
      <w:tc>
        <w:tcPr>
          <w:tcW w:w="2835" w:type="dxa"/>
        </w:tcPr>
        <w:p w:rsidR="00FF4894" w:rsidRDefault="00FF4894"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BE36B5">
            <w:rPr>
              <w:noProof/>
              <w:szCs w:val="20"/>
            </w:rPr>
            <w:t>1</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BE36B5">
            <w:rPr>
              <w:noProof/>
              <w:szCs w:val="20"/>
            </w:rPr>
            <w:t>28</w:t>
          </w:r>
          <w:r>
            <w:rPr>
              <w:szCs w:val="20"/>
            </w:rPr>
            <w:fldChar w:fldCharType="end"/>
          </w:r>
          <w:r>
            <w:rPr>
              <w:szCs w:val="20"/>
            </w:rPr>
            <w:t>)</w:t>
          </w: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r>
            <w:t>VM087:00/2015</w:t>
          </w: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750DA4" w:rsidP="00750DA4">
          <w:pPr>
            <w:pStyle w:val="VMYltunniste"/>
          </w:pPr>
          <w:r w:rsidRPr="00BE36B5">
            <w:t>10</w:t>
          </w:r>
          <w:r w:rsidR="00FF4894" w:rsidRPr="00BE36B5">
            <w:t>.</w:t>
          </w:r>
          <w:r w:rsidRPr="00BE36B5">
            <w:t>10</w:t>
          </w:r>
          <w:r w:rsidR="00FF4894" w:rsidRPr="00BE36B5">
            <w:t>.2017</w:t>
          </w:r>
          <w:bookmarkStart w:id="12" w:name="_GoBack"/>
          <w:bookmarkEnd w:id="12"/>
        </w:p>
      </w:tc>
      <w:tc>
        <w:tcPr>
          <w:tcW w:w="2835" w:type="dxa"/>
        </w:tcPr>
        <w:p w:rsidR="00FF4894" w:rsidRDefault="00FF4894" w:rsidP="00AF6B9B">
          <w:pPr>
            <w:pStyle w:val="VMYltunniste"/>
          </w:pPr>
          <w:r>
            <w:t>Julkinen</w:t>
          </w: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r w:rsidR="00FF4894" w:rsidTr="009F4543">
      <w:trPr>
        <w:cantSplit/>
        <w:trHeight w:val="255"/>
      </w:trPr>
      <w:tc>
        <w:tcPr>
          <w:tcW w:w="5211" w:type="dxa"/>
        </w:tcPr>
        <w:p w:rsidR="00FF4894" w:rsidRDefault="00FF4894" w:rsidP="00AF6B9B">
          <w:pPr>
            <w:pStyle w:val="VMYltunniste"/>
          </w:pPr>
          <w:r>
            <w:t>Rahoitusmarkkinaosasto</w:t>
          </w: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r w:rsidR="00FF4894" w:rsidTr="009F4543">
      <w:trPr>
        <w:cantSplit/>
        <w:trHeight w:val="255"/>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r w:rsidR="00FF4894" w:rsidTr="00787735">
      <w:trPr>
        <w:cantSplit/>
        <w:trHeight w:val="1134"/>
      </w:trPr>
      <w:tc>
        <w:tcPr>
          <w:tcW w:w="5211" w:type="dxa"/>
        </w:tcPr>
        <w:p w:rsidR="00FF4894" w:rsidRDefault="00FF4894" w:rsidP="00AF6B9B">
          <w:pPr>
            <w:pStyle w:val="VMYltunniste"/>
          </w:pPr>
        </w:p>
      </w:tc>
      <w:tc>
        <w:tcPr>
          <w:tcW w:w="2410" w:type="dxa"/>
        </w:tcPr>
        <w:p w:rsidR="00FF4894" w:rsidRDefault="00FF4894" w:rsidP="00AF6B9B">
          <w:pPr>
            <w:pStyle w:val="VMYltunniste"/>
          </w:pPr>
        </w:p>
      </w:tc>
      <w:tc>
        <w:tcPr>
          <w:tcW w:w="2835" w:type="dxa"/>
        </w:tcPr>
        <w:p w:rsidR="00FF4894" w:rsidRDefault="00FF4894" w:rsidP="00AF6B9B">
          <w:pPr>
            <w:pStyle w:val="VMYltunniste"/>
          </w:pPr>
        </w:p>
      </w:tc>
    </w:tr>
  </w:tbl>
  <w:p w:rsidR="00FF4894" w:rsidRDefault="00FF4894" w:rsidP="00AF6B9B">
    <w:pPr>
      <w:pStyle w:val="VMYltunniste"/>
    </w:pPr>
    <w:r>
      <w:rPr>
        <w:noProof/>
      </w:rPr>
      <w:drawing>
        <wp:anchor distT="0" distB="0" distL="114300" distR="114300" simplePos="0" relativeHeight="251660288" behindDoc="1" locked="1" layoutInCell="1" allowOverlap="1" wp14:anchorId="0735CFCE" wp14:editId="3671C29D">
          <wp:simplePos x="0" y="0"/>
          <wp:positionH relativeFrom="page">
            <wp:posOffset>591185</wp:posOffset>
          </wp:positionH>
          <wp:positionV relativeFrom="page">
            <wp:posOffset>367665</wp:posOffset>
          </wp:positionV>
          <wp:extent cx="2963545" cy="740410"/>
          <wp:effectExtent l="0" t="0" r="8255" b="254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omi_vaaka_RGB_pp.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3545"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A875B8"/>
    <w:lvl w:ilvl="0">
      <w:start w:val="1"/>
      <w:numFmt w:val="decimal"/>
      <w:lvlText w:val="%1."/>
      <w:lvlJc w:val="left"/>
      <w:pPr>
        <w:tabs>
          <w:tab w:val="num" w:pos="643"/>
        </w:tabs>
        <w:ind w:left="643" w:hanging="360"/>
      </w:pPr>
    </w:lvl>
  </w:abstractNum>
  <w:abstractNum w:abstractNumId="1">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2E485CC"/>
    <w:lvl w:ilvl="0">
      <w:start w:val="1"/>
      <w:numFmt w:val="decimal"/>
      <w:lvlText w:val="%1."/>
      <w:lvlJc w:val="left"/>
      <w:pPr>
        <w:tabs>
          <w:tab w:val="num" w:pos="360"/>
        </w:tabs>
        <w:ind w:left="360" w:hanging="360"/>
      </w:pPr>
    </w:lvl>
  </w:abstractNum>
  <w:abstractNum w:abstractNumId="6">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1">
    <w:nsid w:val="0B612D2E"/>
    <w:multiLevelType w:val="singleLevel"/>
    <w:tmpl w:val="5CCC5352"/>
    <w:lvl w:ilvl="0">
      <w:start w:val="1"/>
      <w:numFmt w:val="decimal"/>
      <w:lvlText w:val="%1."/>
      <w:lvlJc w:val="left"/>
      <w:pPr>
        <w:tabs>
          <w:tab w:val="num" w:pos="360"/>
        </w:tabs>
        <w:ind w:left="340" w:hanging="340"/>
      </w:pPr>
    </w:lvl>
  </w:abstractNum>
  <w:abstractNum w:abstractNumId="12">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A6353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971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5A14F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AF4888"/>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096B5B"/>
    <w:multiLevelType w:val="singleLevel"/>
    <w:tmpl w:val="C65C4BCA"/>
    <w:lvl w:ilvl="0">
      <w:start w:val="1"/>
      <w:numFmt w:val="decimal"/>
      <w:lvlText w:val="%1"/>
      <w:lvlJc w:val="left"/>
      <w:pPr>
        <w:tabs>
          <w:tab w:val="num" w:pos="360"/>
        </w:tabs>
        <w:ind w:left="0" w:firstLine="0"/>
      </w:pPr>
    </w:lvl>
  </w:abstractNum>
  <w:abstractNum w:abstractNumId="19">
    <w:nsid w:val="27E71311"/>
    <w:multiLevelType w:val="singleLevel"/>
    <w:tmpl w:val="DB8C19F2"/>
    <w:lvl w:ilvl="0">
      <w:start w:val="1"/>
      <w:numFmt w:val="decimal"/>
      <w:lvlText w:val="%1"/>
      <w:lvlJc w:val="left"/>
      <w:pPr>
        <w:tabs>
          <w:tab w:val="num" w:pos="360"/>
        </w:tabs>
        <w:ind w:left="0" w:firstLine="0"/>
      </w:pPr>
    </w:lvl>
  </w:abstractNum>
  <w:abstractNum w:abstractNumId="20">
    <w:nsid w:val="32995B75"/>
    <w:multiLevelType w:val="singleLevel"/>
    <w:tmpl w:val="C032AE32"/>
    <w:lvl w:ilvl="0">
      <w:start w:val="1"/>
      <w:numFmt w:val="decimal"/>
      <w:lvlText w:val="%1"/>
      <w:lvlJc w:val="left"/>
      <w:pPr>
        <w:tabs>
          <w:tab w:val="num" w:pos="360"/>
        </w:tabs>
        <w:ind w:left="340" w:hanging="340"/>
      </w:pPr>
    </w:lvl>
  </w:abstractNum>
  <w:abstractNum w:abstractNumId="21">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22">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nsid w:val="3BD2356B"/>
    <w:multiLevelType w:val="multilevel"/>
    <w:tmpl w:val="A9B0776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7">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45036B"/>
    <w:multiLevelType w:val="multilevel"/>
    <w:tmpl w:val="049A0502"/>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9">
    <w:nsid w:val="4B331A12"/>
    <w:multiLevelType w:val="singleLevel"/>
    <w:tmpl w:val="B4BC27BA"/>
    <w:lvl w:ilvl="0">
      <w:start w:val="1"/>
      <w:numFmt w:val="decimal"/>
      <w:lvlText w:val="%1"/>
      <w:lvlJc w:val="left"/>
      <w:pPr>
        <w:tabs>
          <w:tab w:val="num" w:pos="360"/>
        </w:tabs>
        <w:ind w:left="340" w:hanging="340"/>
      </w:pPr>
    </w:lvl>
  </w:abstractNum>
  <w:abstractNum w:abstractNumId="30">
    <w:nsid w:val="5E511475"/>
    <w:multiLevelType w:val="singleLevel"/>
    <w:tmpl w:val="62001FD0"/>
    <w:lvl w:ilvl="0">
      <w:start w:val="1"/>
      <w:numFmt w:val="decimal"/>
      <w:lvlText w:val="%1."/>
      <w:lvlJc w:val="left"/>
      <w:pPr>
        <w:tabs>
          <w:tab w:val="num" w:pos="360"/>
        </w:tabs>
        <w:ind w:left="340" w:hanging="340"/>
      </w:pPr>
    </w:lvl>
  </w:abstractNum>
  <w:abstractNum w:abstractNumId="31">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2">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3">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0095E6E"/>
    <w:multiLevelType w:val="multilevel"/>
    <w:tmpl w:val="0660DA26"/>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2" w:hanging="1152"/>
      </w:pPr>
      <w:rPr>
        <w:rFonts w:hint="default"/>
      </w:rPr>
    </w:lvl>
    <w:lvl w:ilvl="2">
      <w:start w:val="1"/>
      <w:numFmt w:val="decimal"/>
      <w:pStyle w:val="VM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9">
    <w:nsid w:val="70680F79"/>
    <w:multiLevelType w:val="multilevel"/>
    <w:tmpl w:val="788AE45A"/>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1"/>
  </w:num>
  <w:num w:numId="3">
    <w:abstractNumId w:val="20"/>
  </w:num>
  <w:num w:numId="4">
    <w:abstractNumId w:val="30"/>
  </w:num>
  <w:num w:numId="5">
    <w:abstractNumId w:val="19"/>
  </w:num>
  <w:num w:numId="6">
    <w:abstractNumId w:val="18"/>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6"/>
  </w:num>
  <w:num w:numId="15">
    <w:abstractNumId w:val="26"/>
  </w:num>
  <w:num w:numId="16">
    <w:abstractNumId w:val="32"/>
  </w:num>
  <w:num w:numId="17">
    <w:abstractNumId w:val="32"/>
  </w:num>
  <w:num w:numId="18">
    <w:abstractNumId w:val="32"/>
  </w:num>
  <w:num w:numId="19">
    <w:abstractNumId w:val="8"/>
  </w:num>
  <w:num w:numId="20">
    <w:abstractNumId w:val="32"/>
  </w:num>
  <w:num w:numId="21">
    <w:abstractNumId w:val="7"/>
  </w:num>
  <w:num w:numId="22">
    <w:abstractNumId w:val="33"/>
  </w:num>
  <w:num w:numId="23">
    <w:abstractNumId w:val="21"/>
  </w:num>
  <w:num w:numId="24">
    <w:abstractNumId w:val="28"/>
  </w:num>
  <w:num w:numId="25">
    <w:abstractNumId w:val="24"/>
  </w:num>
  <w:num w:numId="26">
    <w:abstractNumId w:val="34"/>
  </w:num>
  <w:num w:numId="27">
    <w:abstractNumId w:val="41"/>
  </w:num>
  <w:num w:numId="28">
    <w:abstractNumId w:val="42"/>
  </w:num>
  <w:num w:numId="29">
    <w:abstractNumId w:val="12"/>
  </w:num>
  <w:num w:numId="30">
    <w:abstractNumId w:val="13"/>
  </w:num>
  <w:num w:numId="31">
    <w:abstractNumId w:val="40"/>
  </w:num>
  <w:num w:numId="32">
    <w:abstractNumId w:val="22"/>
  </w:num>
  <w:num w:numId="33">
    <w:abstractNumId w:val="23"/>
  </w:num>
  <w:num w:numId="34">
    <w:abstractNumId w:val="37"/>
  </w:num>
  <w:num w:numId="35">
    <w:abstractNumId w:val="35"/>
  </w:num>
  <w:num w:numId="36">
    <w:abstractNumId w:val="27"/>
  </w:num>
  <w:num w:numId="37">
    <w:abstractNumId w:val="9"/>
  </w:num>
  <w:num w:numId="38">
    <w:abstractNumId w:val="36"/>
  </w:num>
  <w:num w:numId="39">
    <w:abstractNumId w:val="31"/>
  </w:num>
  <w:num w:numId="40">
    <w:abstractNumId w:val="28"/>
  </w:num>
  <w:num w:numId="41">
    <w:abstractNumId w:val="24"/>
  </w:num>
  <w:num w:numId="42">
    <w:abstractNumId w:val="34"/>
  </w:num>
  <w:num w:numId="43">
    <w:abstractNumId w:val="14"/>
  </w:num>
  <w:num w:numId="44">
    <w:abstractNumId w:val="15"/>
  </w:num>
  <w:num w:numId="45">
    <w:abstractNumId w:val="17"/>
  </w:num>
  <w:num w:numId="46">
    <w:abstractNumId w:val="16"/>
  </w:num>
  <w:num w:numId="47">
    <w:abstractNumId w:val="38"/>
  </w:num>
  <w:num w:numId="48">
    <w:abstractNumId w:val="39"/>
  </w:num>
  <w:num w:numId="49">
    <w:abstractNumId w:val="2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doNotHyphenateCap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57"/>
    <w:rsid w:val="00023F5A"/>
    <w:rsid w:val="0005474A"/>
    <w:rsid w:val="0005755E"/>
    <w:rsid w:val="00060EC5"/>
    <w:rsid w:val="00063219"/>
    <w:rsid w:val="00074F88"/>
    <w:rsid w:val="00083F94"/>
    <w:rsid w:val="00084321"/>
    <w:rsid w:val="00094032"/>
    <w:rsid w:val="000959E2"/>
    <w:rsid w:val="000A4E21"/>
    <w:rsid w:val="000D096F"/>
    <w:rsid w:val="000D275B"/>
    <w:rsid w:val="000D3039"/>
    <w:rsid w:val="000F2157"/>
    <w:rsid w:val="00137E07"/>
    <w:rsid w:val="00140EF8"/>
    <w:rsid w:val="00146B2A"/>
    <w:rsid w:val="001769CC"/>
    <w:rsid w:val="00186449"/>
    <w:rsid w:val="001A354F"/>
    <w:rsid w:val="001B0579"/>
    <w:rsid w:val="001E2162"/>
    <w:rsid w:val="001E5B5C"/>
    <w:rsid w:val="001E5C5D"/>
    <w:rsid w:val="001F39B3"/>
    <w:rsid w:val="00221903"/>
    <w:rsid w:val="002421F3"/>
    <w:rsid w:val="002428A1"/>
    <w:rsid w:val="0025311D"/>
    <w:rsid w:val="002549B0"/>
    <w:rsid w:val="00256C44"/>
    <w:rsid w:val="00280CFF"/>
    <w:rsid w:val="002A4AE1"/>
    <w:rsid w:val="002D086F"/>
    <w:rsid w:val="002E302A"/>
    <w:rsid w:val="002E635F"/>
    <w:rsid w:val="002F13F8"/>
    <w:rsid w:val="002F6806"/>
    <w:rsid w:val="003058E2"/>
    <w:rsid w:val="0030663A"/>
    <w:rsid w:val="00315903"/>
    <w:rsid w:val="00317EBE"/>
    <w:rsid w:val="003221EF"/>
    <w:rsid w:val="003241A6"/>
    <w:rsid w:val="003323E0"/>
    <w:rsid w:val="00334D00"/>
    <w:rsid w:val="00355E64"/>
    <w:rsid w:val="0035704D"/>
    <w:rsid w:val="00362ED4"/>
    <w:rsid w:val="00364718"/>
    <w:rsid w:val="00374779"/>
    <w:rsid w:val="00385A23"/>
    <w:rsid w:val="003945B5"/>
    <w:rsid w:val="003B7A8E"/>
    <w:rsid w:val="003C7039"/>
    <w:rsid w:val="003D18C3"/>
    <w:rsid w:val="003F3EC5"/>
    <w:rsid w:val="003F4268"/>
    <w:rsid w:val="003F44B5"/>
    <w:rsid w:val="003F4DB4"/>
    <w:rsid w:val="004124CE"/>
    <w:rsid w:val="00423292"/>
    <w:rsid w:val="00432945"/>
    <w:rsid w:val="00432AC3"/>
    <w:rsid w:val="00443424"/>
    <w:rsid w:val="004466C3"/>
    <w:rsid w:val="004740E7"/>
    <w:rsid w:val="00494FD4"/>
    <w:rsid w:val="004D2405"/>
    <w:rsid w:val="004D5D01"/>
    <w:rsid w:val="004E756B"/>
    <w:rsid w:val="00501E3A"/>
    <w:rsid w:val="00512645"/>
    <w:rsid w:val="00515B30"/>
    <w:rsid w:val="00525A30"/>
    <w:rsid w:val="00554519"/>
    <w:rsid w:val="00554B64"/>
    <w:rsid w:val="0056055D"/>
    <w:rsid w:val="00571769"/>
    <w:rsid w:val="005800D6"/>
    <w:rsid w:val="005941A6"/>
    <w:rsid w:val="005A559B"/>
    <w:rsid w:val="005B2944"/>
    <w:rsid w:val="005B4E6F"/>
    <w:rsid w:val="005D0B0C"/>
    <w:rsid w:val="005D7187"/>
    <w:rsid w:val="005F1314"/>
    <w:rsid w:val="0063146D"/>
    <w:rsid w:val="00647246"/>
    <w:rsid w:val="00657F29"/>
    <w:rsid w:val="0066014C"/>
    <w:rsid w:val="006726E2"/>
    <w:rsid w:val="00684BB4"/>
    <w:rsid w:val="006A587B"/>
    <w:rsid w:val="006B5277"/>
    <w:rsid w:val="006E2079"/>
    <w:rsid w:val="006E4F2E"/>
    <w:rsid w:val="006F0DFF"/>
    <w:rsid w:val="00710A44"/>
    <w:rsid w:val="007177C2"/>
    <w:rsid w:val="0074332B"/>
    <w:rsid w:val="00750DA4"/>
    <w:rsid w:val="00760292"/>
    <w:rsid w:val="0077386C"/>
    <w:rsid w:val="0077418B"/>
    <w:rsid w:val="00785940"/>
    <w:rsid w:val="00786285"/>
    <w:rsid w:val="00787735"/>
    <w:rsid w:val="00790EFE"/>
    <w:rsid w:val="007A6F59"/>
    <w:rsid w:val="007C59AA"/>
    <w:rsid w:val="007D053C"/>
    <w:rsid w:val="007D631B"/>
    <w:rsid w:val="007D704B"/>
    <w:rsid w:val="007F5B5B"/>
    <w:rsid w:val="00812FCE"/>
    <w:rsid w:val="00817C85"/>
    <w:rsid w:val="0083108D"/>
    <w:rsid w:val="008319EC"/>
    <w:rsid w:val="008423BA"/>
    <w:rsid w:val="00870104"/>
    <w:rsid w:val="00875DE3"/>
    <w:rsid w:val="008773DE"/>
    <w:rsid w:val="00891E12"/>
    <w:rsid w:val="008A336D"/>
    <w:rsid w:val="008B2352"/>
    <w:rsid w:val="008C7131"/>
    <w:rsid w:val="008D0E68"/>
    <w:rsid w:val="008D59A2"/>
    <w:rsid w:val="008E25B4"/>
    <w:rsid w:val="008F0CB0"/>
    <w:rsid w:val="008F3A17"/>
    <w:rsid w:val="009067C7"/>
    <w:rsid w:val="00925D39"/>
    <w:rsid w:val="00931E23"/>
    <w:rsid w:val="009506EF"/>
    <w:rsid w:val="00956FCF"/>
    <w:rsid w:val="00964164"/>
    <w:rsid w:val="009708CE"/>
    <w:rsid w:val="009768EE"/>
    <w:rsid w:val="009840D5"/>
    <w:rsid w:val="009A05EC"/>
    <w:rsid w:val="009D1253"/>
    <w:rsid w:val="009D1FDC"/>
    <w:rsid w:val="009F4543"/>
    <w:rsid w:val="009F7F40"/>
    <w:rsid w:val="00A05DD2"/>
    <w:rsid w:val="00A24791"/>
    <w:rsid w:val="00A3353E"/>
    <w:rsid w:val="00A365F0"/>
    <w:rsid w:val="00A377EB"/>
    <w:rsid w:val="00A446D8"/>
    <w:rsid w:val="00A67372"/>
    <w:rsid w:val="00A7748B"/>
    <w:rsid w:val="00A8220F"/>
    <w:rsid w:val="00A864E0"/>
    <w:rsid w:val="00A96DD0"/>
    <w:rsid w:val="00AB6E0A"/>
    <w:rsid w:val="00AD0375"/>
    <w:rsid w:val="00AD378F"/>
    <w:rsid w:val="00AD59BE"/>
    <w:rsid w:val="00AE0662"/>
    <w:rsid w:val="00AE7899"/>
    <w:rsid w:val="00AF01F5"/>
    <w:rsid w:val="00AF6B9B"/>
    <w:rsid w:val="00B057A8"/>
    <w:rsid w:val="00B41BF2"/>
    <w:rsid w:val="00B53AA1"/>
    <w:rsid w:val="00B70946"/>
    <w:rsid w:val="00B77AC4"/>
    <w:rsid w:val="00BD2E22"/>
    <w:rsid w:val="00BE2453"/>
    <w:rsid w:val="00BE36B5"/>
    <w:rsid w:val="00BE3FFE"/>
    <w:rsid w:val="00C0067E"/>
    <w:rsid w:val="00C054D3"/>
    <w:rsid w:val="00C0562A"/>
    <w:rsid w:val="00C12430"/>
    <w:rsid w:val="00C16CD4"/>
    <w:rsid w:val="00C178C1"/>
    <w:rsid w:val="00C23D04"/>
    <w:rsid w:val="00C31C77"/>
    <w:rsid w:val="00C47B5A"/>
    <w:rsid w:val="00C502A4"/>
    <w:rsid w:val="00C57E88"/>
    <w:rsid w:val="00C8246F"/>
    <w:rsid w:val="00C85F2E"/>
    <w:rsid w:val="00CB7BD1"/>
    <w:rsid w:val="00CD052A"/>
    <w:rsid w:val="00CD23F4"/>
    <w:rsid w:val="00CE7F15"/>
    <w:rsid w:val="00CF793A"/>
    <w:rsid w:val="00D000DF"/>
    <w:rsid w:val="00D0735A"/>
    <w:rsid w:val="00D10F38"/>
    <w:rsid w:val="00D22A93"/>
    <w:rsid w:val="00D22D88"/>
    <w:rsid w:val="00D32FC1"/>
    <w:rsid w:val="00D511E7"/>
    <w:rsid w:val="00D8152F"/>
    <w:rsid w:val="00DA12E1"/>
    <w:rsid w:val="00DA3D6E"/>
    <w:rsid w:val="00DA76F1"/>
    <w:rsid w:val="00DB3A1D"/>
    <w:rsid w:val="00DB46CE"/>
    <w:rsid w:val="00DB5FBF"/>
    <w:rsid w:val="00DC5F50"/>
    <w:rsid w:val="00DC6397"/>
    <w:rsid w:val="00DD756D"/>
    <w:rsid w:val="00DD765D"/>
    <w:rsid w:val="00DF1954"/>
    <w:rsid w:val="00DF29AA"/>
    <w:rsid w:val="00E067F2"/>
    <w:rsid w:val="00E25B5A"/>
    <w:rsid w:val="00E4276B"/>
    <w:rsid w:val="00E4595D"/>
    <w:rsid w:val="00E6101E"/>
    <w:rsid w:val="00E6398E"/>
    <w:rsid w:val="00E63FA8"/>
    <w:rsid w:val="00E6594D"/>
    <w:rsid w:val="00E74016"/>
    <w:rsid w:val="00E84F18"/>
    <w:rsid w:val="00E85A12"/>
    <w:rsid w:val="00EA102F"/>
    <w:rsid w:val="00EA17D4"/>
    <w:rsid w:val="00EB2ED5"/>
    <w:rsid w:val="00EC29B0"/>
    <w:rsid w:val="00ED21C1"/>
    <w:rsid w:val="00ED21C4"/>
    <w:rsid w:val="00ED60DF"/>
    <w:rsid w:val="00ED7057"/>
    <w:rsid w:val="00ED752B"/>
    <w:rsid w:val="00EF3EAE"/>
    <w:rsid w:val="00F054C1"/>
    <w:rsid w:val="00F076AF"/>
    <w:rsid w:val="00F134EA"/>
    <w:rsid w:val="00F24692"/>
    <w:rsid w:val="00F2680E"/>
    <w:rsid w:val="00F322E6"/>
    <w:rsid w:val="00F3530E"/>
    <w:rsid w:val="00F46EBC"/>
    <w:rsid w:val="00F52E07"/>
    <w:rsid w:val="00F64CE9"/>
    <w:rsid w:val="00F76608"/>
    <w:rsid w:val="00F8004A"/>
    <w:rsid w:val="00F83734"/>
    <w:rsid w:val="00F87370"/>
    <w:rsid w:val="00F879A0"/>
    <w:rsid w:val="00F90A45"/>
    <w:rsid w:val="00F96954"/>
    <w:rsid w:val="00F9798B"/>
    <w:rsid w:val="00FC45AC"/>
    <w:rsid w:val="00FD0590"/>
    <w:rsid w:val="00FF22D7"/>
    <w:rsid w:val="00FF4894"/>
    <w:rsid w:val="00FF7D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23"/>
      </w:numPr>
      <w:spacing w:before="240" w:after="60"/>
      <w:outlineLvl w:val="3"/>
    </w:pPr>
    <w:rPr>
      <w:b/>
      <w:bCs/>
      <w:sz w:val="28"/>
      <w:szCs w:val="28"/>
    </w:rPr>
  </w:style>
  <w:style w:type="paragraph" w:styleId="Otsikko5">
    <w:name w:val="heading 5"/>
    <w:basedOn w:val="Normaali"/>
    <w:next w:val="Normaali"/>
    <w:rsid w:val="00684BB4"/>
    <w:pPr>
      <w:numPr>
        <w:ilvl w:val="4"/>
        <w:numId w:val="23"/>
      </w:numPr>
      <w:spacing w:before="240" w:after="60"/>
      <w:outlineLvl w:val="4"/>
    </w:pPr>
    <w:rPr>
      <w:b/>
      <w:bCs/>
      <w:i/>
      <w:iCs/>
      <w:sz w:val="26"/>
      <w:szCs w:val="26"/>
    </w:rPr>
  </w:style>
  <w:style w:type="paragraph" w:styleId="Otsikko6">
    <w:name w:val="heading 6"/>
    <w:basedOn w:val="Normaali"/>
    <w:next w:val="Normaali"/>
    <w:rsid w:val="00684BB4"/>
    <w:pPr>
      <w:numPr>
        <w:ilvl w:val="5"/>
        <w:numId w:val="23"/>
      </w:numPr>
      <w:spacing w:before="240" w:after="60"/>
      <w:outlineLvl w:val="5"/>
    </w:pPr>
    <w:rPr>
      <w:b/>
      <w:bCs/>
      <w:sz w:val="22"/>
      <w:szCs w:val="22"/>
    </w:rPr>
  </w:style>
  <w:style w:type="paragraph" w:styleId="Otsikko7">
    <w:name w:val="heading 7"/>
    <w:basedOn w:val="Normaali"/>
    <w:next w:val="Normaali"/>
    <w:rsid w:val="00684BB4"/>
    <w:pPr>
      <w:numPr>
        <w:ilvl w:val="6"/>
        <w:numId w:val="23"/>
      </w:numPr>
      <w:spacing w:before="240" w:after="60"/>
      <w:outlineLvl w:val="6"/>
    </w:pPr>
    <w:rPr>
      <w:szCs w:val="24"/>
    </w:rPr>
  </w:style>
  <w:style w:type="paragraph" w:styleId="Otsikko8">
    <w:name w:val="heading 8"/>
    <w:basedOn w:val="Normaali"/>
    <w:next w:val="Normaali"/>
    <w:rsid w:val="00684BB4"/>
    <w:pPr>
      <w:numPr>
        <w:ilvl w:val="7"/>
        <w:numId w:val="23"/>
      </w:numPr>
      <w:spacing w:before="240" w:after="60"/>
      <w:outlineLvl w:val="7"/>
    </w:pPr>
    <w:rPr>
      <w:i/>
      <w:iCs/>
      <w:szCs w:val="24"/>
    </w:rPr>
  </w:style>
  <w:style w:type="paragraph" w:styleId="Otsikko9">
    <w:name w:val="heading 9"/>
    <w:basedOn w:val="Normaali"/>
    <w:next w:val="Normaali"/>
    <w:rsid w:val="00684BB4"/>
    <w:pPr>
      <w:numPr>
        <w:ilvl w:val="8"/>
        <w:numId w:val="2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0"/>
      </w:numPr>
      <w:spacing w:after="120"/>
    </w:pPr>
  </w:style>
  <w:style w:type="paragraph" w:customStyle="1" w:styleId="VMLuettelonkappaletyyppi">
    <w:name w:val="VM_Luettelon kappaletyyppi"/>
    <w:basedOn w:val="VMNormaaliSisentmtn"/>
    <w:qFormat/>
    <w:rsid w:val="00684BB4"/>
    <w:pPr>
      <w:numPr>
        <w:numId w:val="20"/>
      </w:numPr>
    </w:pPr>
    <w:rPr>
      <w:szCs w:val="24"/>
    </w:rPr>
  </w:style>
  <w:style w:type="paragraph" w:styleId="Sisluet1">
    <w:name w:val="toc 1"/>
    <w:basedOn w:val="Normaali"/>
    <w:next w:val="Normaali"/>
    <w:uiPriority w:val="39"/>
    <w:qFormat/>
    <w:rsid w:val="00C31C77"/>
    <w:pPr>
      <w:tabs>
        <w:tab w:val="right" w:pos="9639"/>
      </w:tabs>
      <w:spacing w:before="240"/>
      <w:ind w:left="1298" w:right="851" w:hanging="1298"/>
    </w:pPr>
    <w:rPr>
      <w:caps/>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1"/>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2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7"/>
      </w:numPr>
      <w:spacing w:before="320" w:after="200"/>
    </w:pPr>
    <w:rPr>
      <w:b/>
    </w:rPr>
  </w:style>
  <w:style w:type="paragraph" w:customStyle="1" w:styleId="VMOtsikkonum2">
    <w:name w:val="VM_Otsikko_num 2"/>
    <w:next w:val="VMleipteksti"/>
    <w:qFormat/>
    <w:rsid w:val="00DF1954"/>
    <w:pPr>
      <w:numPr>
        <w:ilvl w:val="1"/>
        <w:numId w:val="47"/>
      </w:numPr>
      <w:spacing w:before="320" w:after="200"/>
    </w:pPr>
    <w:rPr>
      <w:b/>
    </w:rPr>
  </w:style>
  <w:style w:type="paragraph" w:customStyle="1" w:styleId="VMOtsikkonum3">
    <w:name w:val="VM_Otsikko_num 3"/>
    <w:next w:val="VMleipteksti"/>
    <w:qFormat/>
    <w:rsid w:val="00DF1954"/>
    <w:pPr>
      <w:numPr>
        <w:ilvl w:val="2"/>
        <w:numId w:val="47"/>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9A05EC"/>
    <w:pPr>
      <w:keepLines/>
      <w:spacing w:before="480" w:after="0" w:line="276" w:lineRule="auto"/>
      <w:outlineLvl w:val="9"/>
    </w:pPr>
    <w:rPr>
      <w:rFonts w:asciiTheme="majorHAnsi" w:eastAsiaTheme="majorEastAsia" w:hAnsiTheme="majorHAnsi" w:cstheme="majorBidi"/>
      <w:color w:val="243A65" w:themeColor="accent1" w:themeShade="BF"/>
      <w:kern w:val="0"/>
      <w:sz w:val="28"/>
      <w:szCs w:val="28"/>
    </w:rPr>
  </w:style>
  <w:style w:type="character" w:styleId="Hyperlinkki">
    <w:name w:val="Hyperlink"/>
    <w:basedOn w:val="Kappaleenoletusfontti"/>
    <w:uiPriority w:val="99"/>
    <w:unhideWhenUsed/>
    <w:rsid w:val="009A05EC"/>
    <w:rPr>
      <w:color w:val="0000FF" w:themeColor="hyperlink"/>
      <w:u w:val="single"/>
    </w:rPr>
  </w:style>
  <w:style w:type="paragraph" w:styleId="Sisluet2">
    <w:name w:val="toc 2"/>
    <w:basedOn w:val="Normaali"/>
    <w:next w:val="Normaali"/>
    <w:autoRedefine/>
    <w:uiPriority w:val="39"/>
    <w:qFormat/>
    <w:rsid w:val="009A05EC"/>
    <w:pPr>
      <w:spacing w:after="100"/>
      <w:ind w:left="210"/>
    </w:pPr>
  </w:style>
  <w:style w:type="paragraph" w:styleId="Sisluet3">
    <w:name w:val="toc 3"/>
    <w:basedOn w:val="Normaali"/>
    <w:next w:val="Normaali"/>
    <w:autoRedefine/>
    <w:uiPriority w:val="39"/>
    <w:unhideWhenUsed/>
    <w:qFormat/>
    <w:rsid w:val="00C054D3"/>
    <w:pPr>
      <w:spacing w:after="100" w:line="276" w:lineRule="auto"/>
      <w:ind w:left="440"/>
    </w:pPr>
    <w:rPr>
      <w:rFonts w:eastAsiaTheme="minorEastAsi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23"/>
      </w:numPr>
      <w:spacing w:before="240" w:after="60"/>
      <w:outlineLvl w:val="3"/>
    </w:pPr>
    <w:rPr>
      <w:b/>
      <w:bCs/>
      <w:sz w:val="28"/>
      <w:szCs w:val="28"/>
    </w:rPr>
  </w:style>
  <w:style w:type="paragraph" w:styleId="Otsikko5">
    <w:name w:val="heading 5"/>
    <w:basedOn w:val="Normaali"/>
    <w:next w:val="Normaali"/>
    <w:rsid w:val="00684BB4"/>
    <w:pPr>
      <w:numPr>
        <w:ilvl w:val="4"/>
        <w:numId w:val="23"/>
      </w:numPr>
      <w:spacing w:before="240" w:after="60"/>
      <w:outlineLvl w:val="4"/>
    </w:pPr>
    <w:rPr>
      <w:b/>
      <w:bCs/>
      <w:i/>
      <w:iCs/>
      <w:sz w:val="26"/>
      <w:szCs w:val="26"/>
    </w:rPr>
  </w:style>
  <w:style w:type="paragraph" w:styleId="Otsikko6">
    <w:name w:val="heading 6"/>
    <w:basedOn w:val="Normaali"/>
    <w:next w:val="Normaali"/>
    <w:rsid w:val="00684BB4"/>
    <w:pPr>
      <w:numPr>
        <w:ilvl w:val="5"/>
        <w:numId w:val="23"/>
      </w:numPr>
      <w:spacing w:before="240" w:after="60"/>
      <w:outlineLvl w:val="5"/>
    </w:pPr>
    <w:rPr>
      <w:b/>
      <w:bCs/>
      <w:sz w:val="22"/>
      <w:szCs w:val="22"/>
    </w:rPr>
  </w:style>
  <w:style w:type="paragraph" w:styleId="Otsikko7">
    <w:name w:val="heading 7"/>
    <w:basedOn w:val="Normaali"/>
    <w:next w:val="Normaali"/>
    <w:rsid w:val="00684BB4"/>
    <w:pPr>
      <w:numPr>
        <w:ilvl w:val="6"/>
        <w:numId w:val="23"/>
      </w:numPr>
      <w:spacing w:before="240" w:after="60"/>
      <w:outlineLvl w:val="6"/>
    </w:pPr>
    <w:rPr>
      <w:szCs w:val="24"/>
    </w:rPr>
  </w:style>
  <w:style w:type="paragraph" w:styleId="Otsikko8">
    <w:name w:val="heading 8"/>
    <w:basedOn w:val="Normaali"/>
    <w:next w:val="Normaali"/>
    <w:rsid w:val="00684BB4"/>
    <w:pPr>
      <w:numPr>
        <w:ilvl w:val="7"/>
        <w:numId w:val="23"/>
      </w:numPr>
      <w:spacing w:before="240" w:after="60"/>
      <w:outlineLvl w:val="7"/>
    </w:pPr>
    <w:rPr>
      <w:i/>
      <w:iCs/>
      <w:szCs w:val="24"/>
    </w:rPr>
  </w:style>
  <w:style w:type="paragraph" w:styleId="Otsikko9">
    <w:name w:val="heading 9"/>
    <w:basedOn w:val="Normaali"/>
    <w:next w:val="Normaali"/>
    <w:rsid w:val="00684BB4"/>
    <w:pPr>
      <w:numPr>
        <w:ilvl w:val="8"/>
        <w:numId w:val="2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0"/>
      </w:numPr>
      <w:spacing w:after="120"/>
    </w:pPr>
  </w:style>
  <w:style w:type="paragraph" w:customStyle="1" w:styleId="VMLuettelonkappaletyyppi">
    <w:name w:val="VM_Luettelon kappaletyyppi"/>
    <w:basedOn w:val="VMNormaaliSisentmtn"/>
    <w:qFormat/>
    <w:rsid w:val="00684BB4"/>
    <w:pPr>
      <w:numPr>
        <w:numId w:val="20"/>
      </w:numPr>
    </w:pPr>
    <w:rPr>
      <w:szCs w:val="24"/>
    </w:rPr>
  </w:style>
  <w:style w:type="paragraph" w:styleId="Sisluet1">
    <w:name w:val="toc 1"/>
    <w:basedOn w:val="Normaali"/>
    <w:next w:val="Normaali"/>
    <w:uiPriority w:val="39"/>
    <w:qFormat/>
    <w:rsid w:val="00C31C77"/>
    <w:pPr>
      <w:tabs>
        <w:tab w:val="right" w:pos="9639"/>
      </w:tabs>
      <w:spacing w:before="240"/>
      <w:ind w:left="1298" w:right="851" w:hanging="1298"/>
    </w:pPr>
    <w:rPr>
      <w:caps/>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1"/>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2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7"/>
      </w:numPr>
      <w:spacing w:before="320" w:after="200"/>
    </w:pPr>
    <w:rPr>
      <w:b/>
    </w:rPr>
  </w:style>
  <w:style w:type="paragraph" w:customStyle="1" w:styleId="VMOtsikkonum2">
    <w:name w:val="VM_Otsikko_num 2"/>
    <w:next w:val="VMleipteksti"/>
    <w:qFormat/>
    <w:rsid w:val="00DF1954"/>
    <w:pPr>
      <w:numPr>
        <w:ilvl w:val="1"/>
        <w:numId w:val="47"/>
      </w:numPr>
      <w:spacing w:before="320" w:after="200"/>
    </w:pPr>
    <w:rPr>
      <w:b/>
    </w:rPr>
  </w:style>
  <w:style w:type="paragraph" w:customStyle="1" w:styleId="VMOtsikkonum3">
    <w:name w:val="VM_Otsikko_num 3"/>
    <w:next w:val="VMleipteksti"/>
    <w:qFormat/>
    <w:rsid w:val="00DF1954"/>
    <w:pPr>
      <w:numPr>
        <w:ilvl w:val="2"/>
        <w:numId w:val="47"/>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9A05EC"/>
    <w:pPr>
      <w:keepLines/>
      <w:spacing w:before="480" w:after="0" w:line="276" w:lineRule="auto"/>
      <w:outlineLvl w:val="9"/>
    </w:pPr>
    <w:rPr>
      <w:rFonts w:asciiTheme="majorHAnsi" w:eastAsiaTheme="majorEastAsia" w:hAnsiTheme="majorHAnsi" w:cstheme="majorBidi"/>
      <w:color w:val="243A65" w:themeColor="accent1" w:themeShade="BF"/>
      <w:kern w:val="0"/>
      <w:sz w:val="28"/>
      <w:szCs w:val="28"/>
    </w:rPr>
  </w:style>
  <w:style w:type="character" w:styleId="Hyperlinkki">
    <w:name w:val="Hyperlink"/>
    <w:basedOn w:val="Kappaleenoletusfontti"/>
    <w:uiPriority w:val="99"/>
    <w:unhideWhenUsed/>
    <w:rsid w:val="009A05EC"/>
    <w:rPr>
      <w:color w:val="0000FF" w:themeColor="hyperlink"/>
      <w:u w:val="single"/>
    </w:rPr>
  </w:style>
  <w:style w:type="paragraph" w:styleId="Sisluet2">
    <w:name w:val="toc 2"/>
    <w:basedOn w:val="Normaali"/>
    <w:next w:val="Normaali"/>
    <w:autoRedefine/>
    <w:uiPriority w:val="39"/>
    <w:qFormat/>
    <w:rsid w:val="009A05EC"/>
    <w:pPr>
      <w:spacing w:after="100"/>
      <w:ind w:left="210"/>
    </w:pPr>
  </w:style>
  <w:style w:type="paragraph" w:styleId="Sisluet3">
    <w:name w:val="toc 3"/>
    <w:basedOn w:val="Normaali"/>
    <w:next w:val="Normaali"/>
    <w:autoRedefine/>
    <w:uiPriority w:val="39"/>
    <w:unhideWhenUsed/>
    <w:qFormat/>
    <w:rsid w:val="00C054D3"/>
    <w:pPr>
      <w:spacing w:after="100" w:line="276" w:lineRule="auto"/>
      <w:ind w:left="440"/>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Ronkaa\AppData\Roaming\Microsoft\Templates\TWeb2007.dotm" TargetMode="External"/></Relationships>
</file>

<file path=word/theme/theme1.xml><?xml version="1.0" encoding="utf-8"?>
<a:theme xmlns:a="http://schemas.openxmlformats.org/drawingml/2006/main" name="Office-teema">
  <a:themeElements>
    <a:clrScheme name="VM">
      <a:dk1>
        <a:sysClr val="windowText" lastClr="000000"/>
      </a:dk1>
      <a:lt1>
        <a:sysClr val="window" lastClr="FFFFFF"/>
      </a:lt1>
      <a:dk2>
        <a:srgbClr val="304E88"/>
      </a:dk2>
      <a:lt2>
        <a:srgbClr val="EEECE1"/>
      </a:lt2>
      <a:accent1>
        <a:srgbClr val="304E88"/>
      </a:accent1>
      <a:accent2>
        <a:srgbClr val="A34E96"/>
      </a:accent2>
      <a:accent3>
        <a:srgbClr val="5AB5EC"/>
      </a:accent3>
      <a:accent4>
        <a:srgbClr val="A0CD3D"/>
      </a:accent4>
      <a:accent5>
        <a:srgbClr val="DDDDDD"/>
      </a:accent5>
      <a:accent6>
        <a:srgbClr val="ED2939"/>
      </a:accent6>
      <a:hlink>
        <a:srgbClr val="0000FF"/>
      </a:hlink>
      <a:folHlink>
        <a:srgbClr val="800080"/>
      </a:folHlink>
    </a:clrScheme>
    <a:fontScheme name="VM_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36CD-A6FC-45F2-887A-14B20EC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TWeb2007.dotm</Template>
  <TotalTime>1</TotalTime>
  <Pages>28</Pages>
  <Words>9557</Words>
  <Characters>87553</Characters>
  <Application>Microsoft Office Word</Application>
  <DocSecurity>0</DocSecurity>
  <Lines>729</Lines>
  <Paragraphs>193</Paragraphs>
  <ScaleCrop>false</ScaleCrop>
  <HeadingPairs>
    <vt:vector size="2" baseType="variant">
      <vt:variant>
        <vt:lpstr>Otsikko</vt:lpstr>
      </vt:variant>
      <vt:variant>
        <vt:i4>1</vt:i4>
      </vt:variant>
    </vt:vector>
  </HeadingPairs>
  <TitlesOfParts>
    <vt:vector size="1" baseType="lpstr">
      <vt:lpstr>Valtiovarainministeriön Mahti-asiakirjamalli</vt:lpstr>
    </vt:vector>
  </TitlesOfParts>
  <Company>VIP</Company>
  <LinksUpToDate>false</LinksUpToDate>
  <CharactersWithSpaces>96917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Valtiovarainministeriön Mahti-asiakirjamalli</dc:title>
  <dc:subject>Tweb asiakirjamalli</dc:subject>
  <dc:creator>Heinonen Tiina VM</dc:creator>
  <dc:description>Triplan Oy, mahti@triplan.fi, 1.6.2009</dc:description>
  <cp:lastModifiedBy>Rönkä Annukka VM</cp:lastModifiedBy>
  <cp:revision>3</cp:revision>
  <cp:lastPrinted>2017-09-26T07:01:00Z</cp:lastPrinted>
  <dcterms:created xsi:type="dcterms:W3CDTF">2017-10-10T11:21:00Z</dcterms:created>
  <dcterms:modified xsi:type="dcterms:W3CDTF">2017-10-10T11:44:00Z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corporatename">
    <vt:lpwstr> </vt:lpwstr>
  </property>
  <property fmtid="{D5CDD505-2E9C-101B-9397-08002B2CF9AE}" pid="56" name="tweb_doc_agent_ssn">
    <vt:lpwstr>Osapuoli, hetu</vt:lpwstr>
  </property>
  <property fmtid="{D5CDD505-2E9C-101B-9397-08002B2CF9AE}" pid="57" name="tweb_doc_agent_street">
    <vt:lpwstr> </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personalname">
    <vt:lpwstr> </vt:lpwstr>
  </property>
  <property fmtid="{D5CDD505-2E9C-101B-9397-08002B2CF9AE}" pid="75" name="tweb_doc_meta_2700">
    <vt:lpwstr>Tarjousten määräaika</vt:lpwstr>
  </property>
  <property fmtid="{D5CDD505-2E9C-101B-9397-08002B2CF9AE}" pid="76" name="tweb_doc_meta_2701">
    <vt:lpwstr>Sopimuksen osapuolet</vt:lpwstr>
  </property>
  <property fmtid="{D5CDD505-2E9C-101B-9397-08002B2CF9AE}" pid="77" name="TwebKey">
    <vt:lpwstr>bfb9ee427b78b4395df78349bdd3f078#vm.mahti2.vn.fi!/TWeb/toaxfront!80!0</vt:lpwstr>
  </property>
</Properties>
</file>