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E3C03">
      <w:pPr>
        <w:spacing w:after="20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Opetus- ja kulttuuriministeriö</w:t>
      </w:r>
    </w:p>
    <w:p w:rsidR="00A77B3E" w:rsidRDefault="008E3C03">
      <w:pPr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Lausuntopyyntö</w:t>
      </w:r>
    </w:p>
    <w:p w:rsidR="00A77B3E" w:rsidRDefault="008E3C03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23.01.2024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VN/2383/2024</w:t>
      </w:r>
    </w:p>
    <w:p w:rsidR="00A77B3E" w:rsidRDefault="008E3C03">
      <w:pPr>
        <w:rPr>
          <w:rFonts w:ascii="Arial" w:eastAsia="Arial" w:hAnsi="Arial" w:cs="Arial"/>
          <w:color w:val="000000"/>
        </w:rPr>
      </w:pPr>
    </w:p>
    <w:p w:rsidR="00A77B3E" w:rsidRDefault="008E3C03">
      <w:pPr>
        <w:rPr>
          <w:rFonts w:ascii="Arial" w:eastAsia="Arial" w:hAnsi="Arial" w:cs="Arial"/>
          <w:color w:val="000000"/>
        </w:rPr>
      </w:pPr>
    </w:p>
    <w:p w:rsidR="00A77B3E" w:rsidRDefault="008E3C03">
      <w:pPr>
        <w:rPr>
          <w:rFonts w:ascii="Arial" w:eastAsia="Arial" w:hAnsi="Arial" w:cs="Arial"/>
          <w:color w:val="000000"/>
        </w:rPr>
      </w:pPr>
    </w:p>
    <w:p w:rsidR="00A77B3E" w:rsidRDefault="008E3C03">
      <w:pPr>
        <w:rPr>
          <w:rFonts w:ascii="Arial" w:eastAsia="Arial" w:hAnsi="Arial" w:cs="Arial"/>
          <w:color w:val="000000"/>
        </w:rPr>
      </w:pPr>
    </w:p>
    <w:p w:rsidR="00A77B3E" w:rsidRDefault="008E3C03">
      <w:pPr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>Lausuntopyyntö ammattikorkeakoulujen rahoitusmallin uudistamista koskevista asetusluonnoksista</w:t>
      </w:r>
    </w:p>
    <w:p w:rsidR="00A77B3E" w:rsidRDefault="008E3C03">
      <w:pPr>
        <w:rPr>
          <w:rFonts w:ascii="Arial" w:eastAsia="Arial" w:hAnsi="Arial" w:cs="Arial"/>
          <w:color w:val="000000"/>
          <w:sz w:val="32"/>
        </w:rPr>
      </w:pPr>
    </w:p>
    <w:p w:rsidR="00A77B3E" w:rsidRDefault="008E3C03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Johdanto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Opetus- ja kulttuuriministeriö pyytää lausuntoanne luonnoksesta </w:t>
      </w:r>
      <w:r>
        <w:rPr>
          <w:rFonts w:ascii="Arial" w:eastAsia="Arial" w:hAnsi="Arial" w:cs="Arial"/>
          <w:color w:val="000000"/>
        </w:rPr>
        <w:t>valtioneuvoston asetukseksi ammattikorkeakouluista annetun valtioneuvoston asetuksen muuttamisesta sekä opetus- ja kulttuuriministeriön asetukseksi ammattikorkeakoulujen perusrahoituksen laskentakriteereistä. Asetusehdotukset perustuvat laajapohjaisen kork</w:t>
      </w:r>
      <w:r>
        <w:rPr>
          <w:rFonts w:ascii="Arial" w:eastAsia="Arial" w:hAnsi="Arial" w:cs="Arial"/>
          <w:color w:val="000000"/>
        </w:rPr>
        <w:t>eakoulujen rahoituksen ja ohjauksen uudistamista valmistelleen opetus- ja kulttuuriministeriön työryhmän ehdotukseen yliopistojen ja ammattikorkeakoulujen uusiksi rahoitusmalleiksi vuodesta 2025 alkaen ja niitä koskeviksi säädöksiksi. 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Tausta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Opetus- ja k</w:t>
      </w:r>
      <w:r>
        <w:rPr>
          <w:rFonts w:ascii="Arial" w:eastAsia="Arial" w:hAnsi="Arial" w:cs="Arial"/>
          <w:color w:val="000000"/>
        </w:rPr>
        <w:t>ulttuuriministeriön työryhmä teki joulukuussa 2023 ehdotuksensa korkeakoulujen valtionrahoituksen kohdentamisessa käytettyjen rahoitusmallien uudistamiseksi vuodesta 2025 alkaen ja niiden pohjalta ehdotukset tarvittavista säädösmuutoksista (liitteenä).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Ty</w:t>
      </w:r>
      <w:r>
        <w:rPr>
          <w:rFonts w:ascii="Arial" w:eastAsia="Arial" w:hAnsi="Arial" w:cs="Arial"/>
          <w:color w:val="000000"/>
        </w:rPr>
        <w:t>öryhmän ehdotusten mukaisesti ammattikorkeakouluista annetun valtioneuvoston asetuksen 12−14 §:ää ehdotetaan muutettavaksi edistämään hallitusohjelman keskeisiä korkeakoulu- ja tiedepoliittisia tavoitteita turvaten samalla korkeakoulujen autonomiaa ja raho</w:t>
      </w:r>
      <w:r>
        <w:rPr>
          <w:rFonts w:ascii="Arial" w:eastAsia="Arial" w:hAnsi="Arial" w:cs="Arial"/>
          <w:color w:val="000000"/>
        </w:rPr>
        <w:t>ituksen ennakoitavuutta. Työryhmän ehdotusten mukaisesti ehdotetaan uudistettavaksi myös opetus- ja kulttuuriministeriön asetus ammattikorkeakoulujen perusrahoituksen laskentakriteereistä.</w:t>
      </w:r>
      <w:r>
        <w:rPr>
          <w:rFonts w:ascii="Arial" w:eastAsia="Arial" w:hAnsi="Arial" w:cs="Arial"/>
          <w:color w:val="000000"/>
        </w:rPr>
        <w:br/>
        <w:t> 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Tavoitteet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Pääministeri Petteri Orpon hallitus on sitoutunut tek</w:t>
      </w:r>
      <w:r>
        <w:rPr>
          <w:rFonts w:ascii="Arial" w:eastAsia="Arial" w:hAnsi="Arial" w:cs="Arial"/>
          <w:color w:val="000000"/>
        </w:rPr>
        <w:t>emään toimenpiteitä, joilla korkeakoulutettujen nuorten aikuisten määrä pyritään nostamaan mahdollisimman lähelle 50 prosenttia vuoteen 2030 mennessä. Koulutustason nostamiseksi korkeakoulutusta on suunnattava aiempaa voimakkaammin ensimmäistä tutkintoa su</w:t>
      </w:r>
      <w:r>
        <w:rPr>
          <w:rFonts w:ascii="Arial" w:eastAsia="Arial" w:hAnsi="Arial" w:cs="Arial"/>
          <w:color w:val="000000"/>
        </w:rPr>
        <w:t>orittaville. Korkeakoulujen rahoitusmallia arvioidaan niiltä osin kuin muutoksilla voidaan parantaa korkeakoulujen kannustimia varmistaa, että opiskelijat valmistuvat tavoiteajassa.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Hallitus on sitoutunut T&amp;K -järjestelmän kehittämisen periaatteisiin ja p</w:t>
      </w:r>
      <w:r>
        <w:rPr>
          <w:rFonts w:ascii="Arial" w:eastAsia="Arial" w:hAnsi="Arial" w:cs="Arial"/>
          <w:color w:val="000000"/>
        </w:rPr>
        <w:t>arlamentaarisen TKI-</w:t>
      </w:r>
      <w:r>
        <w:rPr>
          <w:rFonts w:ascii="Arial" w:eastAsia="Arial" w:hAnsi="Arial" w:cs="Arial"/>
          <w:color w:val="000000"/>
        </w:rPr>
        <w:lastRenderedPageBreak/>
        <w:t>työryhmän ehdotusten toimeenpanoon. Välttämätöntä on varmistaa osaajien saatavuus ja riittävät koulutusmäärät sekä Suomen houkuttelevuus ulkomaisten osaajien näkökulmasta. Tavoitteeksi on asetettu Suomeen ohjautuvan EU:n T&amp;K-rahoituksen</w:t>
      </w:r>
      <w:r>
        <w:rPr>
          <w:rFonts w:ascii="Arial" w:eastAsia="Arial" w:hAnsi="Arial" w:cs="Arial"/>
          <w:color w:val="000000"/>
        </w:rPr>
        <w:t xml:space="preserve"> kaksinkertaistaminen.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Hallitus jatkaa korkeakoulujen profiloitumisen tukemista, jotta voimavarat käytettäisiin mahdollisimman tarkoituksenmukaisesti. Korkeakoulujen autonomiaa tuetaan, mutta koordinointia tarvitaan. Korkeakouluja kannustetaan kansallise</w:t>
      </w:r>
      <w:r>
        <w:rPr>
          <w:rFonts w:ascii="Arial" w:eastAsia="Arial" w:hAnsi="Arial" w:cs="Arial"/>
          <w:color w:val="000000"/>
        </w:rPr>
        <w:t>en ja kansainväliseen yhteistyöhön. Koulutuskentän yhteistyön mahdollisuuksia hyödynnetään tehokkaammin ottaen huomioon alueelliset ja kielelliset näkökohdat.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Perusrahoituksella korkeakouluille turvataan resurssit niiden lakisääteisten tehtävien hoitamise</w:t>
      </w:r>
      <w:r>
        <w:rPr>
          <w:rFonts w:ascii="Arial" w:eastAsia="Arial" w:hAnsi="Arial" w:cs="Arial"/>
          <w:color w:val="000000"/>
        </w:rPr>
        <w:t>en ja edellytykset toiminnan pitkäjänteiseen kehittämiseen.</w:t>
      </w:r>
      <w:r>
        <w:rPr>
          <w:rFonts w:ascii="Arial" w:eastAsia="Arial" w:hAnsi="Arial" w:cs="Arial"/>
          <w:color w:val="000000"/>
        </w:rPr>
        <w:br/>
        <w:t> 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Vastausohjeet vastaanottajille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 pyydetään antamaan vastaamalla lausuntopalvelu.fi:ssä julkaistuun lausuntopyyntöön. Lausuntoa ei tarvitse lähettää erikseen sähköpostitse tai postitse.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Lausunnon antaakseen vastaajan tulee rekisteröityä ja kirjautua lausuntopalvelu.fi:hin. Tarkemmat ohjeet palvelun käyttämiseksi löytyvät lausuntopalvelu.fi sivuilta Ohjeet &gt; Käyttöohjeet. Palvelun käyttöönoton tukea voi pyytää osoitteesta </w:t>
      </w:r>
      <w:hyperlink r:id="rId7" w:tgtFrame="_blank" w:history="1">
        <w:r>
          <w:rPr>
            <w:rFonts w:ascii="Arial" w:eastAsia="Arial" w:hAnsi="Arial" w:cs="Arial"/>
            <w:color w:val="000000"/>
          </w:rPr>
          <w:t>lausuntopalvelu.om@gov.fi</w:t>
        </w:r>
      </w:hyperlink>
      <w:r>
        <w:rPr>
          <w:rFonts w:ascii="Arial" w:eastAsia="Arial" w:hAnsi="Arial" w:cs="Arial"/>
          <w:color w:val="000000"/>
        </w:rPr>
        <w:t>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Siinä tapauksessa, että lausuntopalvelu.fi:tä ei ole mahdollista käyttää, lausunnon voi toimittaa opetus- ja kulttuuriministeriön kirjaamoon sähköpostitse (kirjaamo.okm@gov.fi) tai p</w:t>
      </w:r>
      <w:r>
        <w:rPr>
          <w:rFonts w:ascii="Arial" w:eastAsia="Arial" w:hAnsi="Arial" w:cs="Arial"/>
          <w:color w:val="000000"/>
        </w:rPr>
        <w:t>ostitse PL 29, 00023 Valtioneuvosto. Saatteessa pyydetään mainitsemaan asianumerot VN/2383/2024 ja VN/2385/2024. VAHVA-asianhallintajärjestelmää käyttäviä ministeriöitä pyydetään kuitenkin viemään lausuntonsa suoraan kyseiselle asialle VAHVA:ssa.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Myös tah</w:t>
      </w:r>
      <w:r>
        <w:rPr>
          <w:rFonts w:ascii="Arial" w:eastAsia="Arial" w:hAnsi="Arial" w:cs="Arial"/>
          <w:color w:val="000000"/>
        </w:rPr>
        <w:t>ot, joita ei ole erikseen mainittu jakelussa, voivat toimittaa lausuntonsa. Kaikki lausunnot ovat julkisia ja ne julkaistaan lausuntopalvelu.fi-sivulla sekä hankkeen internet-sivuilla valtioneuvoston Hankeikkunassa.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Aikataulu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Opetus- ja kulttuuriministeri</w:t>
      </w:r>
      <w:r>
        <w:rPr>
          <w:rFonts w:ascii="Arial" w:eastAsia="Arial" w:hAnsi="Arial" w:cs="Arial"/>
          <w:color w:val="000000"/>
        </w:rPr>
        <w:t>ö pyytää toimittamaan lausunnot asetusluonnoksista tätä lomaketta hyödyntäen </w:t>
      </w:r>
      <w:r>
        <w:rPr>
          <w:rFonts w:ascii="Arial" w:eastAsia="Arial" w:hAnsi="Arial" w:cs="Arial"/>
          <w:b/>
          <w:bCs/>
          <w:color w:val="000000"/>
        </w:rPr>
        <w:t>viimeistään 20.2.2024.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Valmistelijat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Lisätietoja antavat:</w:t>
      </w:r>
      <w:r>
        <w:rPr>
          <w:rFonts w:ascii="Arial" w:eastAsia="Arial" w:hAnsi="Arial" w:cs="Arial"/>
          <w:color w:val="000000"/>
        </w:rPr>
        <w:br/>
        <w:t>Opetusneuvos Tomi Halonen, 02953 30095, tomi.halonen@gov.fi</w:t>
      </w:r>
      <w:r>
        <w:rPr>
          <w:rFonts w:ascii="Arial" w:eastAsia="Arial" w:hAnsi="Arial" w:cs="Arial"/>
          <w:color w:val="000000"/>
        </w:rPr>
        <w:br/>
        <w:t>Opetusneuvos Jorma Karhu, 02953 30139, jorma.karhu@gov.fi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Hallitusneuvos Laura Hansén, 02953 30398, laura.hansen@gov.fi</w:t>
      </w:r>
      <w:r>
        <w:rPr>
          <w:rFonts w:ascii="Arial" w:eastAsia="Arial" w:hAnsi="Arial" w:cs="Arial"/>
          <w:color w:val="000000"/>
        </w:rPr>
        <w:br/>
        <w:t>Opetusneuvos Maarit Palonen, 02953 30243, maarit.palonen@gov.fi</w:t>
      </w:r>
      <w:r>
        <w:rPr>
          <w:rFonts w:ascii="Arial" w:eastAsia="Arial" w:hAnsi="Arial" w:cs="Arial"/>
          <w:color w:val="000000"/>
        </w:rPr>
        <w:br/>
        <w:t>Opetusneuvos Ulla Mäkeläinen, 02953 30223, ulla.makelainen@gov.fi</w:t>
      </w:r>
      <w:r>
        <w:rPr>
          <w:rFonts w:ascii="Arial" w:eastAsia="Arial" w:hAnsi="Arial" w:cs="Arial"/>
          <w:color w:val="000000"/>
        </w:rPr>
        <w:br/>
        <w:t>Opetusneuvos Jukka Haapamäki, 02953 330 088, jukka.haapamaki@gov</w:t>
      </w:r>
      <w:r>
        <w:rPr>
          <w:rFonts w:ascii="Arial" w:eastAsia="Arial" w:hAnsi="Arial" w:cs="Arial"/>
          <w:color w:val="000000"/>
        </w:rPr>
        <w:t>.fi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Linkit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hyperlink r:id="rId8" w:history="1">
        <w:r>
          <w:rPr>
            <w:rFonts w:ascii="Arial" w:eastAsia="Arial" w:hAnsi="Arial" w:cs="Arial"/>
            <w:color w:val="5B9BD5"/>
          </w:rPr>
          <w:t>https://urn.fi/URN:ISBN:978-952-263-985-1</w:t>
        </w:r>
      </w:hyperlink>
      <w:r>
        <w:rPr>
          <w:rFonts w:ascii="Arial" w:eastAsia="Arial" w:hAnsi="Arial" w:cs="Arial"/>
          <w:color w:val="000000"/>
        </w:rPr>
        <w:t xml:space="preserve"> - Ehdotuksen laatineen työryhmän työryhmämuistio: Ehdotus ammattikorkeakoulujen ja yliopistojen valtakunnallisten rahoitusmallien uudistamiseksi</w:t>
      </w:r>
      <w:r>
        <w:rPr>
          <w:rFonts w:ascii="Arial" w:eastAsia="Arial" w:hAnsi="Arial" w:cs="Arial"/>
          <w:color w:val="000000"/>
        </w:rPr>
        <w:t xml:space="preserve"> vuodesta 2025 alkaen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Arbetsgruppspromemoria med  förslag till reform av yrkeshögskolornas och universitetens finansieringsmodeller från och med 2025 (på finska)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hyperlink r:id="rId9" w:history="1">
        <w:r>
          <w:rPr>
            <w:rFonts w:ascii="Arial" w:eastAsia="Arial" w:hAnsi="Arial" w:cs="Arial"/>
            <w:color w:val="5B9BD5"/>
          </w:rPr>
          <w:t>https://valtioneuvosto.fi/h</w:t>
        </w:r>
        <w:r>
          <w:rPr>
            <w:rFonts w:ascii="Arial" w:eastAsia="Arial" w:hAnsi="Arial" w:cs="Arial"/>
            <w:color w:val="5B9BD5"/>
          </w:rPr>
          <w:t>anke?tunnus=OKM010:00/2023</w:t>
        </w:r>
      </w:hyperlink>
      <w:r>
        <w:rPr>
          <w:rFonts w:ascii="Arial" w:eastAsia="Arial" w:hAnsi="Arial" w:cs="Arial"/>
          <w:color w:val="000000"/>
        </w:rPr>
        <w:t xml:space="preserve"> - Rahoitusmalleja uudistaneen työryhmän (KK OHRA –työryhmä 2023) hankeikkunasivu, josta työryhmän työhön liittyvät aineistot ovat ladattavissa.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Arbetsgruppens webbsida i projektportalen (KK OHRA-työryhmä 2023), där material so</w:t>
      </w:r>
      <w:r>
        <w:rPr>
          <w:rFonts w:ascii="Arial" w:eastAsia="Arial" w:hAnsi="Arial" w:cs="Arial"/>
          <w:color w:val="000000"/>
        </w:rPr>
        <w:t>m hänför sig till arbetsgruppens arbete kan laddas ner. (på finska)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Liitteet: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VN asetusluonnos ammattikorkeakouluista 230124.pdf</w:t>
      </w:r>
      <w:r>
        <w:rPr>
          <w:rFonts w:ascii="Arial" w:eastAsia="Arial" w:hAnsi="Arial" w:cs="Arial"/>
          <w:color w:val="000000"/>
        </w:rPr>
        <w:t xml:space="preserve"> - Valtioneuvoston asetus ammattikorkeakouluista annetun valtioneuvoston asetuksen muuttamisesta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VN asetusluonnos ammattikorkea</w:t>
      </w:r>
      <w:r>
        <w:rPr>
          <w:rFonts w:ascii="Arial" w:eastAsia="Arial" w:hAnsi="Arial" w:cs="Arial"/>
          <w:color w:val="5B9BD5"/>
        </w:rPr>
        <w:t>kouluista SV 230124.pdf</w:t>
      </w:r>
      <w:r>
        <w:rPr>
          <w:rFonts w:ascii="Arial" w:eastAsia="Arial" w:hAnsi="Arial" w:cs="Arial"/>
          <w:color w:val="000000"/>
        </w:rPr>
        <w:t xml:space="preserve"> - Statsrådets förordning om ändring av statsrådets förordning om yrkeshögskolor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MUISTIO VNA ammattikorkeakouluista 230124.pdf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OKM asetusluonnos ammattikorkeakoulujen laskentakriteerit 230124.pdf</w:t>
      </w:r>
      <w:r>
        <w:rPr>
          <w:rFonts w:ascii="Arial" w:eastAsia="Arial" w:hAnsi="Arial" w:cs="Arial"/>
          <w:color w:val="000000"/>
        </w:rPr>
        <w:t xml:space="preserve"> - Opetus- ja kulttuuriministeriön ase</w:t>
      </w:r>
      <w:r>
        <w:rPr>
          <w:rFonts w:ascii="Arial" w:eastAsia="Arial" w:hAnsi="Arial" w:cs="Arial"/>
          <w:color w:val="000000"/>
        </w:rPr>
        <w:t>tus ammattikorkeakoulujen perusrahoituksen laskentakriteereistä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OKM asetusluonnos ammattikorkeakoulujen laskentakriteerit SV 230124.pdf</w:t>
      </w:r>
      <w:r>
        <w:rPr>
          <w:rFonts w:ascii="Arial" w:eastAsia="Arial" w:hAnsi="Arial" w:cs="Arial"/>
          <w:color w:val="000000"/>
        </w:rPr>
        <w:t xml:space="preserve"> - Undervisnings- och kulturministeriets förordning om beräkningskriterierna för yrkeshögskolornas basfinansiering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MUISTI</w:t>
      </w:r>
      <w:r>
        <w:rPr>
          <w:rFonts w:ascii="Arial" w:eastAsia="Arial" w:hAnsi="Arial" w:cs="Arial"/>
          <w:color w:val="5B9BD5"/>
        </w:rPr>
        <w:t>O OKMA ammattikorkeakoulujen perusrahoituksen laskentakriteereistä 230124.pdf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Jakelu: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82"/>
        <w:gridCol w:w="287"/>
        <w:gridCol w:w="287"/>
      </w:tblGrid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Aalto-yliopisto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Akava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Ammattikorkeakoulujen rehtorineuvosto Arene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Ammattiliitto Pro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Business Finland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Centria-ammattikorkeakoulu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Diakonia-ammattikorkeakoulu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Elinkeinoelämän keskusliitto EK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HAAGA-HELIA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Helsingin yliopisto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Humanistinen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Hämeen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Insinööriliitto IL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Itä-Suomen yliopisto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Julkisalan </w:t>
            </w:r>
            <w:r>
              <w:rPr>
                <w:rFonts w:ascii="Arial" w:eastAsia="Arial" w:hAnsi="Arial" w:cs="Arial"/>
                <w:color w:val="000000"/>
              </w:rPr>
              <w:t>koulutettujen neuvottelujärjestö JUKO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Julkisten ja hyvinvointialojen liitto JHL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Jyväskylän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Jyväskylän yliopisto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Kaakkois-Suomen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Kajaanin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Kansallinen koulutuksen </w:t>
            </w:r>
            <w:r>
              <w:rPr>
                <w:rFonts w:ascii="Arial" w:eastAsia="Arial" w:hAnsi="Arial" w:cs="Arial"/>
                <w:color w:val="000000"/>
              </w:rPr>
              <w:t>arviointikeskus (Karvi)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Karelia-ammattikorkeakoulu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Keskuskauppakamari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Kunta- ja hyvinvointialuetyönantajat KT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Kuntaliitto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Lab-ammattikorkeakoulu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Lapin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Lapin yliopisto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Lappeenrannan–Lahden teknillinen yliopisto LUT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Laurea-ammattikorkeakoulu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Maa- ja metsätaloustuottajain Keskusliitto MTK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Metropolia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Opetusalan Ammattijärjestö OAJ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Opetushallitus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Oulun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Oulun yliopisto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Professoriliitto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Satakunnan </w:t>
            </w:r>
            <w:r>
              <w:rPr>
                <w:rFonts w:ascii="Arial" w:eastAsia="Arial" w:hAnsi="Arial" w:cs="Arial"/>
                <w:color w:val="000000"/>
              </w:rPr>
              <w:t>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Savonia-ammattikorkeakoulu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Seinäjoen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Sisäministeriö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Sivistysala ry - Sivista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Sosiaali- ja terveysministeriö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Suomalainen Tiedeakatemia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Akatemia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ammattiin opisklevien liitto SAKKI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Ammattiliittojen Keskusjärjestö SAK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Kansanopistoyhdistys – Finlands Folkhögskolförening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Kesäyliopistot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lukiolaisten liitto SLL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Opiskelija-Allianssi OSKU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opiskelijakuntien liitto SAMOK</w:t>
            </w:r>
            <w:r>
              <w:rPr>
                <w:rFonts w:ascii="Arial" w:eastAsia="Arial" w:hAnsi="Arial" w:cs="Arial"/>
                <w:color w:val="000000"/>
              </w:rPr>
              <w:t xml:space="preserve">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Tiedeakatemiat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Tiedeseura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yliopistojen rehtorineuvosto UNIFI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ylioppilaskuntien liitto SYL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yrittäjät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Svenska handelshögskolan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Svenska Tekniska Vetenskapsakademien i Finland STV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Taideyliopisto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Tampereen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Tampereen yliopisto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Tekniikan Akateemiset TEK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Tiedonjulkistamisen neuvottelukunta TJNK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Tieteellisten seurain valtuuskunta TSV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Tieteentekijöiden liitto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Tilastokeskus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Toimihenkilökeskusjärjestö STTK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Turun 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Turun yliopisto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Tutkimuksen vaikuttavuuden tukisäätiö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Tutkimuseettinen neuvottelukunta TENK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Tutkimuslaitosten yhteenliittymä Tulanet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Työ- ja elinkeinoministeriö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Vaasan </w:t>
            </w:r>
            <w:r>
              <w:rPr>
                <w:rFonts w:ascii="Arial" w:eastAsia="Arial" w:hAnsi="Arial" w:cs="Arial"/>
                <w:color w:val="000000"/>
              </w:rPr>
              <w:t>ammattikorkeakoulu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Vaasan yliopisto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Valtiovarainministeriö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Yliopistojen ja tutkimusalan henkilöstöliitto YHL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Yliopistojen opetusalan liitto YLL ry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Yrkeshögskolan Arcada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Yrkeshögskolan Novia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8B64CB"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Åbo Akademi</w:t>
            </w: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8E3C03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before="20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Valtioneuvoston asetus </w:t>
      </w:r>
      <w:r>
        <w:rPr>
          <w:rFonts w:ascii="Arial" w:eastAsia="Arial" w:hAnsi="Arial" w:cs="Arial"/>
          <w:b/>
          <w:color w:val="000000"/>
        </w:rPr>
        <w:t>ammattikorkeakouluista annetun valtioneuvoston asetuksen muuttamisesta</w:t>
      </w:r>
    </w:p>
    <w:p w:rsidR="00A77B3E" w:rsidRDefault="008E3C03">
      <w:pPr>
        <w:spacing w:before="200"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1. Asetusluonnoksen 12 §:ssä esitetään, että ammattikorkeakoululain 43 §:n 3 momentissa tarkoitetusta perusrahoituksesta 95 prosenttia määräytyisi toiminnan laajuuden, laadun ja vaikutt</w:t>
      </w:r>
      <w:r>
        <w:rPr>
          <w:rFonts w:ascii="Arial" w:eastAsia="Arial" w:hAnsi="Arial" w:cs="Arial"/>
          <w:b/>
          <w:bCs/>
          <w:color w:val="000000"/>
        </w:rPr>
        <w:t xml:space="preserve">avuuden perusteella ja 5 prosenttia muiden koulutuspolitiikan sekä tutkimus- ja kehittämispolitiikan tavoitteiden perusteella (strategiaperusteinen rahoitus). Koulutuksen perusteella määräytyväksi rahoitusosuudeksi esitetään 75 % ja tutkimus-, kehittämis- </w:t>
      </w:r>
      <w:r>
        <w:rPr>
          <w:rFonts w:ascii="Arial" w:eastAsia="Arial" w:hAnsi="Arial" w:cs="Arial"/>
          <w:b/>
          <w:bCs/>
          <w:color w:val="000000"/>
        </w:rPr>
        <w:t>ja innovaatiotoiminnan perusteella määräytyväksi rahoitusosuudeksi 20 %. 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 Pidättekö esitettyä rahoitusperusteiden keskinäistä painoarvoa tarkoituksenmukaisena?</w:t>
      </w:r>
    </w:p>
    <w:p w:rsidR="00A77B3E" w:rsidRDefault="008E3C03">
      <w:pPr>
        <w:numPr>
          <w:ilvl w:val="0"/>
          <w:numId w:val="1"/>
        </w:numPr>
        <w:spacing w:before="200"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E3C03">
      <w:pPr>
        <w:numPr>
          <w:ilvl w:val="0"/>
          <w:numId w:val="1"/>
        </w:numPr>
        <w:spacing w:before="200"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1"/>
        </w:numPr>
        <w:spacing w:before="200"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7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1:</w:t>
      </w:r>
    </w:p>
    <w:p w:rsidR="00A77B3E" w:rsidRDefault="008E3C03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7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2. </w:t>
      </w:r>
      <w:r>
        <w:rPr>
          <w:rFonts w:ascii="Arial" w:eastAsia="Arial" w:hAnsi="Arial" w:cs="Arial"/>
          <w:b/>
          <w:bCs/>
          <w:color w:val="000000"/>
        </w:rPr>
        <w:t>Koulutuksen rahoitusosuuteen (13 §) esitetään lisättäväksi rahoitusosuus, joka perustuu uusiin opiskelijoihin, jotka eivät ole aikaisemmin suorittaneet Suomen koulutusjärjestelmän mukaista korkeakoulututkintoa tai vastaanottaneet korkeakoulututkintoon joht</w:t>
      </w:r>
      <w:r>
        <w:rPr>
          <w:rFonts w:ascii="Arial" w:eastAsia="Arial" w:hAnsi="Arial" w:cs="Arial"/>
          <w:b/>
          <w:bCs/>
          <w:color w:val="000000"/>
        </w:rPr>
        <w:t>avaa opiskelupaikkaa. 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Pidättekö ehdotusta tarkoituksenmukaisena?</w:t>
      </w:r>
    </w:p>
    <w:p w:rsidR="00A77B3E" w:rsidRDefault="008E3C03">
      <w:pPr>
        <w:numPr>
          <w:ilvl w:val="0"/>
          <w:numId w:val="2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E3C03">
      <w:pPr>
        <w:numPr>
          <w:ilvl w:val="0"/>
          <w:numId w:val="2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2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72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Rahoitustekijän osuudesta kysytään erikseen kysymyksessä 6</w:t>
      </w:r>
    </w:p>
    <w:p w:rsidR="00A77B3E" w:rsidRDefault="008E3C03">
      <w:pPr>
        <w:spacing w:before="200" w:after="200"/>
        <w:ind w:left="72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2:</w:t>
      </w:r>
    </w:p>
    <w:p w:rsidR="00A77B3E" w:rsidRDefault="008E3C03">
      <w:pPr>
        <w:spacing w:before="200" w:after="200"/>
        <w:ind w:left="72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3. Strategiaperusteisen rahoituksen (14</w:t>
      </w:r>
      <w:r>
        <w:rPr>
          <w:rFonts w:ascii="Arial" w:eastAsia="Arial" w:hAnsi="Arial" w:cs="Arial"/>
          <w:b/>
          <w:bCs/>
          <w:color w:val="000000"/>
        </w:rPr>
        <w:t xml:space="preserve"> §) määräytymisperusteita esitetään muutettavaksi siten, että siitä poistettaisiin valtioneuvoston korkeakoulu- ja tiedepoliittisia tavoitteita tukeva osuus (ns. ohjelmarahoitus). Jatkossa strategiarahoitus perustuisi korkeakoulun strategiaa ja uudistumist</w:t>
      </w:r>
      <w:r>
        <w:rPr>
          <w:rFonts w:ascii="Arial" w:eastAsia="Arial" w:hAnsi="Arial" w:cs="Arial"/>
          <w:b/>
          <w:bCs/>
          <w:color w:val="000000"/>
        </w:rPr>
        <w:t>a tukevaan osuuteen. 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Pidättekö ehdotusta tarkoituksenmukaisena?</w:t>
      </w:r>
    </w:p>
    <w:p w:rsidR="00A77B3E" w:rsidRDefault="008E3C03">
      <w:pPr>
        <w:numPr>
          <w:ilvl w:val="0"/>
          <w:numId w:val="3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Kyllä</w:t>
      </w:r>
    </w:p>
    <w:p w:rsidR="00A77B3E" w:rsidRDefault="008E3C03">
      <w:pPr>
        <w:numPr>
          <w:ilvl w:val="0"/>
          <w:numId w:val="3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3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68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6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3:</w:t>
      </w:r>
    </w:p>
    <w:p w:rsidR="00A77B3E" w:rsidRDefault="008E3C03">
      <w:pPr>
        <w:spacing w:before="200" w:after="200"/>
        <w:ind w:left="68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6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4. Muuta lausuttavaa valtioneuvoston asetusluonnokseen</w:t>
      </w:r>
    </w:p>
    <w:p w:rsidR="00A77B3E" w:rsidRDefault="008E3C03">
      <w:pPr>
        <w:spacing w:before="200" w:after="200"/>
        <w:ind w:left="68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Opetus- ja kulttuuriministeriön asetus </w:t>
      </w:r>
      <w:r>
        <w:rPr>
          <w:rFonts w:ascii="Arial" w:eastAsia="Arial" w:hAnsi="Arial" w:cs="Arial"/>
          <w:b/>
          <w:color w:val="000000"/>
        </w:rPr>
        <w:t>ammattikorkeakoulujen perusrahoituksen laskentakriteereistä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5. OKM asetuksen 1 §:ssä ja liitteessä esitetään koulutuksen rahoitusosuuden laskentakriteereiksi ja niiden painoarvoiksi seuraavia:</w:t>
      </w:r>
    </w:p>
    <w:p w:rsidR="00A77B3E" w:rsidRDefault="008E3C03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Ammattikorkeakoulussa aloittaneiden uusien ensikertaisten opis</w:t>
      </w:r>
      <w:r>
        <w:rPr>
          <w:rFonts w:ascii="Arial" w:eastAsia="Arial" w:hAnsi="Arial" w:cs="Arial"/>
          <w:color w:val="000000"/>
        </w:rPr>
        <w:t>kelijoiden lukumäärä 3 %</w:t>
      </w:r>
    </w:p>
    <w:p w:rsidR="00A77B3E" w:rsidRDefault="008E3C03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Ammattikorkeakoulussa suoritettujen ammattikorkeakoulututkintojen lukumäärä 56 %</w:t>
      </w:r>
    </w:p>
    <w:p w:rsidR="00A77B3E" w:rsidRDefault="008E3C03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Avoimessa ammattikorkeakouluopetuksessa, erillisinä opintoina, maahanmuuttajien valmentavassa koulutuksessa ja erikoistumiskoulutuksessa suoritettujen</w:t>
      </w:r>
      <w:r>
        <w:rPr>
          <w:rFonts w:ascii="Arial" w:eastAsia="Arial" w:hAnsi="Arial" w:cs="Arial"/>
          <w:color w:val="000000"/>
        </w:rPr>
        <w:t xml:space="preserve"> opintopisteiden yhteismäärä 5 %</w:t>
      </w:r>
    </w:p>
    <w:p w:rsidR="00A77B3E" w:rsidRDefault="008E3C03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Ammatillisen opettajankoulutuksen opintokokonaisuuden suorittaneiden lukumäärä 2 %</w:t>
      </w:r>
    </w:p>
    <w:p w:rsidR="00A77B3E" w:rsidRDefault="008E3C03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Korkeakoulujen välisten yhteistyösopimusten perusteella suoritettujen opintopisteiden määrä 1 %</w:t>
      </w:r>
    </w:p>
    <w:p w:rsidR="00A77B3E" w:rsidRDefault="008E3C03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Valtakunnallisen opiskelijapalautekyselyn va</w:t>
      </w:r>
      <w:r>
        <w:rPr>
          <w:rFonts w:ascii="Arial" w:eastAsia="Arial" w:hAnsi="Arial" w:cs="Arial"/>
          <w:color w:val="000000"/>
        </w:rPr>
        <w:t xml:space="preserve">stauspisteiden yhteismäärä 3 % </w:t>
      </w:r>
    </w:p>
    <w:p w:rsidR="00A77B3E" w:rsidRDefault="008E3C03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Ammattikorkeakoulututkinnon suorittaneiden työllisten määrä Suomessa vuosi valmistumisen jälkeen 2 %</w:t>
      </w:r>
    </w:p>
    <w:p w:rsidR="00A77B3E" w:rsidRDefault="008E3C03">
      <w:pPr>
        <w:numPr>
          <w:ilvl w:val="0"/>
          <w:numId w:val="4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Valtakunnallisen uraseurantakyselyn vastauspisteiden yhteismäärä 3 % 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Pidättekö ehdotusta tarkoituksenmukaisena?</w:t>
      </w:r>
    </w:p>
    <w:p w:rsidR="00A77B3E" w:rsidRDefault="008E3C03">
      <w:pPr>
        <w:numPr>
          <w:ilvl w:val="0"/>
          <w:numId w:val="5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E3C03">
      <w:pPr>
        <w:numPr>
          <w:ilvl w:val="0"/>
          <w:numId w:val="5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5"/>
        </w:numPr>
        <w:spacing w:after="200"/>
        <w:ind w:left="1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7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Huom. Sellaisista yllä olevista rahoituskriteereistä ja niiden rahoitusosuuksista, joihin ehdotuksessa kohdistuu muutoksia, on omat kysymyksensä tässä kyselyssä.</w:t>
      </w:r>
    </w:p>
    <w:p w:rsidR="00A77B3E" w:rsidRDefault="008E3C03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7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Näkemyksiä, muutosehdotuksia tai muuta kommentoitavaa ehdotukseen 5:</w:t>
      </w:r>
    </w:p>
    <w:p w:rsidR="00A77B3E" w:rsidRDefault="008E3C03">
      <w:pPr>
        <w:spacing w:before="200" w:after="200"/>
        <w:ind w:left="76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7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6. Uusien </w:t>
      </w:r>
      <w:r>
        <w:rPr>
          <w:rFonts w:ascii="Arial" w:eastAsia="Arial" w:hAnsi="Arial" w:cs="Arial"/>
          <w:b/>
          <w:bCs/>
          <w:color w:val="000000"/>
        </w:rPr>
        <w:t>ensikertaisten opiskelijoiden lukumäärää koskevan uuden laskentakriteerin painoarvo olisi 3 %.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Tämä toteutettaisiin siirtona avoimessa ammattikorkeakouluopetuksessa, maahanmuuttajien valmentavassa koulutuksessa, erillisinä opintoina ja erikoistumiskoulutu</w:t>
      </w:r>
      <w:r>
        <w:rPr>
          <w:rFonts w:ascii="Arial" w:eastAsia="Arial" w:hAnsi="Arial" w:cs="Arial"/>
          <w:color w:val="000000"/>
        </w:rPr>
        <w:t>ksessa suoritettuja opintopisteitä koskevasta rahoitustekijästä, jonka painoarvo olisi esityksen mukaan 5 % (nykyisin 8 %).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Uusien esikertaisten opiskelijoiden lukumäärää koskevan laskenta suoritettaisiin viimeisen käytettävissä olevan vuoden (kesäkuun t</w:t>
      </w:r>
      <w:r>
        <w:rPr>
          <w:rFonts w:ascii="Arial" w:eastAsia="Arial" w:hAnsi="Arial" w:cs="Arial"/>
          <w:color w:val="000000"/>
        </w:rPr>
        <w:t>ilanne) toteutuman perusteella.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Pidättekö ehdotusta uudesta rahoitustekijästä tarkoituksenmukaisena?</w:t>
      </w:r>
    </w:p>
    <w:p w:rsidR="00A77B3E" w:rsidRDefault="008E3C03">
      <w:pPr>
        <w:numPr>
          <w:ilvl w:val="0"/>
          <w:numId w:val="6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E3C03">
      <w:pPr>
        <w:numPr>
          <w:ilvl w:val="0"/>
          <w:numId w:val="6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6"/>
        </w:numPr>
        <w:spacing w:after="200"/>
        <w:ind w:left="1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72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6:</w:t>
      </w:r>
    </w:p>
    <w:p w:rsidR="00A77B3E" w:rsidRDefault="008E3C03">
      <w:pPr>
        <w:spacing w:before="200" w:after="200"/>
        <w:ind w:left="72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7. Ammattikorkeakoulussa kalenterivuonna suoritettujen </w:t>
      </w:r>
      <w:r>
        <w:rPr>
          <w:rFonts w:ascii="Arial" w:eastAsia="Arial" w:hAnsi="Arial" w:cs="Arial"/>
          <w:b/>
          <w:bCs/>
          <w:color w:val="000000"/>
        </w:rPr>
        <w:t>ammattikorkeakoulututkintojen lukumäärä -rahoitustekijän painoarvon esitetään pysyvän ennallaan. Rahoitustekijän laskentaan esitetään tarkennuksia:</w:t>
      </w:r>
    </w:p>
    <w:p w:rsidR="00A77B3E" w:rsidRDefault="008E3C03">
      <w:pPr>
        <w:numPr>
          <w:ilvl w:val="0"/>
          <w:numId w:val="7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Ammattikorkeakoulututkintojen lukumäärää painotettaessa tutkinnon suorittamisaikaa ja toisen saman tasoisen </w:t>
      </w:r>
      <w:r>
        <w:rPr>
          <w:rFonts w:ascii="Arial" w:eastAsia="Arial" w:hAnsi="Arial" w:cs="Arial"/>
          <w:color w:val="000000"/>
        </w:rPr>
        <w:t>tutkinnon suorittamista koskeviin kertoimiin esitetään muutoksia. Momentin mukaan tutkintojen lukumäärää laskettaessa ammattikorkeakoululain 14 §:ssä tarkoitetussa tavoitteellisessa suorittamisajassa suoritettujen tutkintojen lukumäärää painotettaisiin ker</w:t>
      </w:r>
      <w:r>
        <w:rPr>
          <w:rFonts w:ascii="Arial" w:eastAsia="Arial" w:hAnsi="Arial" w:cs="Arial"/>
          <w:color w:val="000000"/>
        </w:rPr>
        <w:t>toimella 1,8 (nykyisin 1,5).  </w:t>
      </w:r>
    </w:p>
    <w:p w:rsidR="00A77B3E" w:rsidRDefault="008E3C03">
      <w:pPr>
        <w:numPr>
          <w:ilvl w:val="0"/>
          <w:numId w:val="7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Jos tutkinnon suorittanut on aiemmin suorittanut suomalaisessa korkeakoulussa alemman korkeakoulututkinnon tai ammattikorkeakoulututkinnon, toista tutkintoa painotettaisiin lisäksi kertoimella 0,5 (nykyisin 0,7). Muut laskenn</w:t>
      </w:r>
      <w:r>
        <w:rPr>
          <w:rFonts w:ascii="Arial" w:eastAsia="Arial" w:hAnsi="Arial" w:cs="Arial"/>
          <w:color w:val="000000"/>
        </w:rPr>
        <w:t>an kertoimet pysyisivät ennallaan.</w:t>
      </w:r>
    </w:p>
    <w:p w:rsidR="00A77B3E" w:rsidRDefault="008E3C03">
      <w:pPr>
        <w:numPr>
          <w:ilvl w:val="0"/>
          <w:numId w:val="7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Teknisenä muutoksena kerroinluokan 1 tutkintoja ei enää jatkossa listattaisi asetuksen liitteessä vaan ryhmään C (kerroin 1) sisältyisivät kaikki sellaiset tutkinnot, jotka eivät sisälly A (kerroin 3) tai B (kerroin 1,75)</w:t>
      </w:r>
      <w:r>
        <w:rPr>
          <w:rFonts w:ascii="Arial" w:eastAsia="Arial" w:hAnsi="Arial" w:cs="Arial"/>
          <w:color w:val="000000"/>
        </w:rPr>
        <w:t>. Muutos ei vaikuttaisi korkeakoulujen välisiin rahoitussuhteisiin, mutta sillä vältettäisiin tarpeeton asetusmuutos sopimuskauden aikana, mikäli käyttöön otetaan uusi tutkintonimike, joka ei sijoitu ryhmiin A tai B. </w:t>
      </w:r>
    </w:p>
    <w:p w:rsidR="00A77B3E" w:rsidRDefault="008E3C03">
      <w:pPr>
        <w:numPr>
          <w:ilvl w:val="0"/>
          <w:numId w:val="7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Artenomi (AMK) -tutkinto nostettaisiin</w:t>
      </w:r>
      <w:r>
        <w:rPr>
          <w:rFonts w:ascii="Arial" w:eastAsia="Arial" w:hAnsi="Arial" w:cs="Arial"/>
          <w:color w:val="000000"/>
        </w:rPr>
        <w:t xml:space="preserve"> samaan kerroinluokkaan 1,75 muotoilija (AMK) -tutkinnon kanssa. Muihin kerroinluokkiin ei esitetä muutoksia.</w:t>
      </w:r>
    </w:p>
    <w:p w:rsidR="00A77B3E" w:rsidRDefault="008E3C03">
      <w:pPr>
        <w:spacing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Pidättekö ehdotusta tavoiteaikakertoimen nostamisesta (1,8) tarkoituksenmukaisena?</w:t>
      </w:r>
    </w:p>
    <w:p w:rsidR="00A77B3E" w:rsidRDefault="008E3C03">
      <w:pPr>
        <w:numPr>
          <w:ilvl w:val="0"/>
          <w:numId w:val="8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Kyllä</w:t>
      </w:r>
    </w:p>
    <w:p w:rsidR="00A77B3E" w:rsidRDefault="008E3C03">
      <w:pPr>
        <w:numPr>
          <w:ilvl w:val="0"/>
          <w:numId w:val="8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8"/>
        </w:numPr>
        <w:spacing w:after="200"/>
        <w:ind w:lef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68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6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Pidättekö ehdotusta toisen saman tasoisen </w:t>
      </w:r>
      <w:r>
        <w:rPr>
          <w:rFonts w:ascii="Arial" w:eastAsia="Arial" w:hAnsi="Arial" w:cs="Arial"/>
          <w:color w:val="000000"/>
        </w:rPr>
        <w:t>tutkinnon kertoimen pienentämisestä (0,5) tarkoituksenmukaisena?</w:t>
      </w:r>
    </w:p>
    <w:p w:rsidR="00A77B3E" w:rsidRDefault="008E3C03">
      <w:pPr>
        <w:numPr>
          <w:ilvl w:val="0"/>
          <w:numId w:val="9"/>
        </w:numPr>
        <w:spacing w:after="20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E3C03">
      <w:pPr>
        <w:numPr>
          <w:ilvl w:val="0"/>
          <w:numId w:val="9"/>
        </w:numPr>
        <w:spacing w:after="20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9"/>
        </w:numPr>
        <w:spacing w:after="20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64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6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7:</w:t>
      </w:r>
    </w:p>
    <w:p w:rsidR="00A77B3E" w:rsidRDefault="008E3C03">
      <w:pPr>
        <w:spacing w:before="200" w:after="200"/>
        <w:ind w:left="64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6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8. Rahoituslaskennassa avoimen opintopisteistä huomioitaisiin vain ne, joiden tekijällä suomalainen </w:t>
      </w:r>
      <w:r>
        <w:rPr>
          <w:rFonts w:ascii="Arial" w:eastAsia="Arial" w:hAnsi="Arial" w:cs="Arial"/>
          <w:b/>
          <w:bCs/>
          <w:color w:val="000000"/>
        </w:rPr>
        <w:t>henkilötunnus.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Rajaus edellyttää tiedonkeruumuutoksia ja se tulisi voimaan v. 2024 suoritetuista opintopisteistä alkaen.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Pidättekö ehdotusta tarkoituksenmukaisena?</w:t>
      </w:r>
    </w:p>
    <w:p w:rsidR="00A77B3E" w:rsidRDefault="008E3C03">
      <w:pPr>
        <w:numPr>
          <w:ilvl w:val="0"/>
          <w:numId w:val="10"/>
        </w:numPr>
        <w:spacing w:after="200"/>
        <w:ind w:left="14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E3C03">
      <w:pPr>
        <w:numPr>
          <w:ilvl w:val="0"/>
          <w:numId w:val="10"/>
        </w:numPr>
        <w:spacing w:after="200"/>
        <w:ind w:left="14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10"/>
        </w:numPr>
        <w:spacing w:after="200"/>
        <w:ind w:left="14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6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6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8:</w:t>
      </w:r>
    </w:p>
    <w:p w:rsidR="00A77B3E" w:rsidRDefault="008E3C03">
      <w:pPr>
        <w:spacing w:before="200" w:after="200"/>
        <w:ind w:left="6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6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9. OKM asetuksen 2 §:ssä ja sen liitteessä esitetään tutkimus-, kehittämis- ja innovaatiotoiminnan rahoitusosuuden laskentakriteerien tekijöiksi ja painoarvoiksi: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1.    Tutkimus- ja kehittämistoiminnan ulkopuolinen rahoitus 12 %</w:t>
      </w:r>
      <w:r>
        <w:rPr>
          <w:rFonts w:ascii="Arial" w:eastAsia="Arial" w:hAnsi="Arial" w:cs="Arial"/>
          <w:color w:val="000000"/>
        </w:rPr>
        <w:br/>
        <w:t>2.    Suoritettujen ylempi</w:t>
      </w:r>
      <w:r>
        <w:rPr>
          <w:rFonts w:ascii="Arial" w:eastAsia="Arial" w:hAnsi="Arial" w:cs="Arial"/>
          <w:color w:val="000000"/>
        </w:rPr>
        <w:t>en ammattikorkeakoulututkintojen lukumäärä 6 %</w:t>
      </w:r>
      <w:r>
        <w:rPr>
          <w:rFonts w:ascii="Arial" w:eastAsia="Arial" w:hAnsi="Arial" w:cs="Arial"/>
          <w:color w:val="000000"/>
        </w:rPr>
        <w:br/>
        <w:t>3.    Julkaisujen, julkisen taiteellisen ja taideteollisen tuotannon, audiovisuaalisten aineistojen sekä tieto- ja viestintäteknisten ohjelmien lukumäärä 2 %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Pidättekö ehdotusta tarkoituksenmukaisena?</w:t>
      </w:r>
    </w:p>
    <w:p w:rsidR="00A77B3E" w:rsidRDefault="008E3C03">
      <w:pPr>
        <w:numPr>
          <w:ilvl w:val="0"/>
          <w:numId w:val="11"/>
        </w:numPr>
        <w:spacing w:after="200"/>
        <w:ind w:left="1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E3C03">
      <w:pPr>
        <w:numPr>
          <w:ilvl w:val="0"/>
          <w:numId w:val="11"/>
        </w:numPr>
        <w:spacing w:after="200"/>
        <w:ind w:left="1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>i</w:t>
      </w:r>
    </w:p>
    <w:p w:rsidR="00A77B3E" w:rsidRDefault="008E3C03">
      <w:pPr>
        <w:numPr>
          <w:ilvl w:val="0"/>
          <w:numId w:val="11"/>
        </w:numPr>
        <w:spacing w:after="200"/>
        <w:ind w:left="1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56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Huom. Sellaisista yllä olevista rahoituskriteereistä ja niiden rahoitusosuuksista, joihin ehdotuksessa kohdistuu muutoksia, on omat kysymyksensä tässä kyselyssä.</w:t>
      </w:r>
    </w:p>
    <w:p w:rsidR="00A77B3E" w:rsidRDefault="008E3C03">
      <w:pPr>
        <w:spacing w:before="200" w:after="200"/>
        <w:ind w:left="56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9:</w:t>
      </w:r>
    </w:p>
    <w:p w:rsidR="00A77B3E" w:rsidRDefault="008E3C03">
      <w:pPr>
        <w:spacing w:before="200" w:after="200"/>
        <w:ind w:left="56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10. Tutkim</w:t>
      </w:r>
      <w:r>
        <w:rPr>
          <w:rFonts w:ascii="Arial" w:eastAsia="Arial" w:hAnsi="Arial" w:cs="Arial"/>
          <w:b/>
          <w:bCs/>
          <w:color w:val="000000"/>
        </w:rPr>
        <w:t>us- ja kehittämistoiminnan ulkopuolista rahoitusta koskevan laskentakriteerin painoarvoa ehdotetaan nostettavaksi 12 %:iin (nykyisin 11 %).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br/>
        <w:t>AMK-profiloitumisrahoitus (10 miljoonaa euroa) siirrettäisiin osaksi laskennallista rahoitusta, mistä johtuen TKI-</w:t>
      </w:r>
      <w:r>
        <w:rPr>
          <w:rFonts w:ascii="Arial" w:eastAsia="Arial" w:hAnsi="Arial" w:cs="Arial"/>
          <w:color w:val="000000"/>
        </w:rPr>
        <w:t>rahoitustoiminnan osuutta tulee nostaa. Nosto toteutettaisiin laskemalla työllistymistä 1 vuosi valmistumisen jälkeen koskevan laskentakriteerin prosenttiosuutta 2 %:iin (nykyisin 3 %).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Pidättekö ulkopuolista rahoitusta koskevan laskentakriteerin painoarv</w:t>
      </w:r>
      <w:r>
        <w:rPr>
          <w:rFonts w:ascii="Arial" w:eastAsia="Arial" w:hAnsi="Arial" w:cs="Arial"/>
          <w:color w:val="000000"/>
        </w:rPr>
        <w:t>on nostamista tarkoituksenmukaisena?</w:t>
      </w:r>
    </w:p>
    <w:p w:rsidR="00A77B3E" w:rsidRDefault="008E3C03">
      <w:pPr>
        <w:numPr>
          <w:ilvl w:val="0"/>
          <w:numId w:val="12"/>
        </w:numPr>
        <w:spacing w:after="200"/>
        <w:ind w:left="13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E3C03">
      <w:pPr>
        <w:numPr>
          <w:ilvl w:val="0"/>
          <w:numId w:val="12"/>
        </w:numPr>
        <w:spacing w:after="200"/>
        <w:ind w:left="13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12"/>
        </w:numPr>
        <w:spacing w:after="200"/>
        <w:ind w:left="13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52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10:</w:t>
      </w:r>
    </w:p>
    <w:p w:rsidR="00A77B3E" w:rsidRDefault="008E3C03">
      <w:pPr>
        <w:spacing w:before="200" w:after="200"/>
        <w:ind w:left="52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11. Tutkimus- ja kehittämistoiminnan ulkopuolista rahoitusta koskevan laskentakriteerin laskentaan esitetään </w:t>
      </w:r>
      <w:r>
        <w:rPr>
          <w:rFonts w:ascii="Arial" w:eastAsia="Arial" w:hAnsi="Arial" w:cs="Arial"/>
          <w:b/>
          <w:bCs/>
          <w:color w:val="000000"/>
        </w:rPr>
        <w:t>muutoksia. Ulkopuolisesta rahoituksesta painotettaisiin kertoimella 1,3 niitä rahoituksia, jotka on ilmoitettu seuraavissa opetus- ja kulttuuriministeriön tutkimusrahoitusta koskevan tiedonkeruun luokissa:</w:t>
      </w:r>
    </w:p>
    <w:p w:rsidR="00A77B3E" w:rsidRDefault="008E3C03">
      <w:pPr>
        <w:numPr>
          <w:ilvl w:val="0"/>
          <w:numId w:val="13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suoraan Euroopan unionilta tuleva puiteohjelmaraho</w:t>
      </w:r>
      <w:r>
        <w:rPr>
          <w:rFonts w:ascii="Arial" w:eastAsia="Arial" w:hAnsi="Arial" w:cs="Arial"/>
          <w:color w:val="000000"/>
        </w:rPr>
        <w:t>itus tai muu laadullisesti kilpailtu EU-rahoitus;</w:t>
      </w:r>
    </w:p>
    <w:p w:rsidR="00A77B3E" w:rsidRDefault="008E3C03">
      <w:pPr>
        <w:numPr>
          <w:ilvl w:val="0"/>
          <w:numId w:val="13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muu EU-rahoitus; </w:t>
      </w:r>
    </w:p>
    <w:p w:rsidR="00A77B3E" w:rsidRDefault="008E3C03">
      <w:pPr>
        <w:numPr>
          <w:ilvl w:val="0"/>
          <w:numId w:val="13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ulkomaiset rahastot ja säätiöt; </w:t>
      </w:r>
    </w:p>
    <w:p w:rsidR="00A77B3E" w:rsidRDefault="008E3C03">
      <w:pPr>
        <w:numPr>
          <w:ilvl w:val="0"/>
          <w:numId w:val="13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kansainväliset järjestöt; </w:t>
      </w:r>
    </w:p>
    <w:p w:rsidR="00A77B3E" w:rsidRDefault="008E3C03">
      <w:pPr>
        <w:numPr>
          <w:ilvl w:val="0"/>
          <w:numId w:val="13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muu ulkomainen rahoitus; </w:t>
      </w:r>
    </w:p>
    <w:p w:rsidR="00A77B3E" w:rsidRDefault="008E3C03">
      <w:pPr>
        <w:numPr>
          <w:ilvl w:val="0"/>
          <w:numId w:val="13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kotimaiset yritykset; </w:t>
      </w:r>
    </w:p>
    <w:p w:rsidR="00A77B3E" w:rsidRDefault="008E3C03">
      <w:pPr>
        <w:numPr>
          <w:ilvl w:val="0"/>
          <w:numId w:val="13"/>
        </w:numPr>
        <w:spacing w:after="200"/>
        <w:ind w:hanging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ulkomaiset yritykset. </w:t>
      </w:r>
    </w:p>
    <w:p w:rsidR="00A77B3E" w:rsidRDefault="008E3C03">
      <w:pPr>
        <w:spacing w:after="200"/>
        <w:ind w:left="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Pidättekö ehdotusta tarkoituksenmukaisena?</w:t>
      </w:r>
    </w:p>
    <w:p w:rsidR="00A77B3E" w:rsidRDefault="008E3C03">
      <w:pPr>
        <w:numPr>
          <w:ilvl w:val="0"/>
          <w:numId w:val="14"/>
        </w:numPr>
        <w:spacing w:after="200"/>
        <w:ind w:left="1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Kyllä</w:t>
      </w:r>
    </w:p>
    <w:p w:rsidR="00A77B3E" w:rsidRDefault="008E3C03">
      <w:pPr>
        <w:numPr>
          <w:ilvl w:val="0"/>
          <w:numId w:val="14"/>
        </w:numPr>
        <w:spacing w:after="200"/>
        <w:ind w:left="1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14"/>
        </w:numPr>
        <w:spacing w:after="200"/>
        <w:ind w:left="1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Ei </w:t>
      </w:r>
      <w:r>
        <w:rPr>
          <w:rFonts w:ascii="Arial" w:eastAsia="Arial" w:hAnsi="Arial" w:cs="Arial"/>
          <w:color w:val="000000"/>
        </w:rPr>
        <w:t>kantaa</w:t>
      </w:r>
    </w:p>
    <w:p w:rsidR="00A77B3E" w:rsidRDefault="008E3C03">
      <w:pPr>
        <w:spacing w:before="200" w:after="200"/>
        <w:ind w:left="48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11:</w:t>
      </w:r>
    </w:p>
    <w:p w:rsidR="00A77B3E" w:rsidRDefault="008E3C03">
      <w:pPr>
        <w:spacing w:before="200" w:after="200"/>
        <w:ind w:left="48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12. Julkaisutiedonkeruun luokkien laskentaan rahoituksessa ehdotetaan muutoksia. Luokkiin E1-E3, F ja I kuuluvien julkaisujen lukumäärää painotettaisiin kertoimella 0,4. Luokat </w:t>
      </w:r>
      <w:r>
        <w:rPr>
          <w:rFonts w:ascii="Arial" w:eastAsia="Arial" w:hAnsi="Arial" w:cs="Arial"/>
          <w:b/>
          <w:bCs/>
          <w:color w:val="000000"/>
        </w:rPr>
        <w:t>E1-E3, F ja I ovat:</w:t>
      </w:r>
    </w:p>
    <w:p w:rsidR="00A77B3E" w:rsidRDefault="008E3C03">
      <w:pPr>
        <w:numPr>
          <w:ilvl w:val="0"/>
          <w:numId w:val="15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yleistajuiset artikkelit lehdessä tai kokoomateoksessa sekä yleistajuiset blogikirjoitukset (E1);</w:t>
      </w:r>
    </w:p>
    <w:p w:rsidR="00A77B3E" w:rsidRDefault="008E3C03">
      <w:pPr>
        <w:numPr>
          <w:ilvl w:val="0"/>
          <w:numId w:val="15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yleistajuiset monografiat sekä vertaisarvioimattomat tieteelliset erillisteokset (E2);</w:t>
      </w:r>
    </w:p>
    <w:p w:rsidR="00A77B3E" w:rsidRDefault="008E3C03">
      <w:pPr>
        <w:numPr>
          <w:ilvl w:val="0"/>
          <w:numId w:val="15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yleistajuiset toimitustyöt (E3); </w:t>
      </w:r>
    </w:p>
    <w:p w:rsidR="00A77B3E" w:rsidRDefault="008E3C03">
      <w:pPr>
        <w:numPr>
          <w:ilvl w:val="0"/>
          <w:numId w:val="15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julkinen taiteell</w:t>
      </w:r>
      <w:r>
        <w:rPr>
          <w:rFonts w:ascii="Arial" w:eastAsia="Arial" w:hAnsi="Arial" w:cs="Arial"/>
          <w:color w:val="000000"/>
        </w:rPr>
        <w:t xml:space="preserve">inen ja taideteollinen toiminta (F); </w:t>
      </w:r>
    </w:p>
    <w:p w:rsidR="00A77B3E" w:rsidRDefault="008E3C03">
      <w:pPr>
        <w:numPr>
          <w:ilvl w:val="0"/>
          <w:numId w:val="15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audiovisuaaliset aineistot ja tieto- ja viestintätekniset ohjelmat (I). </w:t>
      </w:r>
    </w:p>
    <w:p w:rsidR="00A77B3E" w:rsidRDefault="008E3C03">
      <w:pPr>
        <w:spacing w:after="200"/>
        <w:ind w:left="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Pidättekö ehdotusta tarkoituksenmukaisena?</w:t>
      </w:r>
    </w:p>
    <w:p w:rsidR="00A77B3E" w:rsidRDefault="008E3C03">
      <w:pPr>
        <w:numPr>
          <w:ilvl w:val="0"/>
          <w:numId w:val="16"/>
        </w:numPr>
        <w:spacing w:after="200"/>
        <w:ind w:left="1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E3C03">
      <w:pPr>
        <w:numPr>
          <w:ilvl w:val="0"/>
          <w:numId w:val="16"/>
        </w:numPr>
        <w:spacing w:after="200"/>
        <w:ind w:left="1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16"/>
        </w:numPr>
        <w:spacing w:after="200"/>
        <w:ind w:left="1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44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12:</w:t>
      </w:r>
    </w:p>
    <w:p w:rsidR="00A77B3E" w:rsidRDefault="008E3C03">
      <w:pPr>
        <w:spacing w:before="200" w:after="200"/>
        <w:ind w:left="44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13. Korkea</w:t>
      </w:r>
      <w:r>
        <w:rPr>
          <w:rFonts w:ascii="Arial" w:eastAsia="Arial" w:hAnsi="Arial" w:cs="Arial"/>
          <w:b/>
          <w:bCs/>
          <w:color w:val="000000"/>
        </w:rPr>
        <w:t>koulujen vuosien 2025 ja 2026 rahoituksen laskentaan esitetään sisällytettäväksi muutosrajoitin.</w:t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Korkeakoulun rahoitus, joka ei sisällä strategiaperusteista rahoitusosuutta voisi vähentyä yhteensä enintään 3 prosenttia verrattuna edellisen vuoden rahoituk</w:t>
      </w:r>
      <w:r>
        <w:rPr>
          <w:rFonts w:ascii="Arial" w:eastAsia="Arial" w:hAnsi="Arial" w:cs="Arial"/>
          <w:color w:val="000000"/>
        </w:rPr>
        <w:t>sen tasoon, joka on suhteutettu rahoitusvuonna käytettävissä olevaan laskennalliseen rahoitukseen. Rajauksen laskennasta aiheutuva mahdollinen alijäämä jaettaisiin korkeakoulusektoreittain korkeakoulujen kesken niiden rahoituksen suhteessa.  Vastaava rajoi</w:t>
      </w:r>
      <w:r>
        <w:rPr>
          <w:rFonts w:ascii="Arial" w:eastAsia="Arial" w:hAnsi="Arial" w:cs="Arial"/>
          <w:color w:val="000000"/>
        </w:rPr>
        <w:t>tin oli voimassa vuosina 2021-2022.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Pidättekö ehdotusta tarkoituksenmukaisena?</w:t>
      </w:r>
    </w:p>
    <w:p w:rsidR="00A77B3E" w:rsidRDefault="008E3C03">
      <w:pPr>
        <w:numPr>
          <w:ilvl w:val="0"/>
          <w:numId w:val="17"/>
        </w:numPr>
        <w:spacing w:after="200"/>
        <w:ind w:left="1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Kyllä</w:t>
      </w:r>
    </w:p>
    <w:p w:rsidR="00A77B3E" w:rsidRDefault="008E3C03">
      <w:pPr>
        <w:numPr>
          <w:ilvl w:val="0"/>
          <w:numId w:val="17"/>
        </w:numPr>
        <w:spacing w:after="200"/>
        <w:ind w:left="1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</w:t>
      </w:r>
    </w:p>
    <w:p w:rsidR="00A77B3E" w:rsidRDefault="008E3C03">
      <w:pPr>
        <w:numPr>
          <w:ilvl w:val="0"/>
          <w:numId w:val="17"/>
        </w:numPr>
        <w:spacing w:after="200"/>
        <w:ind w:left="1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 kantaa</w:t>
      </w:r>
    </w:p>
    <w:p w:rsidR="00A77B3E" w:rsidRDefault="008E3C03">
      <w:pPr>
        <w:spacing w:before="200" w:after="200"/>
        <w:ind w:left="4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4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Näkemyksiä, muutosehdotuksia tai muuta kommentoitavaa ehdotukseen 13:</w:t>
      </w:r>
    </w:p>
    <w:p w:rsidR="00A77B3E" w:rsidRDefault="008E3C03">
      <w:pPr>
        <w:spacing w:before="200" w:after="200"/>
        <w:ind w:left="4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Muuta lausuttavaa ehdotuksesta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14. Arvionne ehdotuskokonaisuuden vaikutuksista </w:t>
      </w:r>
      <w:r>
        <w:rPr>
          <w:rFonts w:ascii="Arial" w:eastAsia="Arial" w:hAnsi="Arial" w:cs="Arial"/>
          <w:b/>
          <w:bCs/>
          <w:color w:val="000000"/>
        </w:rPr>
        <w:t>korkeakouluille, korkeakoulujärjestelmälle ja yhteiskunnalle</w:t>
      </w:r>
    </w:p>
    <w:p w:rsidR="00A77B3E" w:rsidRDefault="008E3C03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15. Mahdolliset muut huomiot ehdotuskokonaisuudesta tai asetusluonnoksista</w:t>
      </w:r>
    </w:p>
    <w:p w:rsidR="00A77B3E" w:rsidRDefault="008E3C03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Muuta lausuttavaa työryhmän ehdotuksista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16. Työryhmä teki myös ehdotuksia, joita ei säädetä asetuksilla. Näitä olivat</w:t>
      </w:r>
      <w:r>
        <w:rPr>
          <w:rFonts w:ascii="Arial" w:eastAsia="Arial" w:hAnsi="Arial" w:cs="Arial"/>
          <w:b/>
          <w:bCs/>
          <w:color w:val="000000"/>
        </w:rPr>
        <w:t xml:space="preserve"> mm.:</w:t>
      </w:r>
    </w:p>
    <w:p w:rsidR="00A77B3E" w:rsidRDefault="008E3C03">
      <w:pPr>
        <w:numPr>
          <w:ilvl w:val="0"/>
          <w:numId w:val="18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Yliopisto- ja ammattikorkeakoululait mahdollistavat sen, että OKM voi myöntää korkeakouluille myös tuloksellisuusrahoitusta korkeakoulun tuloksellisen toiminnan perusteella. Työryhmä ehdotti, että laskennallisen rahoitusmallin ulkopuolella otettaisii</w:t>
      </w:r>
      <w:r>
        <w:rPr>
          <w:rFonts w:ascii="Arial" w:eastAsia="Arial" w:hAnsi="Arial" w:cs="Arial"/>
          <w:color w:val="000000"/>
        </w:rPr>
        <w:t>n käyttöön korkeakoulujen kesken kohdennettava erillinen kannustepalkkio vaikeammin mitattavien toimien kohdalle (esimerkiksi työ- ja opiskeluhyvinvointi, johtaminen, sidosryhmäyhteistyö). Kannustepalkkiota ei välttämättä kohdennettaisi joka vuosi. Tarkast</w:t>
      </w:r>
      <w:r>
        <w:rPr>
          <w:rFonts w:ascii="Arial" w:eastAsia="Arial" w:hAnsi="Arial" w:cs="Arial"/>
          <w:color w:val="000000"/>
        </w:rPr>
        <w:t xml:space="preserve">eltavat teemat voisivat myös vaihdella vuosittain. </w:t>
      </w:r>
    </w:p>
    <w:p w:rsidR="00A77B3E" w:rsidRDefault="008E3C03">
      <w:pPr>
        <w:numPr>
          <w:ilvl w:val="0"/>
          <w:numId w:val="18"/>
        </w:numPr>
        <w:spacing w:after="200"/>
        <w:ind w:hanging="2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Työryhmä katsoi, että tarvitaan syvällisempää tarkastelua isoista järjestelmätason muutostarpeista, sitä tukevista rahoitus- ja ohjauskäytänteisestä sekä tarvetta uudistamisen tutkimukselliseen tukeen. Tu</w:t>
      </w:r>
      <w:r>
        <w:rPr>
          <w:rFonts w:ascii="Arial" w:eastAsia="Arial" w:hAnsi="Arial" w:cs="Arial"/>
          <w:color w:val="000000"/>
        </w:rPr>
        <w:t xml:space="preserve">tkimus- ja arviointitietoa hyödyntävä valmistelu tulisi käynnistää mahdollisimman pian. </w:t>
      </w: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Mahdolliset huomiot työryhmän esittämistä muista ehdotuksista:</w:t>
      </w:r>
    </w:p>
    <w:p w:rsidR="00A77B3E" w:rsidRDefault="008E3C03">
      <w:pPr>
        <w:spacing w:before="200"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8E3C03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Linna Sirkku</w:t>
      </w:r>
    </w:p>
    <w:p w:rsidR="00A77B3E" w:rsidRDefault="008E3C03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Opetus- ja kulttuuriministeriö</w:t>
      </w:r>
    </w:p>
    <w:p w:rsidR="00A77B3E" w:rsidRDefault="008E3C03">
      <w:pPr>
        <w:ind w:left="3200"/>
        <w:rPr>
          <w:rFonts w:ascii="Arial" w:eastAsia="Arial" w:hAnsi="Arial" w:cs="Arial"/>
          <w:color w:val="000000"/>
        </w:rPr>
      </w:pPr>
    </w:p>
    <w:p w:rsidR="00A77B3E" w:rsidRDefault="008E3C03">
      <w:pPr>
        <w:ind w:left="3200"/>
        <w:rPr>
          <w:rFonts w:ascii="Arial" w:eastAsia="Arial" w:hAnsi="Arial" w:cs="Arial"/>
          <w:color w:val="000000"/>
        </w:rPr>
      </w:pPr>
    </w:p>
    <w:p w:rsidR="00A77B3E" w:rsidRDefault="008E3C03">
      <w:pPr>
        <w:ind w:left="3200"/>
        <w:rPr>
          <w:rFonts w:ascii="Arial" w:eastAsia="Arial" w:hAnsi="Arial" w:cs="Arial"/>
          <w:color w:val="000000"/>
        </w:rPr>
      </w:pPr>
    </w:p>
    <w:p w:rsidR="00A77B3E" w:rsidRDefault="008E3C03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Halonen Tomi</w:t>
      </w:r>
    </w:p>
    <w:p w:rsidR="00A77B3E" w:rsidRDefault="008E3C03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Opetus- ja kulttuuriministeriö</w:t>
      </w:r>
    </w:p>
    <w:p w:rsidR="00A77B3E" w:rsidRDefault="008E3C03">
      <w:pPr>
        <w:rPr>
          <w:rFonts w:ascii="Arial" w:eastAsia="Arial" w:hAnsi="Arial" w:cs="Arial"/>
          <w:color w:val="000000"/>
        </w:rPr>
      </w:pPr>
    </w:p>
    <w:sectPr w:rsidR="00A77B3E">
      <w:footerReference w:type="default" r:id="rId10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03" w:rsidRDefault="008E3C03">
      <w:r>
        <w:separator/>
      </w:r>
    </w:p>
  </w:endnote>
  <w:endnote w:type="continuationSeparator" w:id="0">
    <w:p w:rsidR="008E3C03" w:rsidRDefault="008E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CB" w:rsidRDefault="008B64CB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8B64CB">
      <w:tc>
        <w:tcPr>
          <w:tcW w:w="1650" w:type="pct"/>
        </w:tcPr>
        <w:p w:rsidR="008B64CB" w:rsidRDefault="008B64CB"/>
      </w:tc>
      <w:tc>
        <w:tcPr>
          <w:tcW w:w="1650" w:type="pct"/>
        </w:tcPr>
        <w:p w:rsidR="008B64CB" w:rsidRDefault="008E3C03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8B64CB" w:rsidRDefault="008E3C03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1D4E69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1D4E69">
            <w:rPr>
              <w:rFonts w:ascii="Arial" w:eastAsia="Arial" w:hAnsi="Arial" w:cs="Arial"/>
              <w:noProof/>
              <w:color w:val="000000"/>
            </w:rPr>
            <w:t>12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8B64CB" w:rsidRDefault="008B64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03" w:rsidRDefault="008E3C03">
      <w:r>
        <w:separator/>
      </w:r>
    </w:p>
  </w:footnote>
  <w:footnote w:type="continuationSeparator" w:id="0">
    <w:p w:rsidR="008E3C03" w:rsidRDefault="008E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85041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8946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D89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60E1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744C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D8F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FC6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EA75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10F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9E809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B1AA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7A0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5236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AE30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D23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5E33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EEDC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B0D9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E48435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B9C2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C09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1AF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AA96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A4E7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949A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7418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B81D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0000005"/>
    <w:lvl w:ilvl="0" w:tplc="E0CC8C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3080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405C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948B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E2B6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B42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50DA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BC1A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F6AE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F4E475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79EB2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922D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D236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1C86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AEF4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902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008E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F2A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2E2A7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067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CED8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B2BD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3C0A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B06A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A4C1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90F8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AC1F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22C648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582EE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2CF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D29D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A09D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127B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2CA3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3E6E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DC2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DB88A4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4D40A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62F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8067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BC18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1C0A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3A8A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56FC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E4B2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4E3CBF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3741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787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CCA6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1678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5E4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B2DB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8037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D492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7D28E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1C40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AEB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06EC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86AB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947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A670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4E26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802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F78413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E3093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DAE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9064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1476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FC1B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E486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1E7D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3444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0000000E"/>
    <w:lvl w:ilvl="0" w:tplc="E800E0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AA23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780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1817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34DA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060D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2CEB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E89B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6C53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437C64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3AA2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3654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322C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1A24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08C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428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60FF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46DC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E56AAD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80C4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4C84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A07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94BD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EAD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2C9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4AB1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A8E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18AE49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32EEB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C456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E84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4EA1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6AC0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14A2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24E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3C19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6AFC9D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907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50C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FC34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6A81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C2BC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22F6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4692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B06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B"/>
    <w:rsid w:val="001D4E69"/>
    <w:rsid w:val="008B64CB"/>
    <w:rsid w:val="008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65CB1-7C91-4156-9EB1-E51C654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n.fi/URN:ISBN:978-952-263-985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usuntopalvelu.om@gov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altioneuvosto.fi/hanke?tunnus=OKM010:00/202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2149</Words>
  <Characters>17412</Characters>
  <Application>Microsoft Office Word</Application>
  <DocSecurity>0</DocSecurity>
  <Lines>145</Lines>
  <Paragraphs>39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 Laura (OKM)</dc:creator>
  <cp:lastModifiedBy>Hansen Laura (OKM)</cp:lastModifiedBy>
  <cp:revision>2</cp:revision>
  <dcterms:created xsi:type="dcterms:W3CDTF">2024-01-24T13:53:00Z</dcterms:created>
  <dcterms:modified xsi:type="dcterms:W3CDTF">2024-01-24T13:53:00Z</dcterms:modified>
</cp:coreProperties>
</file>