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5D1" w:rsidRDefault="00B235D1">
      <w:pPr>
        <w:rPr>
          <w:rFonts w:ascii="Calibri" w:hAnsi="Calibri" w:cs="Calibri"/>
        </w:rPr>
      </w:pPr>
      <w:r>
        <w:rPr>
          <w:rFonts w:ascii="Calibri" w:hAnsi="Calibri" w:cs="Calibri"/>
        </w:rPr>
        <w:t>Oikeusministeriö</w:t>
      </w:r>
      <w:r>
        <w:rPr>
          <w:rFonts w:ascii="Calibri" w:hAnsi="Calibri" w:cs="Calibri"/>
        </w:rPr>
        <w:tab/>
      </w:r>
      <w:r>
        <w:rPr>
          <w:rFonts w:ascii="Calibri" w:hAnsi="Calibri" w:cs="Calibri"/>
        </w:rPr>
        <w:tab/>
      </w:r>
      <w:r>
        <w:rPr>
          <w:rFonts w:ascii="Calibri" w:hAnsi="Calibri" w:cs="Calibri"/>
        </w:rPr>
        <w:tab/>
      </w:r>
      <w:r>
        <w:rPr>
          <w:rFonts w:ascii="Calibri" w:hAnsi="Calibri" w:cs="Calibri"/>
        </w:rPr>
        <w:tab/>
        <w:t>Dnro 6/2013</w:t>
      </w:r>
      <w:r>
        <w:rPr>
          <w:rFonts w:ascii="Calibri" w:hAnsi="Calibri" w:cs="Calibri"/>
        </w:rPr>
        <w:br/>
      </w:r>
    </w:p>
    <w:p w:rsidR="00B235D1" w:rsidRDefault="00B235D1">
      <w:pPr>
        <w:rPr>
          <w:rFonts w:ascii="Calibri" w:hAnsi="Calibri" w:cs="Calibri"/>
        </w:rPr>
      </w:pPr>
    </w:p>
    <w:p w:rsidR="00B235D1" w:rsidRDefault="00B235D1">
      <w:pPr>
        <w:rPr>
          <w:rFonts w:ascii="Calibri" w:hAnsi="Calibri" w:cs="Calibri"/>
        </w:rPr>
      </w:pP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1.3.2013</w:t>
      </w:r>
      <w:r>
        <w:rPr>
          <w:rFonts w:ascii="Calibri" w:hAnsi="Calibri" w:cs="Calibri"/>
        </w:rPr>
        <w:br/>
      </w:r>
    </w:p>
    <w:p w:rsidR="00B235D1" w:rsidRDefault="00B235D1">
      <w:pPr>
        <w:rPr>
          <w:rFonts w:ascii="Calibri" w:hAnsi="Calibri" w:cs="Calibri"/>
        </w:rPr>
      </w:pPr>
    </w:p>
    <w:p w:rsidR="00B235D1" w:rsidRDefault="00B235D1">
      <w:hyperlink r:id="rId7" w:history="1">
        <w:r w:rsidRPr="009C50E6">
          <w:rPr>
            <w:rStyle w:val="Hyperlink"/>
            <w:rFonts w:ascii="Calibri" w:hAnsi="Calibri" w:cs="Calibri"/>
          </w:rPr>
          <w:t>oikeusministerio@om.fi</w:t>
        </w:r>
      </w:hyperlink>
    </w:p>
    <w:p w:rsidR="00B235D1" w:rsidRDefault="00B235D1">
      <w:pPr>
        <w:rPr>
          <w:rFonts w:ascii="Calibri" w:hAnsi="Calibri"/>
        </w:rPr>
      </w:pPr>
      <w:hyperlink r:id="rId8" w:history="1">
        <w:r w:rsidRPr="009C50E6">
          <w:rPr>
            <w:rStyle w:val="Hyperlink"/>
            <w:rFonts w:ascii="Calibri" w:hAnsi="Calibri" w:cs="CG Times"/>
          </w:rPr>
          <w:t>ann-mari.pitkaranta@om.fi</w:t>
        </w:r>
      </w:hyperlink>
    </w:p>
    <w:p w:rsidR="00B235D1" w:rsidRPr="001135E5" w:rsidRDefault="00B235D1">
      <w:pPr>
        <w:rPr>
          <w:rFonts w:ascii="Calibri" w:hAnsi="Calibri" w:cs="Calibri"/>
          <w:u w:val="single"/>
        </w:rPr>
      </w:pPr>
    </w:p>
    <w:p w:rsidR="00B235D1" w:rsidRDefault="00B235D1">
      <w:pPr>
        <w:rPr>
          <w:rFonts w:ascii="Calibri" w:hAnsi="Calibri" w:cs="Calibri"/>
          <w:u w:val="single"/>
        </w:rPr>
      </w:pPr>
    </w:p>
    <w:p w:rsidR="00B235D1" w:rsidRDefault="00B235D1">
      <w:pPr>
        <w:rPr>
          <w:rFonts w:ascii="Calibri" w:hAnsi="Calibri" w:cs="Calibri"/>
        </w:rPr>
      </w:pPr>
      <w:r>
        <w:rPr>
          <w:rFonts w:ascii="Calibri" w:hAnsi="Calibri" w:cs="Calibri"/>
        </w:rPr>
        <w:t>Lausuntopyyntönne: OM 13/31/2011, 29.1.2013</w:t>
      </w:r>
      <w:r>
        <w:rPr>
          <w:rFonts w:ascii="Calibri" w:hAnsi="Calibri" w:cs="Calibri"/>
        </w:rPr>
        <w:br/>
      </w:r>
      <w:r w:rsidRPr="00F562BC">
        <w:rPr>
          <w:rFonts w:ascii="Calibri" w:hAnsi="Calibri" w:cs="Calibri"/>
          <w:b/>
        </w:rPr>
        <w:t>HOVI- JA HALLINTO-OIKEUKSIEN RAKENNEUUDISTUKSEN EDEL</w:t>
      </w:r>
      <w:r>
        <w:rPr>
          <w:rFonts w:ascii="Calibri" w:hAnsi="Calibri" w:cs="Calibri"/>
          <w:b/>
        </w:rPr>
        <w:t>L</w:t>
      </w:r>
      <w:r w:rsidRPr="00F562BC">
        <w:rPr>
          <w:rFonts w:ascii="Calibri" w:hAnsi="Calibri" w:cs="Calibri"/>
          <w:b/>
        </w:rPr>
        <w:t>YTTÄMÄT ASETUSMUUTOKSET</w:t>
      </w:r>
      <w:r w:rsidRPr="00F562BC">
        <w:rPr>
          <w:rFonts w:ascii="Calibri" w:hAnsi="Calibri" w:cs="Calibri"/>
          <w:b/>
        </w:rPr>
        <w:br/>
      </w:r>
    </w:p>
    <w:p w:rsidR="00B235D1" w:rsidRDefault="00B235D1">
      <w:pPr>
        <w:rPr>
          <w:rFonts w:ascii="Calibri" w:hAnsi="Calibri" w:cs="Calibri"/>
        </w:rPr>
      </w:pPr>
    </w:p>
    <w:p w:rsidR="00B235D1" w:rsidRDefault="00B235D1" w:rsidP="001341D8">
      <w:pPr>
        <w:ind w:left="1304" w:firstLine="1"/>
        <w:rPr>
          <w:rFonts w:ascii="Calibri" w:hAnsi="Calibri" w:cs="Calibri"/>
        </w:rPr>
      </w:pPr>
      <w:r>
        <w:rPr>
          <w:rFonts w:ascii="Calibri" w:hAnsi="Calibri" w:cs="Calibri"/>
        </w:rPr>
        <w:t>Pyydettynä lausuntona Suomen Asianajajaliitto (jäljempänä ”Asianajajaliitto”) esittää seuraavaa:</w:t>
      </w:r>
    </w:p>
    <w:p w:rsidR="00B235D1" w:rsidRDefault="00B235D1" w:rsidP="001341D8">
      <w:pPr>
        <w:ind w:left="1304" w:firstLine="1"/>
        <w:rPr>
          <w:rFonts w:ascii="Calibri" w:hAnsi="Calibri" w:cs="Calibri"/>
        </w:rPr>
      </w:pPr>
    </w:p>
    <w:p w:rsidR="00B235D1" w:rsidRPr="00F562BC" w:rsidRDefault="00B235D1" w:rsidP="00166848">
      <w:pPr>
        <w:pStyle w:val="ListParagraph"/>
        <w:numPr>
          <w:ilvl w:val="0"/>
          <w:numId w:val="1"/>
        </w:numPr>
        <w:rPr>
          <w:rFonts w:ascii="Calibri" w:hAnsi="Calibri" w:cs="Calibri"/>
          <w:i/>
        </w:rPr>
      </w:pPr>
      <w:r w:rsidRPr="00F562BC">
        <w:rPr>
          <w:rFonts w:ascii="Calibri" w:hAnsi="Calibri" w:cs="Calibri"/>
          <w:i/>
        </w:rPr>
        <w:t>Valtioneuvoston asetus hovioikeuksien tuomiopiireistä</w:t>
      </w:r>
      <w:r w:rsidRPr="00F562BC">
        <w:rPr>
          <w:rFonts w:ascii="Calibri" w:hAnsi="Calibri" w:cs="Calibri"/>
          <w:i/>
        </w:rPr>
        <w:br/>
      </w:r>
    </w:p>
    <w:p w:rsidR="00B235D1" w:rsidRDefault="00B235D1" w:rsidP="001341D8">
      <w:pPr>
        <w:ind w:left="1304" w:firstLine="1"/>
        <w:rPr>
          <w:rFonts w:ascii="Calibri" w:hAnsi="Calibri" w:cs="Calibri"/>
        </w:rPr>
      </w:pPr>
      <w:r>
        <w:rPr>
          <w:rFonts w:ascii="Calibri" w:hAnsi="Calibri" w:cs="Calibri"/>
        </w:rPr>
        <w:t>Asetusluonnoksessa on jätetty avoimeksi Hyvinkään käräjäoikeuden kuuluminen joko Turun hovioikeuspiiriin tai Helsingin hovioikeuspiiriin.</w:t>
      </w:r>
      <w:r>
        <w:rPr>
          <w:rFonts w:ascii="Calibri" w:hAnsi="Calibri" w:cs="Calibri"/>
        </w:rPr>
        <w:br/>
      </w:r>
    </w:p>
    <w:p w:rsidR="00B235D1" w:rsidRDefault="00B235D1" w:rsidP="001341D8">
      <w:pPr>
        <w:ind w:left="1304" w:firstLine="1"/>
        <w:rPr>
          <w:rFonts w:ascii="Calibri" w:hAnsi="Calibri" w:cs="Calibri"/>
        </w:rPr>
      </w:pPr>
      <w:r>
        <w:rPr>
          <w:rFonts w:ascii="Calibri" w:hAnsi="Calibri" w:cs="Calibri"/>
        </w:rPr>
        <w:t>Asianajajaliiton käsityksen mukaan on luontevaa, että Hyvinkään käräjäoikeus kuuluisi Helsingin hovioikeuden tuomiopiiriin. Maantieteellinen etäisyys Hyvinkään käräjäoikeuden alueelta on huomattavasti lyhyempi Helsingin hovioikeuteen kuin Turun hovioikeuteen. Myös joustavat liikenneyhteydet puhuvat Helsingin hovioikeuspiiriin kuulumisen puolesta. Maantieteellinen etäisyys ja liikenneyhteydet molemmat vaikuttavat oikeudenkäyntien asianosaisten ja heidän avustajiensa oikeudenkäyntikustannuksiin. Kustannusvertailu puoltaa voimakkaasti Asianajajaliiton esittämän ratkaisun toteuttamista.</w:t>
      </w:r>
      <w:r>
        <w:rPr>
          <w:rFonts w:ascii="Calibri" w:hAnsi="Calibri" w:cs="Calibri"/>
        </w:rPr>
        <w:br/>
      </w:r>
    </w:p>
    <w:p w:rsidR="00B235D1" w:rsidRDefault="00B235D1" w:rsidP="001341D8">
      <w:pPr>
        <w:ind w:left="1304" w:firstLine="1"/>
        <w:rPr>
          <w:rFonts w:ascii="Calibri" w:hAnsi="Calibri" w:cs="Calibri"/>
        </w:rPr>
      </w:pPr>
      <w:r>
        <w:rPr>
          <w:rFonts w:ascii="Calibri" w:hAnsi="Calibri" w:cs="Calibri"/>
        </w:rPr>
        <w:t>Muuten Asianajajaliitolla ei ole huomautettavaa hovioikeuksien tuomiopiirien osalta.</w:t>
      </w:r>
    </w:p>
    <w:p w:rsidR="00B235D1" w:rsidRDefault="00B235D1" w:rsidP="001341D8">
      <w:pPr>
        <w:ind w:left="1304" w:firstLine="1"/>
        <w:rPr>
          <w:rFonts w:ascii="Calibri" w:hAnsi="Calibri" w:cs="Calibri"/>
        </w:rPr>
      </w:pPr>
    </w:p>
    <w:p w:rsidR="00B235D1" w:rsidRPr="00F562BC" w:rsidRDefault="00B235D1" w:rsidP="00166848">
      <w:pPr>
        <w:pStyle w:val="ListParagraph"/>
        <w:numPr>
          <w:ilvl w:val="0"/>
          <w:numId w:val="1"/>
        </w:numPr>
        <w:rPr>
          <w:rFonts w:ascii="Calibri" w:hAnsi="Calibri" w:cs="Calibri"/>
          <w:i/>
        </w:rPr>
      </w:pPr>
      <w:r w:rsidRPr="00F562BC">
        <w:rPr>
          <w:rFonts w:ascii="Calibri" w:hAnsi="Calibri" w:cs="Calibri"/>
          <w:i/>
        </w:rPr>
        <w:t>Valtioneuvoston asetus hallinto-oikeuksien tuomiopiireistä</w:t>
      </w:r>
      <w:r w:rsidRPr="00F562BC">
        <w:rPr>
          <w:rFonts w:ascii="Calibri" w:hAnsi="Calibri" w:cs="Calibri"/>
          <w:i/>
        </w:rPr>
        <w:br/>
      </w:r>
    </w:p>
    <w:p w:rsidR="00B235D1" w:rsidRDefault="00B235D1" w:rsidP="001341D8">
      <w:pPr>
        <w:ind w:left="1304" w:firstLine="1"/>
        <w:rPr>
          <w:rFonts w:ascii="Calibri" w:hAnsi="Calibri" w:cs="Calibri"/>
        </w:rPr>
      </w:pPr>
      <w:r>
        <w:rPr>
          <w:rFonts w:ascii="Calibri" w:hAnsi="Calibri" w:cs="Calibri"/>
        </w:rPr>
        <w:t>Asianajajaliitto kannattaa esitettyä tuomiopiirijakoa.</w:t>
      </w:r>
    </w:p>
    <w:p w:rsidR="00B235D1" w:rsidRDefault="00B235D1" w:rsidP="00F562BC">
      <w:pPr>
        <w:pStyle w:val="ListParagraph"/>
        <w:rPr>
          <w:rFonts w:ascii="Calibri" w:hAnsi="Calibri" w:cs="Calibri"/>
        </w:rPr>
      </w:pPr>
    </w:p>
    <w:p w:rsidR="00B235D1" w:rsidRDefault="00B235D1" w:rsidP="00F562BC">
      <w:pPr>
        <w:pStyle w:val="ListParagraph"/>
        <w:rPr>
          <w:rFonts w:ascii="Calibri" w:hAnsi="Calibri" w:cs="Calibri"/>
        </w:rPr>
        <w:sectPr w:rsidR="00B235D1" w:rsidSect="005A6779">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417" w:left="1134" w:header="708" w:footer="708" w:gutter="0"/>
          <w:cols w:space="708"/>
          <w:docGrid w:linePitch="360"/>
        </w:sectPr>
      </w:pPr>
    </w:p>
    <w:p w:rsidR="00B235D1" w:rsidRDefault="00B235D1" w:rsidP="001341D8">
      <w:pPr>
        <w:ind w:left="1304" w:firstLine="1"/>
        <w:rPr>
          <w:rFonts w:ascii="Calibri" w:hAnsi="Calibri" w:cs="Calibri"/>
        </w:rPr>
      </w:pPr>
    </w:p>
    <w:p w:rsidR="00B235D1" w:rsidRPr="00F562BC" w:rsidRDefault="00B235D1" w:rsidP="00F562BC">
      <w:pPr>
        <w:pStyle w:val="ListParagraph"/>
        <w:numPr>
          <w:ilvl w:val="0"/>
          <w:numId w:val="1"/>
        </w:numPr>
        <w:rPr>
          <w:rFonts w:ascii="Calibri" w:hAnsi="Calibri" w:cs="Calibri"/>
          <w:i/>
        </w:rPr>
      </w:pPr>
      <w:r w:rsidRPr="00F562BC">
        <w:rPr>
          <w:rFonts w:ascii="Calibri" w:hAnsi="Calibri" w:cs="Calibri"/>
          <w:i/>
        </w:rPr>
        <w:t>Valtioneuvoston asetukset käräjäoikeuksien tuomiopiireistä yrityksen saneerausta koskevissa asioissa ja ulosottovalituksia koskevissa asioissa</w:t>
      </w:r>
    </w:p>
    <w:p w:rsidR="00B235D1" w:rsidRPr="00166848" w:rsidRDefault="00B235D1" w:rsidP="00F562BC">
      <w:pPr>
        <w:pStyle w:val="ListParagraph"/>
        <w:rPr>
          <w:rFonts w:ascii="Calibri" w:hAnsi="Calibri" w:cs="Calibri"/>
        </w:rPr>
      </w:pPr>
    </w:p>
    <w:p w:rsidR="00B235D1" w:rsidRDefault="00B235D1" w:rsidP="001341D8">
      <w:pPr>
        <w:ind w:left="1304" w:firstLine="1"/>
        <w:rPr>
          <w:rFonts w:ascii="Calibri" w:hAnsi="Calibri" w:cs="Calibri"/>
        </w:rPr>
      </w:pPr>
      <w:r>
        <w:rPr>
          <w:rFonts w:ascii="Calibri" w:hAnsi="Calibri" w:cs="Calibri"/>
        </w:rPr>
        <w:t>Asianajajaliiton käsityksen mukaan käräjäoikeuksien tuomiopiirit yrityksen saneerausta koskevissa asioissa tulisi järjestää niin, että kukin käräjäoikeus kuuluisi johonkin saman hovioikeuspiirin käräjäoikeuden tuomiopiiriin. Jos esimerkiksi Hyvinkään käräjäoikeus tulisi kuulumaan Helsingin hovioikeuspiiriin, niin yrityksen saneerausta koskevia asioita koskevan asetusluonnoksen mukaan Hyvinkään käräjäoikeuspiirin asiat kuuluisivat Päijät-Hämeen käräjäoikeuden, joka kuuluu Itä-Suomen hovioikeuspiiriin. Olisi luonnollisempaa, että asiat kuuluisivat jonkin Helsingin hovioikeuspiiriin kuuluvan käräjäoikeuden tuomiopiiriin.</w:t>
      </w:r>
      <w:r>
        <w:rPr>
          <w:rFonts w:ascii="Calibri" w:hAnsi="Calibri" w:cs="Calibri"/>
        </w:rPr>
        <w:br/>
      </w:r>
    </w:p>
    <w:p w:rsidR="00B235D1" w:rsidRDefault="00B235D1" w:rsidP="001341D8">
      <w:pPr>
        <w:ind w:left="1304" w:firstLine="1"/>
        <w:rPr>
          <w:rFonts w:ascii="Calibri" w:hAnsi="Calibri" w:cs="Calibri"/>
        </w:rPr>
      </w:pPr>
      <w:r>
        <w:rPr>
          <w:rFonts w:ascii="Calibri" w:hAnsi="Calibri" w:cs="Calibri"/>
        </w:rPr>
        <w:t>Samaa periaatetta tulisi noudattaa myös ulosottovalituksia koskevissa asioissa.</w:t>
      </w:r>
    </w:p>
    <w:p w:rsidR="00B235D1" w:rsidRDefault="00B235D1" w:rsidP="001341D8">
      <w:pPr>
        <w:ind w:left="1304" w:firstLine="1"/>
        <w:rPr>
          <w:rFonts w:ascii="Calibri" w:hAnsi="Calibri" w:cs="Calibri"/>
        </w:rPr>
      </w:pPr>
    </w:p>
    <w:p w:rsidR="00B235D1" w:rsidRPr="00F562BC" w:rsidRDefault="00B235D1" w:rsidP="00F562BC">
      <w:pPr>
        <w:ind w:firstLine="1"/>
        <w:rPr>
          <w:rFonts w:ascii="Calibri" w:hAnsi="Calibri" w:cs="Calibri"/>
          <w:i/>
        </w:rPr>
      </w:pPr>
      <w:r>
        <w:rPr>
          <w:rFonts w:ascii="Calibri" w:hAnsi="Calibri" w:cs="Calibri"/>
          <w:i/>
        </w:rPr>
        <w:tab/>
      </w:r>
      <w:r w:rsidRPr="00F562BC">
        <w:rPr>
          <w:rFonts w:ascii="Calibri" w:hAnsi="Calibri" w:cs="Calibri"/>
          <w:i/>
        </w:rPr>
        <w:t>4.</w:t>
      </w:r>
      <w:r>
        <w:rPr>
          <w:rFonts w:ascii="Calibri" w:hAnsi="Calibri" w:cs="Calibri"/>
          <w:i/>
        </w:rPr>
        <w:t xml:space="preserve"> </w:t>
      </w:r>
      <w:r w:rsidRPr="00F562BC">
        <w:rPr>
          <w:rFonts w:ascii="Calibri" w:hAnsi="Calibri" w:cs="Calibri"/>
          <w:i/>
        </w:rPr>
        <w:t xml:space="preserve">Oikeusministeriön asetus vangitsemisasioiden ja eräiden muiden kiireellisten </w:t>
      </w:r>
      <w:r w:rsidRPr="00F562BC">
        <w:rPr>
          <w:rFonts w:ascii="Calibri" w:hAnsi="Calibri" w:cs="Calibri"/>
          <w:i/>
        </w:rPr>
        <w:tab/>
        <w:t xml:space="preserve">asioiden käsittelystä käräjäoikeuksissa </w:t>
      </w:r>
    </w:p>
    <w:p w:rsidR="00B235D1" w:rsidRDefault="00B235D1" w:rsidP="001341D8">
      <w:pPr>
        <w:ind w:left="1304" w:firstLine="1"/>
        <w:rPr>
          <w:rFonts w:ascii="Calibri" w:hAnsi="Calibri" w:cs="Calibri"/>
        </w:rPr>
      </w:pPr>
    </w:p>
    <w:p w:rsidR="00B235D1" w:rsidRDefault="00B235D1" w:rsidP="001341D8">
      <w:pPr>
        <w:ind w:left="1304" w:firstLine="1"/>
        <w:rPr>
          <w:rFonts w:ascii="Calibri" w:hAnsi="Calibri" w:cs="Calibri"/>
        </w:rPr>
      </w:pPr>
      <w:r>
        <w:rPr>
          <w:rFonts w:ascii="Calibri" w:hAnsi="Calibri" w:cs="Calibri"/>
        </w:rPr>
        <w:t xml:space="preserve">Kuten edellä on todettu, Asianajajaliito kannattaa Hyvinkään käräjäoikeuden kuulumista Helsingin hovioikeuden tuomiopiiriin. Hyvinkään käräjäoikeuden tulisi sen johdosta oikeusministeriön asetuksessakin kuulua Helsingin hovioikeuspiirin päivystysalueeseen. </w:t>
      </w:r>
    </w:p>
    <w:p w:rsidR="00B235D1" w:rsidRDefault="00B235D1" w:rsidP="001341D8">
      <w:pPr>
        <w:ind w:left="1304" w:firstLine="1"/>
        <w:rPr>
          <w:rFonts w:ascii="Calibri" w:hAnsi="Calibri" w:cs="Calibri"/>
        </w:rPr>
      </w:pPr>
    </w:p>
    <w:p w:rsidR="00B235D1" w:rsidRDefault="00B235D1" w:rsidP="001341D8">
      <w:pPr>
        <w:ind w:left="1304" w:firstLine="1"/>
        <w:rPr>
          <w:rFonts w:ascii="Calibri" w:hAnsi="Calibri" w:cs="Calibri"/>
        </w:rPr>
      </w:pPr>
      <w:r>
        <w:rPr>
          <w:rFonts w:ascii="Calibri" w:hAnsi="Calibri" w:cs="Calibri"/>
        </w:rPr>
        <w:t>Helsingissä 1. maaliskuuta 2013</w:t>
      </w:r>
      <w:r>
        <w:rPr>
          <w:rFonts w:ascii="Calibri" w:hAnsi="Calibri" w:cs="Calibri"/>
        </w:rPr>
        <w:br/>
      </w:r>
    </w:p>
    <w:p w:rsidR="00B235D1" w:rsidRDefault="00B235D1" w:rsidP="001341D8">
      <w:pPr>
        <w:ind w:left="1304" w:firstLine="1"/>
        <w:rPr>
          <w:rFonts w:ascii="Calibri" w:hAnsi="Calibri" w:cs="Calibri"/>
        </w:rPr>
      </w:pPr>
      <w:r w:rsidRPr="00D5715C">
        <w:rPr>
          <w:rFonts w:ascii="Calibri" w:hAnsi="Calibri" w:cs="Calibri"/>
          <w:noProof/>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Kuva 4" o:spid="_x0000_i1027" type="#_x0000_t75" style="width:197.25pt;height:61.5pt;visibility:visible">
            <v:imagedata r:id="rId15" o:title=""/>
          </v:shape>
        </w:pict>
      </w:r>
    </w:p>
    <w:p w:rsidR="00B235D1" w:rsidRDefault="00B235D1" w:rsidP="001341D8">
      <w:pPr>
        <w:ind w:left="1304" w:firstLine="1"/>
        <w:rPr>
          <w:rFonts w:ascii="Calibri" w:hAnsi="Calibri" w:cs="Calibri"/>
        </w:rPr>
      </w:pPr>
    </w:p>
    <w:p w:rsidR="00B235D1" w:rsidRDefault="00B235D1" w:rsidP="001341D8">
      <w:pPr>
        <w:ind w:left="1304" w:firstLine="1"/>
        <w:rPr>
          <w:rFonts w:ascii="Calibri" w:hAnsi="Calibri" w:cs="Calibri"/>
        </w:rPr>
      </w:pPr>
      <w:r>
        <w:rPr>
          <w:rFonts w:ascii="Calibri" w:hAnsi="Calibri" w:cs="Calibri"/>
        </w:rPr>
        <w:t>Mika Ilveskero</w:t>
      </w:r>
      <w:r>
        <w:rPr>
          <w:rFonts w:ascii="Calibri" w:hAnsi="Calibri" w:cs="Calibri"/>
        </w:rPr>
        <w:br/>
        <w:t>Suomen Asianajajaliiton puheenjohtaja, asianajaja</w:t>
      </w:r>
      <w:r>
        <w:rPr>
          <w:rFonts w:ascii="Calibri" w:hAnsi="Calibri" w:cs="Calibri"/>
        </w:rPr>
        <w:br/>
      </w:r>
    </w:p>
    <w:p w:rsidR="00B235D1" w:rsidRDefault="00B235D1" w:rsidP="001341D8">
      <w:pPr>
        <w:ind w:left="1304" w:firstLine="1"/>
        <w:rPr>
          <w:rFonts w:ascii="Calibri" w:hAnsi="Calibri" w:cs="Calibri"/>
        </w:rPr>
      </w:pPr>
    </w:p>
    <w:p w:rsidR="00B235D1" w:rsidRPr="00F562BC" w:rsidRDefault="00B235D1" w:rsidP="001341D8">
      <w:pPr>
        <w:ind w:left="1304" w:firstLine="1"/>
        <w:rPr>
          <w:rFonts w:ascii="Calibri" w:hAnsi="Calibri" w:cs="Calibri"/>
          <w:i/>
        </w:rPr>
      </w:pPr>
      <w:r w:rsidRPr="00F562BC">
        <w:rPr>
          <w:rFonts w:ascii="Calibri" w:hAnsi="Calibri" w:cs="Calibri"/>
          <w:i/>
        </w:rPr>
        <w:t>Lausunto on valmisteltu Suomen Asianajajaliiton hallituksen työvaliokunnassa.</w:t>
      </w:r>
    </w:p>
    <w:p w:rsidR="00B235D1" w:rsidRDefault="00B235D1" w:rsidP="001341D8">
      <w:pPr>
        <w:ind w:left="1304" w:firstLine="1"/>
        <w:rPr>
          <w:rFonts w:ascii="Calibri" w:hAnsi="Calibri" w:cs="Calibri"/>
        </w:rPr>
      </w:pPr>
    </w:p>
    <w:p w:rsidR="00B235D1" w:rsidRDefault="00B235D1" w:rsidP="001341D8">
      <w:pPr>
        <w:ind w:left="1304" w:firstLine="1"/>
        <w:rPr>
          <w:rFonts w:ascii="Calibri" w:hAnsi="Calibri" w:cs="Calibri"/>
        </w:rPr>
      </w:pPr>
    </w:p>
    <w:p w:rsidR="00B235D1" w:rsidRPr="001341D8" w:rsidRDefault="00B235D1" w:rsidP="001341D8">
      <w:pPr>
        <w:ind w:left="1304" w:firstLine="1"/>
        <w:rPr>
          <w:rFonts w:ascii="Calibri" w:hAnsi="Calibri" w:cs="Calibri"/>
        </w:rPr>
      </w:pPr>
    </w:p>
    <w:sectPr w:rsidR="00B235D1" w:rsidRPr="001341D8" w:rsidSect="005A6779">
      <w:headerReference w:type="default" r:id="rId16"/>
      <w:pgSz w:w="11906" w:h="16838"/>
      <w:pgMar w:top="1417" w:right="1134" w:bottom="141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35D1" w:rsidRDefault="00B235D1" w:rsidP="003A7B88">
      <w:pPr>
        <w:spacing w:after="0"/>
      </w:pPr>
      <w:r>
        <w:separator/>
      </w:r>
    </w:p>
  </w:endnote>
  <w:endnote w:type="continuationSeparator" w:id="0">
    <w:p w:rsidR="00B235D1" w:rsidRDefault="00B235D1" w:rsidP="003A7B88">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D1" w:rsidRDefault="00B235D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D1" w:rsidRDefault="00B235D1">
    <w:pPr>
      <w:pStyle w:val="Footer"/>
      <w:jc w:val="right"/>
    </w:pPr>
    <w:fldSimple w:instr=" PAGE   \* MERGEFORMAT ">
      <w:r>
        <w:rPr>
          <w:noProof/>
        </w:rPr>
        <w:t>1</w:t>
      </w:r>
    </w:fldSimple>
  </w:p>
  <w:p w:rsidR="00B235D1" w:rsidRDefault="00B235D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D1" w:rsidRDefault="00B235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35D1" w:rsidRDefault="00B235D1" w:rsidP="003A7B88">
      <w:pPr>
        <w:spacing w:after="0"/>
      </w:pPr>
      <w:r>
        <w:separator/>
      </w:r>
    </w:p>
  </w:footnote>
  <w:footnote w:type="continuationSeparator" w:id="0">
    <w:p w:rsidR="00B235D1" w:rsidRDefault="00B235D1" w:rsidP="003A7B88">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D1" w:rsidRDefault="00B235D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D1" w:rsidRDefault="00B235D1" w:rsidP="00F562BC">
    <w:pPr>
      <w:pStyle w:val="Header"/>
      <w:jc w:val="right"/>
      <w:rPr>
        <w:noProof/>
        <w:lang w:eastAsia="fi-FI"/>
      </w:rPr>
    </w:pPr>
    <w:r>
      <w:rPr>
        <w:noProof/>
        <w:lang w:eastAsia="fi-FI"/>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1.25pt;height:36.75pt;visibility:visible">
          <v:imagedata r:id="rId1" o:title=""/>
        </v:shape>
      </w:pict>
    </w:r>
  </w:p>
  <w:p w:rsidR="00B235D1" w:rsidRDefault="00B235D1" w:rsidP="00F562BC">
    <w:pPr>
      <w:pStyle w:val="Header"/>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D1" w:rsidRDefault="00B235D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35D1" w:rsidRDefault="00B235D1" w:rsidP="00F562BC">
    <w:pPr>
      <w:pStyle w:val="Header"/>
      <w:jc w:val="right"/>
      <w:rPr>
        <w:noProof/>
        <w:lang w:eastAsia="fi-FI"/>
      </w:rPr>
    </w:pPr>
  </w:p>
  <w:p w:rsidR="00B235D1" w:rsidRDefault="00B235D1" w:rsidP="00F562BC">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2A0F33"/>
    <w:multiLevelType w:val="hybridMultilevel"/>
    <w:tmpl w:val="E3EC9302"/>
    <w:lvl w:ilvl="0" w:tplc="C6DA13CC">
      <w:start w:val="1"/>
      <w:numFmt w:val="decimal"/>
      <w:lvlText w:val="%1."/>
      <w:lvlJc w:val="left"/>
      <w:pPr>
        <w:ind w:left="1665" w:hanging="360"/>
      </w:pPr>
      <w:rPr>
        <w:rFonts w:cs="Times New Roman" w:hint="default"/>
      </w:rPr>
    </w:lvl>
    <w:lvl w:ilvl="1" w:tplc="040B0019" w:tentative="1">
      <w:start w:val="1"/>
      <w:numFmt w:val="lowerLetter"/>
      <w:lvlText w:val="%2."/>
      <w:lvlJc w:val="left"/>
      <w:pPr>
        <w:ind w:left="2385" w:hanging="360"/>
      </w:pPr>
      <w:rPr>
        <w:rFonts w:cs="Times New Roman"/>
      </w:rPr>
    </w:lvl>
    <w:lvl w:ilvl="2" w:tplc="040B001B" w:tentative="1">
      <w:start w:val="1"/>
      <w:numFmt w:val="lowerRoman"/>
      <w:lvlText w:val="%3."/>
      <w:lvlJc w:val="right"/>
      <w:pPr>
        <w:ind w:left="3105" w:hanging="180"/>
      </w:pPr>
      <w:rPr>
        <w:rFonts w:cs="Times New Roman"/>
      </w:rPr>
    </w:lvl>
    <w:lvl w:ilvl="3" w:tplc="040B000F" w:tentative="1">
      <w:start w:val="1"/>
      <w:numFmt w:val="decimal"/>
      <w:lvlText w:val="%4."/>
      <w:lvlJc w:val="left"/>
      <w:pPr>
        <w:ind w:left="3825" w:hanging="360"/>
      </w:pPr>
      <w:rPr>
        <w:rFonts w:cs="Times New Roman"/>
      </w:rPr>
    </w:lvl>
    <w:lvl w:ilvl="4" w:tplc="040B0019" w:tentative="1">
      <w:start w:val="1"/>
      <w:numFmt w:val="lowerLetter"/>
      <w:lvlText w:val="%5."/>
      <w:lvlJc w:val="left"/>
      <w:pPr>
        <w:ind w:left="4545" w:hanging="360"/>
      </w:pPr>
      <w:rPr>
        <w:rFonts w:cs="Times New Roman"/>
      </w:rPr>
    </w:lvl>
    <w:lvl w:ilvl="5" w:tplc="040B001B" w:tentative="1">
      <w:start w:val="1"/>
      <w:numFmt w:val="lowerRoman"/>
      <w:lvlText w:val="%6."/>
      <w:lvlJc w:val="right"/>
      <w:pPr>
        <w:ind w:left="5265" w:hanging="180"/>
      </w:pPr>
      <w:rPr>
        <w:rFonts w:cs="Times New Roman"/>
      </w:rPr>
    </w:lvl>
    <w:lvl w:ilvl="6" w:tplc="040B000F" w:tentative="1">
      <w:start w:val="1"/>
      <w:numFmt w:val="decimal"/>
      <w:lvlText w:val="%7."/>
      <w:lvlJc w:val="left"/>
      <w:pPr>
        <w:ind w:left="5985" w:hanging="360"/>
      </w:pPr>
      <w:rPr>
        <w:rFonts w:cs="Times New Roman"/>
      </w:rPr>
    </w:lvl>
    <w:lvl w:ilvl="7" w:tplc="040B0019" w:tentative="1">
      <w:start w:val="1"/>
      <w:numFmt w:val="lowerLetter"/>
      <w:lvlText w:val="%8."/>
      <w:lvlJc w:val="left"/>
      <w:pPr>
        <w:ind w:left="6705" w:hanging="360"/>
      </w:pPr>
      <w:rPr>
        <w:rFonts w:cs="Times New Roman"/>
      </w:rPr>
    </w:lvl>
    <w:lvl w:ilvl="8" w:tplc="040B001B" w:tentative="1">
      <w:start w:val="1"/>
      <w:numFmt w:val="lowerRoman"/>
      <w:lvlText w:val="%9."/>
      <w:lvlJc w:val="right"/>
      <w:pPr>
        <w:ind w:left="7425"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defaultTabStop w:val="1304"/>
  <w:hyphenationZone w:val="425"/>
  <w:characterSpacingControl w:val="doNotCompress"/>
  <w:savePreviewPicture/>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341D8"/>
    <w:rsid w:val="00002DEA"/>
    <w:rsid w:val="0003563E"/>
    <w:rsid w:val="000667E0"/>
    <w:rsid w:val="000B6F08"/>
    <w:rsid w:val="001135E5"/>
    <w:rsid w:val="001341D8"/>
    <w:rsid w:val="00166848"/>
    <w:rsid w:val="001E2682"/>
    <w:rsid w:val="00234ABA"/>
    <w:rsid w:val="002B6904"/>
    <w:rsid w:val="00387694"/>
    <w:rsid w:val="003A7B88"/>
    <w:rsid w:val="003F0C7D"/>
    <w:rsid w:val="00477DB7"/>
    <w:rsid w:val="0052545C"/>
    <w:rsid w:val="005623C6"/>
    <w:rsid w:val="005A6779"/>
    <w:rsid w:val="006A7B32"/>
    <w:rsid w:val="00724E9F"/>
    <w:rsid w:val="007E5F51"/>
    <w:rsid w:val="008305B6"/>
    <w:rsid w:val="008751D8"/>
    <w:rsid w:val="008F010C"/>
    <w:rsid w:val="00922E53"/>
    <w:rsid w:val="00996DC2"/>
    <w:rsid w:val="009C50E6"/>
    <w:rsid w:val="00A53FBF"/>
    <w:rsid w:val="00A67E5C"/>
    <w:rsid w:val="00AE615C"/>
    <w:rsid w:val="00B235D1"/>
    <w:rsid w:val="00CA6736"/>
    <w:rsid w:val="00D138AC"/>
    <w:rsid w:val="00D5715C"/>
    <w:rsid w:val="00DC4272"/>
    <w:rsid w:val="00E652FD"/>
    <w:rsid w:val="00E719FC"/>
    <w:rsid w:val="00EF6E53"/>
    <w:rsid w:val="00F562BC"/>
    <w:rsid w:val="00F7242D"/>
    <w:rsid w:val="00F91815"/>
    <w:rsid w:val="00FB7E57"/>
  </w:rsids>
  <m:mathPr>
    <m:mathFont m:val="Cambria Math"/>
    <m:brkBin m:val="before"/>
    <m:brkBinSub m:val="--"/>
    <m:smallFrac m:val="off"/>
    <m:dispDef/>
    <m:lMargin m:val="0"/>
    <m:rMargin m:val="0"/>
    <m:defJc m:val="centerGroup"/>
    <m:wrapIndent m:val="1440"/>
    <m:intLim m:val="subSup"/>
    <m:naryLim m:val="undOvr"/>
  </m:mathPr>
  <w:uiCompat97To2003/>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Calibri"/>
        <w:sz w:val="22"/>
        <w:szCs w:val="22"/>
        <w:lang w:val="fi-FI" w:eastAsia="fi-F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C7D"/>
    <w:pPr>
      <w:spacing w:after="80"/>
    </w:pPr>
    <w:rPr>
      <w:rFonts w:ascii="CG Times" w:hAnsi="CG Times" w:cs="CG Times"/>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341D8"/>
    <w:rPr>
      <w:rFonts w:cs="Times New Roman"/>
      <w:color w:val="0000FF"/>
      <w:u w:val="single"/>
    </w:rPr>
  </w:style>
  <w:style w:type="paragraph" w:styleId="Header">
    <w:name w:val="header"/>
    <w:basedOn w:val="Normal"/>
    <w:link w:val="HeaderChar"/>
    <w:uiPriority w:val="99"/>
    <w:semiHidden/>
    <w:rsid w:val="003A7B88"/>
    <w:pPr>
      <w:tabs>
        <w:tab w:val="center" w:pos="4819"/>
        <w:tab w:val="right" w:pos="9638"/>
      </w:tabs>
      <w:spacing w:after="0"/>
    </w:pPr>
  </w:style>
  <w:style w:type="character" w:customStyle="1" w:styleId="HeaderChar">
    <w:name w:val="Header Char"/>
    <w:basedOn w:val="DefaultParagraphFont"/>
    <w:link w:val="Header"/>
    <w:uiPriority w:val="99"/>
    <w:semiHidden/>
    <w:locked/>
    <w:rsid w:val="003A7B88"/>
    <w:rPr>
      <w:rFonts w:ascii="CG Times" w:hAnsi="CG Times" w:cs="CG Times"/>
    </w:rPr>
  </w:style>
  <w:style w:type="paragraph" w:styleId="Footer">
    <w:name w:val="footer"/>
    <w:basedOn w:val="Normal"/>
    <w:link w:val="FooterChar"/>
    <w:uiPriority w:val="99"/>
    <w:rsid w:val="003A7B88"/>
    <w:pPr>
      <w:tabs>
        <w:tab w:val="center" w:pos="4819"/>
        <w:tab w:val="right" w:pos="9638"/>
      </w:tabs>
      <w:spacing w:after="0"/>
    </w:pPr>
  </w:style>
  <w:style w:type="character" w:customStyle="1" w:styleId="FooterChar">
    <w:name w:val="Footer Char"/>
    <w:basedOn w:val="DefaultParagraphFont"/>
    <w:link w:val="Footer"/>
    <w:uiPriority w:val="99"/>
    <w:locked/>
    <w:rsid w:val="003A7B88"/>
    <w:rPr>
      <w:rFonts w:ascii="CG Times" w:hAnsi="CG Times" w:cs="CG Times"/>
    </w:rPr>
  </w:style>
  <w:style w:type="paragraph" w:styleId="ListParagraph">
    <w:name w:val="List Paragraph"/>
    <w:basedOn w:val="Normal"/>
    <w:uiPriority w:val="99"/>
    <w:qFormat/>
    <w:rsid w:val="00166848"/>
    <w:pPr>
      <w:ind w:left="720"/>
      <w:contextualSpacing/>
    </w:pPr>
  </w:style>
  <w:style w:type="paragraph" w:styleId="BalloonText">
    <w:name w:val="Balloon Text"/>
    <w:basedOn w:val="Normal"/>
    <w:link w:val="BalloonTextChar"/>
    <w:uiPriority w:val="99"/>
    <w:semiHidden/>
    <w:rsid w:val="0038769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87694"/>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n-mari.pitkaranta@om.fi"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ikeusministerio@om.fi" TargetMode="Externa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image" Target="media/image2.jpeg"/><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310</Words>
  <Characters>2513</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Oikeusministeriö</dc:title>
  <dc:subject/>
  <dc:creator/>
  <cp:keywords/>
  <dc:description/>
  <cp:lastModifiedBy/>
  <cp:revision>2</cp:revision>
  <cp:lastPrinted>2013-03-04T12:41:00Z</cp:lastPrinted>
  <dcterms:created xsi:type="dcterms:W3CDTF">2013-03-04T12:42:00Z</dcterms:created>
  <dcterms:modified xsi:type="dcterms:W3CDTF">2013-03-04T12:42:00Z</dcterms:modified>
</cp:coreProperties>
</file>