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8C" w:rsidRDefault="0081148C" w:rsidP="003945DA">
      <w:pPr>
        <w:spacing w:line="360" w:lineRule="auto"/>
        <w:ind w:left="680" w:right="-170"/>
        <w:rPr>
          <w:sz w:val="24"/>
          <w:szCs w:val="24"/>
        </w:rPr>
      </w:pPr>
      <w:bookmarkStart w:id="0" w:name="_GoBack"/>
      <w:bookmarkEnd w:id="0"/>
    </w:p>
    <w:p w:rsidR="003945DA" w:rsidRDefault="003945DA" w:rsidP="003945DA">
      <w:pPr>
        <w:spacing w:line="360" w:lineRule="auto"/>
        <w:ind w:left="680" w:right="-170"/>
        <w:rPr>
          <w:sz w:val="24"/>
          <w:szCs w:val="24"/>
        </w:rPr>
      </w:pPr>
    </w:p>
    <w:p w:rsidR="003945DA" w:rsidRDefault="003945DA" w:rsidP="003945DA">
      <w:pPr>
        <w:spacing w:line="360" w:lineRule="auto"/>
        <w:ind w:left="680" w:right="-170"/>
        <w:rPr>
          <w:sz w:val="24"/>
          <w:szCs w:val="24"/>
        </w:rPr>
      </w:pPr>
    </w:p>
    <w:p w:rsidR="003945DA" w:rsidRDefault="003945DA" w:rsidP="003945DA">
      <w:pPr>
        <w:spacing w:line="360" w:lineRule="auto"/>
        <w:ind w:left="680" w:right="-1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Oikeusministeriölle </w:t>
      </w:r>
    </w:p>
    <w:p w:rsidR="003945DA" w:rsidRDefault="003945DA" w:rsidP="003945DA">
      <w:pPr>
        <w:spacing w:line="360" w:lineRule="auto"/>
        <w:ind w:left="680" w:right="-170"/>
        <w:rPr>
          <w:b/>
          <w:sz w:val="24"/>
          <w:szCs w:val="24"/>
        </w:rPr>
      </w:pPr>
    </w:p>
    <w:p w:rsidR="003945DA" w:rsidRDefault="003945DA" w:rsidP="003945DA">
      <w:pPr>
        <w:spacing w:line="360" w:lineRule="auto"/>
        <w:ind w:left="680" w:right="-170"/>
        <w:rPr>
          <w:b/>
          <w:sz w:val="24"/>
          <w:szCs w:val="24"/>
        </w:rPr>
      </w:pPr>
    </w:p>
    <w:p w:rsidR="003945DA" w:rsidRDefault="003945DA" w:rsidP="003945DA">
      <w:pPr>
        <w:spacing w:line="360" w:lineRule="auto"/>
        <w:ind w:left="680" w:right="-170"/>
        <w:rPr>
          <w:b/>
          <w:sz w:val="24"/>
          <w:szCs w:val="24"/>
        </w:rPr>
      </w:pPr>
    </w:p>
    <w:p w:rsidR="003945DA" w:rsidRDefault="003945DA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Oikeusministeriö on pyytänyt minulta lausuntoa luonnoksesta hallituksen esitykseksi rikoslain muuttamisesta, joka koskee rikoslakiin maakunta- ja sosiaali- ja terveydenhuollon uudistuksen perusteella tehtäviä teknisluonteisia muutoksia. </w:t>
      </w:r>
    </w:p>
    <w:p w:rsidR="003945DA" w:rsidRDefault="003945DA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Lausuntonani esitän kunnioittavasti seuraavaa:</w:t>
      </w:r>
    </w:p>
    <w:p w:rsidR="00E55FF6" w:rsidRDefault="00E55FF6" w:rsidP="008763E4">
      <w:pPr>
        <w:spacing w:line="360" w:lineRule="auto"/>
        <w:ind w:left="680" w:righ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HE-luonnoksessa on kysymys niiden teknisluonteisten muutosten tekemisestä rikoslakiin, joihin vireillä oleva maakunta- ja sotelainsäädäntöuudistus antaa aihetta.</w:t>
      </w:r>
      <w:r w:rsidR="008763E4">
        <w:rPr>
          <w:sz w:val="24"/>
          <w:szCs w:val="24"/>
        </w:rPr>
        <w:t xml:space="preserve"> Jotkut ehdot</w:t>
      </w:r>
      <w:r w:rsidR="00107897">
        <w:rPr>
          <w:sz w:val="24"/>
          <w:szCs w:val="24"/>
        </w:rPr>
        <w:t>etut muuto</w:t>
      </w:r>
      <w:r w:rsidR="008763E4">
        <w:rPr>
          <w:sz w:val="24"/>
          <w:szCs w:val="24"/>
        </w:rPr>
        <w:t>kset ovat</w:t>
      </w:r>
      <w:r w:rsidR="000A5FEB">
        <w:rPr>
          <w:sz w:val="24"/>
          <w:szCs w:val="24"/>
        </w:rPr>
        <w:t xml:space="preserve"> ilman muuta </w:t>
      </w:r>
      <w:r w:rsidR="00107897">
        <w:rPr>
          <w:sz w:val="24"/>
          <w:szCs w:val="24"/>
        </w:rPr>
        <w:t>tarpeellisia</w:t>
      </w:r>
      <w:r w:rsidR="000A5FEB">
        <w:rPr>
          <w:sz w:val="24"/>
          <w:szCs w:val="24"/>
        </w:rPr>
        <w:t>, jo</w:t>
      </w:r>
      <w:r w:rsidR="00107897">
        <w:rPr>
          <w:sz w:val="24"/>
          <w:szCs w:val="24"/>
        </w:rPr>
        <w:t xml:space="preserve">idenkin tarpeellisuus ja muotoilu on </w:t>
      </w:r>
      <w:r w:rsidR="000A5FEB">
        <w:rPr>
          <w:sz w:val="24"/>
          <w:szCs w:val="24"/>
        </w:rPr>
        <w:t xml:space="preserve">enemmän tai vähemmän </w:t>
      </w:r>
      <w:r w:rsidR="00107897">
        <w:rPr>
          <w:sz w:val="24"/>
          <w:szCs w:val="24"/>
        </w:rPr>
        <w:t>mielipidekysymys</w:t>
      </w:r>
      <w:r w:rsidR="000A5FEB">
        <w:rPr>
          <w:sz w:val="24"/>
          <w:szCs w:val="24"/>
        </w:rPr>
        <w:t>.</w:t>
      </w:r>
    </w:p>
    <w:p w:rsidR="00BB618D" w:rsidRDefault="00BB618D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Poliittisia oikeuksia vastaan kohdistuvia rikoksia koskevan </w:t>
      </w:r>
      <w:r w:rsidRPr="00107897">
        <w:rPr>
          <w:b/>
          <w:i/>
          <w:sz w:val="24"/>
          <w:szCs w:val="24"/>
        </w:rPr>
        <w:t>RL 14 luvun 7 §:ään</w:t>
      </w:r>
      <w:r>
        <w:rPr>
          <w:sz w:val="24"/>
          <w:szCs w:val="24"/>
        </w:rPr>
        <w:t xml:space="preserve"> ehdotetut muutokset ovat pääosin kannatettavia. Maakuntavaalien lisääminen säännöksen luetteloon on luonnollisesti tarpeen, ja terminologian selventäminen </w:t>
      </w:r>
      <w:r w:rsidR="000A5FEB">
        <w:rPr>
          <w:sz w:val="24"/>
          <w:szCs w:val="24"/>
        </w:rPr>
        <w:t>siirtymällä käyttämään</w:t>
      </w:r>
      <w:r>
        <w:rPr>
          <w:sz w:val="24"/>
          <w:szCs w:val="24"/>
        </w:rPr>
        <w:t xml:space="preserve"> mm. </w:t>
      </w:r>
      <w:r w:rsidR="000A5FEB">
        <w:rPr>
          <w:sz w:val="24"/>
          <w:szCs w:val="24"/>
        </w:rPr>
        <w:t xml:space="preserve">käsitettä </w:t>
      </w:r>
      <w:r>
        <w:rPr>
          <w:sz w:val="24"/>
          <w:szCs w:val="24"/>
        </w:rPr>
        <w:t>eduskuntavaal</w:t>
      </w:r>
      <w:r w:rsidR="000A5FEB">
        <w:rPr>
          <w:sz w:val="24"/>
          <w:szCs w:val="24"/>
        </w:rPr>
        <w:t>it</w:t>
      </w:r>
      <w:r>
        <w:rPr>
          <w:sz w:val="24"/>
          <w:szCs w:val="24"/>
        </w:rPr>
        <w:t xml:space="preserve"> on paikallaan. Pykälän toisen momentin kielelliseksi yhtenäistämiseksi olisi mielestäni kuitenkin aiheellista käyttää ehdotetun muotoilun sijasta muotoilua ”… valtiollista, maakunnallista ja kunnallista kansanäänestystä</w:t>
      </w:r>
      <w:r w:rsidR="00100ABB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100ABB" w:rsidRDefault="00100ABB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Vapauteen kohdistuvia rikoksia koskevan </w:t>
      </w:r>
      <w:r w:rsidRPr="00107897">
        <w:rPr>
          <w:b/>
          <w:i/>
          <w:sz w:val="24"/>
          <w:szCs w:val="24"/>
        </w:rPr>
        <w:t>RL 25 luvun 9 §:ään</w:t>
      </w:r>
      <w:r>
        <w:rPr>
          <w:sz w:val="24"/>
          <w:szCs w:val="24"/>
        </w:rPr>
        <w:t xml:space="preserve"> ehdotetun muutoksen osalta minulla ei ole huomautettavaa.</w:t>
      </w:r>
    </w:p>
    <w:p w:rsidR="00100ABB" w:rsidRDefault="00100ABB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Myös virkarikoksia koskevan </w:t>
      </w:r>
      <w:r w:rsidRPr="00107897">
        <w:rPr>
          <w:b/>
          <w:sz w:val="24"/>
          <w:szCs w:val="24"/>
        </w:rPr>
        <w:t>RL 40 luvun 11 §:n</w:t>
      </w:r>
      <w:r>
        <w:rPr>
          <w:sz w:val="24"/>
          <w:szCs w:val="24"/>
        </w:rPr>
        <w:t xml:space="preserve"> määritelmäsäännökseen on ehdotettu muutamia muutoksia.</w:t>
      </w:r>
      <w:r w:rsidR="00494128">
        <w:rPr>
          <w:sz w:val="24"/>
          <w:szCs w:val="24"/>
        </w:rPr>
        <w:t xml:space="preserve"> </w:t>
      </w:r>
      <w:r w:rsidR="00EA730D">
        <w:rPr>
          <w:sz w:val="24"/>
          <w:szCs w:val="24"/>
        </w:rPr>
        <w:t>Nykyisessä RL 40:11:n 1 kohdassa mainitaan yksikkönä, johon virka- tai siihen rinnastettavassa palvelussuhteessa olevat ovat määritelmän mukaan virkamiehiä, mui</w:t>
      </w:r>
      <w:r w:rsidR="00EA730D">
        <w:rPr>
          <w:sz w:val="24"/>
          <w:szCs w:val="24"/>
        </w:rPr>
        <w:lastRenderedPageBreak/>
        <w:t xml:space="preserve">den muassa valtion liikelaitos. HE luonnoksessa on (s. 10) tuotu esille, kuinka valtion liikelaitoksen mainitseminen on tavallaan tarpeetonta, mutta se on kuitenkin vuoden 2002 virkarikosuudistuksessa lisätty säännökseen selvyyden vuoksi.  </w:t>
      </w:r>
    </w:p>
    <w:p w:rsidR="00EA730D" w:rsidRDefault="00EA730D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 Vastaavasti kunnan liikelaitoksen palveluksessa olevat henkilöt ovat palvelussuhteessa kuntaan ja ehdotetun lainsäädännön mukaisen maakunnan liikelaitoksen palveluksessa olevat palvelussuhteessa maakuntaan. HE-luonnoksessa on (s. 11) katsottu, ettei RL 40:11:n 1 kohdassa ole tarpeen mainita kunnallista eikä maakunnan liikelaitosta.</w:t>
      </w:r>
    </w:p>
    <w:p w:rsidR="00425400" w:rsidRDefault="00425400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Olen osaksi eri mieltä. Edellä sanotun perusteella niiden mainitseminen ei ole välttämätöntä, mutta se olisi lainsäädäntöä selventävää. Asiaa tarkemmin tuntemattomalle lakiteksti antaa helposti perusteen</w:t>
      </w:r>
      <w:r w:rsidR="000A5FEB">
        <w:rPr>
          <w:sz w:val="24"/>
          <w:szCs w:val="24"/>
        </w:rPr>
        <w:t xml:space="preserve"> virheelliseen</w:t>
      </w:r>
      <w:r>
        <w:rPr>
          <w:sz w:val="24"/>
          <w:szCs w:val="24"/>
        </w:rPr>
        <w:t xml:space="preserve"> vastakohtaispäätelmään: kun valtion liikelaitos on mainittu, mutta kunnan ja maakunnan liikelaitosta ei, </w:t>
      </w:r>
      <w:r w:rsidR="00107897">
        <w:rPr>
          <w:sz w:val="24"/>
          <w:szCs w:val="24"/>
        </w:rPr>
        <w:t>viimeksi mainittujen</w:t>
      </w:r>
      <w:r>
        <w:rPr>
          <w:sz w:val="24"/>
          <w:szCs w:val="24"/>
        </w:rPr>
        <w:t xml:space="preserve"> palveluksessa olevien henkilöiden asema on erilainen. Väärinkäsitysten välttämiseksi olisi siten mielestäni parempi lisätä kyseiseen säännöskohtaan kunnan ja maakunnan liikelaitokset.</w:t>
      </w:r>
    </w:p>
    <w:p w:rsidR="00210F4E" w:rsidRDefault="00210F4E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 Tapa, jolla HE-luonnoksessa on (s. 11) ehdotettu tarvittaessa säänneltäväksi maakuntien osakeyhtiömuotoisten palvelukeskusten palveluksessa olevan henkilöstön asema, on mielestäni kannatettava. </w:t>
      </w:r>
    </w:p>
    <w:p w:rsidR="00902AD4" w:rsidRDefault="001C6D81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 RL 40:11:n </w:t>
      </w:r>
      <w:r w:rsidR="0097540E">
        <w:rPr>
          <w:sz w:val="24"/>
          <w:szCs w:val="24"/>
        </w:rPr>
        <w:t>2</w:t>
      </w:r>
      <w:r w:rsidR="00C6431B">
        <w:rPr>
          <w:sz w:val="24"/>
          <w:szCs w:val="24"/>
        </w:rPr>
        <w:t xml:space="preserve"> kohtaan ehdotetut maakuntavaltuutettua ja maakuntahallitusta koskevat lisäykset ovat aiheellisia.</w:t>
      </w:r>
      <w:r>
        <w:rPr>
          <w:sz w:val="24"/>
          <w:szCs w:val="24"/>
        </w:rPr>
        <w:t xml:space="preserve"> </w:t>
      </w:r>
    </w:p>
    <w:p w:rsidR="000A5FEB" w:rsidRDefault="000A5FEB" w:rsidP="00902AD4">
      <w:pPr>
        <w:spacing w:line="360" w:lineRule="auto"/>
        <w:ind w:left="680" w:right="-170"/>
        <w:rPr>
          <w:sz w:val="24"/>
          <w:szCs w:val="24"/>
        </w:rPr>
      </w:pPr>
    </w:p>
    <w:p w:rsidR="00107897" w:rsidRDefault="004551BC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 HE-luonnoksen ulkopuolisena asiana nostan vielä esille ehdotuksen, että tässä samassa yhteydessä kyseistä säännöskohtaa täydennettäisiin enemmänkin. Säädettäessä uusi yliopistolaki vuonna </w:t>
      </w:r>
      <w:r w:rsidR="00902AD4">
        <w:rPr>
          <w:sz w:val="24"/>
          <w:szCs w:val="24"/>
        </w:rPr>
        <w:t>200</w:t>
      </w:r>
      <w:r>
        <w:rPr>
          <w:sz w:val="24"/>
          <w:szCs w:val="24"/>
        </w:rPr>
        <w:t xml:space="preserve">9 RL 40:11:n 3 kohtaan tehtiin lisäys, jonka mukaan julkisyhteisön työntekijällä tarkoitetaan henkilöä, joka on työsopimussuhteessa 1 kohdassa mainittuun julkisyhteisöön tai laitokseen </w:t>
      </w:r>
      <w:r w:rsidRPr="004551BC">
        <w:rPr>
          <w:i/>
          <w:sz w:val="24"/>
          <w:szCs w:val="24"/>
        </w:rPr>
        <w:t>taikka yliopistoon</w:t>
      </w:r>
      <w:r>
        <w:rPr>
          <w:sz w:val="24"/>
          <w:szCs w:val="24"/>
        </w:rPr>
        <w:t xml:space="preserve">. </w:t>
      </w:r>
      <w:r w:rsidR="00902AD4">
        <w:rPr>
          <w:sz w:val="24"/>
          <w:szCs w:val="24"/>
        </w:rPr>
        <w:t>Mainintaa yliopistosta ei tuolloin lisätty eikä edes ehdotettu lisättäväksi 1 kohtaan</w:t>
      </w:r>
      <w:r w:rsidR="0077341D">
        <w:rPr>
          <w:sz w:val="24"/>
          <w:szCs w:val="24"/>
        </w:rPr>
        <w:t>, ei myöskään 2 kohtaan</w:t>
      </w:r>
      <w:r w:rsidR="00902AD4">
        <w:rPr>
          <w:sz w:val="24"/>
          <w:szCs w:val="24"/>
        </w:rPr>
        <w:t xml:space="preserve">. </w:t>
      </w:r>
      <w:r w:rsidR="00107897">
        <w:rPr>
          <w:sz w:val="24"/>
          <w:szCs w:val="24"/>
        </w:rPr>
        <w:t>Pykälän mainittujen eri kohtien välinen suhde on tätä kautta muodostunut ongelmalliseksi.</w:t>
      </w:r>
    </w:p>
    <w:p w:rsidR="003E0012" w:rsidRDefault="00107897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2AD4">
        <w:rPr>
          <w:sz w:val="24"/>
          <w:szCs w:val="24"/>
        </w:rPr>
        <w:t>RL 40:11:n 3 kohdan muuttamista perusteltiin asianomaisessa hallituksen esityksessä (HE 7/2009 vp, s. 87) seuraavasti: ”</w:t>
      </w:r>
      <w:r w:rsidR="00902AD4" w:rsidRPr="00902AD4">
        <w:t xml:space="preserve"> </w:t>
      </w:r>
      <w:r w:rsidR="00902AD4" w:rsidRPr="00902AD4">
        <w:rPr>
          <w:sz w:val="24"/>
          <w:szCs w:val="24"/>
        </w:rPr>
        <w:t xml:space="preserve">Itsenäisessä oikeushenkilöasemassa toimivat yliopistot ovat rinnastettavissa lainkohdan tarkoittamiin lakisääteisiä tehtäviä hoitaviin julkisyhteisöihin. </w:t>
      </w:r>
      <w:r w:rsidR="00902AD4" w:rsidRPr="00902AD4">
        <w:rPr>
          <w:sz w:val="24"/>
          <w:szCs w:val="24"/>
        </w:rPr>
        <w:lastRenderedPageBreak/>
        <w:t>Mainittua rikoslain 40 luvun 11 §:n 3 kohtaa ehdotetaan tämän vuoksi täydennettäväksi siten, että julkisyhteisön työntekijällä tarkoitettaisiin myös henkilöä, joka on työsopimussuhteessa yliopistoon.</w:t>
      </w:r>
      <w:r w:rsidR="00902AD4">
        <w:rPr>
          <w:sz w:val="24"/>
          <w:szCs w:val="24"/>
        </w:rPr>
        <w:t>”</w:t>
      </w:r>
      <w:r w:rsidR="003B090A">
        <w:rPr>
          <w:sz w:val="24"/>
          <w:szCs w:val="24"/>
        </w:rPr>
        <w:t xml:space="preserve"> </w:t>
      </w:r>
    </w:p>
    <w:p w:rsidR="0077341D" w:rsidRDefault="003E0012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RL 40:11:n 3 kohdasta voitaisiin johdonmukaisesti päätellä,</w:t>
      </w:r>
      <w:r w:rsidR="0077341D">
        <w:rPr>
          <w:sz w:val="24"/>
          <w:szCs w:val="24"/>
        </w:rPr>
        <w:t xml:space="preserve"> että yliopistot ovat julkisyhteisöjä. Niitä ei kuitenkaan ole mainittu pykälän 1 kohdassa. Vastaavasti 3 kohdasta voitaisiin päätellä</w:t>
      </w:r>
      <w:r w:rsidR="00B17318">
        <w:rPr>
          <w:sz w:val="24"/>
          <w:szCs w:val="24"/>
        </w:rPr>
        <w:t xml:space="preserve"> myös</w:t>
      </w:r>
      <w:r w:rsidR="0077341D">
        <w:rPr>
          <w:sz w:val="24"/>
          <w:szCs w:val="24"/>
        </w:rPr>
        <w:t>, että</w:t>
      </w:r>
      <w:r>
        <w:rPr>
          <w:sz w:val="24"/>
          <w:szCs w:val="24"/>
        </w:rPr>
        <w:t xml:space="preserve"> yliopiston toimielinten jäsenet olisivat pykälän 2 kohdassa tarkoitettuja julkista luottamustehtävää hoitavia henkilöitä. </w:t>
      </w:r>
      <w:r w:rsidR="00902AD4" w:rsidRPr="00902AD4">
        <w:rPr>
          <w:sz w:val="24"/>
          <w:szCs w:val="24"/>
        </w:rPr>
        <w:t xml:space="preserve"> </w:t>
      </w:r>
      <w:r w:rsidR="00B17318">
        <w:rPr>
          <w:sz w:val="24"/>
          <w:szCs w:val="24"/>
        </w:rPr>
        <w:t xml:space="preserve">Pykälän </w:t>
      </w:r>
      <w:r>
        <w:rPr>
          <w:sz w:val="24"/>
          <w:szCs w:val="24"/>
        </w:rPr>
        <w:t xml:space="preserve">2 kohdassa sellaisiksi on kuitenkin määritelty vain </w:t>
      </w:r>
      <w:r w:rsidRPr="003E0012">
        <w:rPr>
          <w:i/>
          <w:sz w:val="24"/>
          <w:szCs w:val="24"/>
        </w:rPr>
        <w:t>1 kohdassa mainitun julkisyhteisön tai laitoksen</w:t>
      </w:r>
      <w:r>
        <w:rPr>
          <w:sz w:val="24"/>
          <w:szCs w:val="24"/>
        </w:rPr>
        <w:t xml:space="preserve"> luottamushenkilöt. </w:t>
      </w:r>
    </w:p>
    <w:p w:rsidR="00902AD4" w:rsidRDefault="0077341D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0012">
        <w:rPr>
          <w:sz w:val="24"/>
          <w:szCs w:val="24"/>
        </w:rPr>
        <w:t>Yliopisto</w:t>
      </w:r>
      <w:r w:rsidR="000A5FEB">
        <w:rPr>
          <w:sz w:val="24"/>
          <w:szCs w:val="24"/>
        </w:rPr>
        <w:t>t</w:t>
      </w:r>
      <w:r w:rsidR="003E0012">
        <w:rPr>
          <w:sz w:val="24"/>
          <w:szCs w:val="24"/>
        </w:rPr>
        <w:t xml:space="preserve"> ovat yliopistolain (558/2009) mukaan joko julkisoikeudellisia yliopistoja tai säätiöyliopistoja. Jos on ongelmallista luonnehtia yliopistoja julkisyhteisöiksi ja lisätä yliopisto RL 40:11:n 1 kohtaan, asia voitaisiin hoitaa täydentämällä pykälän 2 kohdan loppua (”… sekä muuta mainitun julkisyhteisön tai laitoksen luottamushenkilöä”) </w:t>
      </w:r>
      <w:r w:rsidR="00F963D9">
        <w:rPr>
          <w:sz w:val="24"/>
          <w:szCs w:val="24"/>
        </w:rPr>
        <w:t xml:space="preserve">esimerkiksi </w:t>
      </w:r>
      <w:r w:rsidR="003E0012">
        <w:rPr>
          <w:sz w:val="24"/>
          <w:szCs w:val="24"/>
        </w:rPr>
        <w:t xml:space="preserve">seuraavasti: ”… </w:t>
      </w:r>
      <w:r w:rsidR="00F963D9" w:rsidRPr="000A5FEB">
        <w:rPr>
          <w:i/>
          <w:sz w:val="24"/>
          <w:szCs w:val="24"/>
        </w:rPr>
        <w:t>ja</w:t>
      </w:r>
      <w:r w:rsidR="003E0012">
        <w:rPr>
          <w:sz w:val="24"/>
          <w:szCs w:val="24"/>
        </w:rPr>
        <w:t xml:space="preserve"> muuta mainitun julkisyhteisön tai laitoksen</w:t>
      </w:r>
      <w:r w:rsidR="00F963D9">
        <w:rPr>
          <w:sz w:val="24"/>
          <w:szCs w:val="24"/>
        </w:rPr>
        <w:t xml:space="preserve"> luottamushenkilöä </w:t>
      </w:r>
      <w:r w:rsidR="00F963D9" w:rsidRPr="000A5FEB">
        <w:rPr>
          <w:i/>
          <w:sz w:val="24"/>
          <w:szCs w:val="24"/>
        </w:rPr>
        <w:t>sekä yliopiston toimielimen jäsentä</w:t>
      </w:r>
      <w:r w:rsidR="00F963D9">
        <w:rPr>
          <w:sz w:val="24"/>
          <w:szCs w:val="24"/>
        </w:rPr>
        <w:t>.”</w:t>
      </w:r>
      <w:r>
        <w:rPr>
          <w:sz w:val="24"/>
          <w:szCs w:val="24"/>
        </w:rPr>
        <w:t xml:space="preserve"> Viimeksi mainittujen lienee katsottava jo nykyisinkin olevan julkista luottamustehtävää hoitavia henkilöitä, mutta 2 kohdan määritelmä on nykyisellään ristiriidassa tämän tosiasian kanssa.</w:t>
      </w:r>
    </w:p>
    <w:p w:rsidR="000A5FEB" w:rsidRDefault="000A5FEB" w:rsidP="00902AD4">
      <w:pPr>
        <w:spacing w:line="360" w:lineRule="auto"/>
        <w:ind w:left="680" w:right="-170"/>
        <w:rPr>
          <w:sz w:val="24"/>
          <w:szCs w:val="24"/>
        </w:rPr>
      </w:pPr>
    </w:p>
    <w:p w:rsidR="000A5FEB" w:rsidRDefault="000A5FEB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          Helsingissä 3.4.2018</w:t>
      </w:r>
    </w:p>
    <w:p w:rsidR="000A5FEB" w:rsidRDefault="000A5FEB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A5FEB" w:rsidRDefault="000A5FEB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          Pekka Viljanen</w:t>
      </w:r>
    </w:p>
    <w:p w:rsidR="000A5FEB" w:rsidRPr="003E0012" w:rsidRDefault="000A5FEB" w:rsidP="00902AD4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          rikos- ja prosessioikeuden professori emeritus, OTT, VT</w:t>
      </w:r>
    </w:p>
    <w:p w:rsidR="004551BC" w:rsidRDefault="004551BC" w:rsidP="003945DA">
      <w:pPr>
        <w:spacing w:line="360" w:lineRule="auto"/>
        <w:ind w:left="680" w:right="-170"/>
        <w:rPr>
          <w:sz w:val="24"/>
          <w:szCs w:val="24"/>
        </w:rPr>
      </w:pPr>
    </w:p>
    <w:p w:rsidR="00425400" w:rsidRDefault="001C6D81" w:rsidP="003945DA">
      <w:pPr>
        <w:spacing w:line="360" w:lineRule="auto"/>
        <w:ind w:left="680" w:right="-1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00ABB" w:rsidRDefault="00100ABB" w:rsidP="003945DA">
      <w:pPr>
        <w:spacing w:line="360" w:lineRule="auto"/>
        <w:ind w:left="680" w:right="-170"/>
        <w:rPr>
          <w:sz w:val="24"/>
          <w:szCs w:val="24"/>
        </w:rPr>
      </w:pPr>
    </w:p>
    <w:p w:rsidR="00100ABB" w:rsidRPr="003945DA" w:rsidRDefault="00100ABB" w:rsidP="003945DA">
      <w:pPr>
        <w:spacing w:line="360" w:lineRule="auto"/>
        <w:ind w:left="680" w:right="-170"/>
        <w:rPr>
          <w:sz w:val="24"/>
          <w:szCs w:val="24"/>
        </w:rPr>
      </w:pPr>
    </w:p>
    <w:sectPr w:rsidR="00100ABB" w:rsidRPr="003945D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0B" w:rsidRDefault="00B03E0B" w:rsidP="003945DA">
      <w:pPr>
        <w:spacing w:after="0" w:line="240" w:lineRule="auto"/>
      </w:pPr>
      <w:r>
        <w:separator/>
      </w:r>
    </w:p>
  </w:endnote>
  <w:endnote w:type="continuationSeparator" w:id="0">
    <w:p w:rsidR="00B03E0B" w:rsidRDefault="00B03E0B" w:rsidP="003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0B" w:rsidRDefault="00B03E0B" w:rsidP="003945DA">
      <w:pPr>
        <w:spacing w:after="0" w:line="240" w:lineRule="auto"/>
      </w:pPr>
      <w:r>
        <w:separator/>
      </w:r>
    </w:p>
  </w:footnote>
  <w:footnote w:type="continuationSeparator" w:id="0">
    <w:p w:rsidR="00B03E0B" w:rsidRDefault="00B03E0B" w:rsidP="0039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138587"/>
      <w:docPartObj>
        <w:docPartGallery w:val="Page Numbers (Top of Page)"/>
        <w:docPartUnique/>
      </w:docPartObj>
    </w:sdtPr>
    <w:sdtEndPr/>
    <w:sdtContent>
      <w:p w:rsidR="003945DA" w:rsidRDefault="003945D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1A">
          <w:rPr>
            <w:noProof/>
          </w:rPr>
          <w:t>1</w:t>
        </w:r>
        <w:r>
          <w:fldChar w:fldCharType="end"/>
        </w:r>
      </w:p>
    </w:sdtContent>
  </w:sdt>
  <w:p w:rsidR="003945DA" w:rsidRDefault="003945D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DA"/>
    <w:rsid w:val="00082D50"/>
    <w:rsid w:val="000A5FEB"/>
    <w:rsid w:val="00100ABB"/>
    <w:rsid w:val="00107897"/>
    <w:rsid w:val="0012041D"/>
    <w:rsid w:val="001C6D81"/>
    <w:rsid w:val="00210F4E"/>
    <w:rsid w:val="003945DA"/>
    <w:rsid w:val="003B090A"/>
    <w:rsid w:val="003E0012"/>
    <w:rsid w:val="00425400"/>
    <w:rsid w:val="004551BC"/>
    <w:rsid w:val="00494128"/>
    <w:rsid w:val="004E781A"/>
    <w:rsid w:val="0077341D"/>
    <w:rsid w:val="007B70BE"/>
    <w:rsid w:val="0081148C"/>
    <w:rsid w:val="00854919"/>
    <w:rsid w:val="008763E4"/>
    <w:rsid w:val="00902AD4"/>
    <w:rsid w:val="0097540E"/>
    <w:rsid w:val="009D4560"/>
    <w:rsid w:val="00A239A1"/>
    <w:rsid w:val="00B03E0B"/>
    <w:rsid w:val="00B17318"/>
    <w:rsid w:val="00BB618D"/>
    <w:rsid w:val="00C6431B"/>
    <w:rsid w:val="00C76349"/>
    <w:rsid w:val="00D64B93"/>
    <w:rsid w:val="00E55FF6"/>
    <w:rsid w:val="00EA4D0F"/>
    <w:rsid w:val="00EA730D"/>
    <w:rsid w:val="00EE690B"/>
    <w:rsid w:val="00F03C23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49EC-B5F0-465C-89E7-4E34516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4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45DA"/>
  </w:style>
  <w:style w:type="paragraph" w:styleId="Alatunniste">
    <w:name w:val="footer"/>
    <w:basedOn w:val="Normaali"/>
    <w:link w:val="AlatunnisteChar"/>
    <w:uiPriority w:val="99"/>
    <w:unhideWhenUsed/>
    <w:rsid w:val="00394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45DA"/>
  </w:style>
  <w:style w:type="paragraph" w:styleId="Seliteteksti">
    <w:name w:val="Balloon Text"/>
    <w:basedOn w:val="Normaali"/>
    <w:link w:val="SelitetekstiChar"/>
    <w:uiPriority w:val="99"/>
    <w:semiHidden/>
    <w:unhideWhenUsed/>
    <w:rsid w:val="004E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CDC4-3F1D-4AEE-8C38-9405F7D3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4771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Viljanen</dc:creator>
  <cp:keywords/>
  <dc:description/>
  <cp:lastModifiedBy>Luomala Irene</cp:lastModifiedBy>
  <cp:revision>2</cp:revision>
  <cp:lastPrinted>2018-04-03T06:11:00Z</cp:lastPrinted>
  <dcterms:created xsi:type="dcterms:W3CDTF">2018-04-03T06:18:00Z</dcterms:created>
  <dcterms:modified xsi:type="dcterms:W3CDTF">2018-04-03T06:18:00Z</dcterms:modified>
</cp:coreProperties>
</file>