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DDD96" w14:textId="42DF83B1" w:rsidR="008859AE" w:rsidRPr="0079738E" w:rsidRDefault="002B70D6" w:rsidP="008859AE">
      <w:pPr>
        <w:pStyle w:val="JhsPaaOtsikko"/>
        <w:rPr>
          <w:color w:val="00B050"/>
        </w:rPr>
      </w:pPr>
      <w:bookmarkStart w:id="0" w:name="_GoBack"/>
      <w:bookmarkEnd w:id="0"/>
      <w:r>
        <w:t>Säädösvalmistelu</w:t>
      </w:r>
      <w:r w:rsidR="00242C02">
        <w:t>prosessi</w:t>
      </w:r>
      <w:r w:rsidR="00352589" w:rsidRPr="007A794B">
        <w:t>, täydennetty rakenteisten asiakirjojen osuuksilla</w:t>
      </w:r>
      <w:r w:rsidR="00242C02" w:rsidRPr="007A794B">
        <w:t xml:space="preserve"> </w:t>
      </w:r>
    </w:p>
    <w:tbl>
      <w:tblPr>
        <w:tblW w:w="10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017"/>
        <w:gridCol w:w="360"/>
      </w:tblGrid>
      <w:tr w:rsidR="0008663A" w:rsidRPr="000F560E" w14:paraId="00EB5116" w14:textId="77777777" w:rsidTr="00F31B23">
        <w:tc>
          <w:tcPr>
            <w:tcW w:w="540" w:type="dxa"/>
            <w:shd w:val="clear" w:color="auto" w:fill="auto"/>
          </w:tcPr>
          <w:p w14:paraId="645AB8FA" w14:textId="77777777" w:rsidR="0008663A" w:rsidRPr="000F560E" w:rsidRDefault="0008663A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077747D5" w14:textId="77777777" w:rsidR="0008663A" w:rsidRPr="000F560E" w:rsidRDefault="0008663A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Prosessin nimi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060B7745" w14:textId="0020A5B3" w:rsidR="0008663A" w:rsidRPr="007A794B" w:rsidRDefault="002B70D6" w:rsidP="00302B3F">
            <w:pPr>
              <w:pStyle w:val="JhsNormaaliKappale"/>
              <w:rPr>
                <w:szCs w:val="22"/>
              </w:rPr>
            </w:pPr>
            <w:r w:rsidRPr="007A794B">
              <w:rPr>
                <w:szCs w:val="22"/>
              </w:rPr>
              <w:t>Säädösvalmisteluprosessi</w:t>
            </w:r>
            <w:r w:rsidR="00E60B97" w:rsidRPr="007A794B">
              <w:rPr>
                <w:szCs w:val="22"/>
              </w:rPr>
              <w:t>, 2. versio, jossa istuntoprosessin asiat on poistettu kuvauksesta.</w:t>
            </w:r>
          </w:p>
        </w:tc>
      </w:tr>
      <w:tr w:rsidR="0008663A" w:rsidRPr="000F560E" w14:paraId="06BC5D38" w14:textId="77777777" w:rsidTr="00F31B23">
        <w:tc>
          <w:tcPr>
            <w:tcW w:w="540" w:type="dxa"/>
            <w:shd w:val="clear" w:color="auto" w:fill="auto"/>
          </w:tcPr>
          <w:p w14:paraId="5E926340" w14:textId="77777777" w:rsidR="0008663A" w:rsidRPr="000F560E" w:rsidRDefault="0008663A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30F6792D" w14:textId="77777777" w:rsidR="0008663A" w:rsidRPr="000F560E" w:rsidRDefault="00AA47B4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Kuvauksen laatija ja laadintapäivämäärä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7A937A00" w14:textId="0C7E94B6" w:rsidR="000C327F" w:rsidRPr="007A794B" w:rsidRDefault="00302B3F" w:rsidP="00DD3C85">
            <w:pPr>
              <w:pStyle w:val="JhsNormaaliKappale"/>
              <w:rPr>
                <w:szCs w:val="22"/>
              </w:rPr>
            </w:pPr>
            <w:r w:rsidRPr="007A794B">
              <w:rPr>
                <w:szCs w:val="22"/>
              </w:rPr>
              <w:t>VAHVA-hanke 1.6.2016</w:t>
            </w:r>
            <w:r w:rsidR="0079738E" w:rsidRPr="007A794B">
              <w:rPr>
                <w:szCs w:val="22"/>
              </w:rPr>
              <w:t>, Rak</w:t>
            </w:r>
            <w:r w:rsidR="007A794B" w:rsidRPr="007A794B">
              <w:rPr>
                <w:szCs w:val="22"/>
              </w:rPr>
              <w:t>enteiset a</w:t>
            </w:r>
            <w:r w:rsidR="0079738E" w:rsidRPr="007A794B">
              <w:rPr>
                <w:szCs w:val="22"/>
              </w:rPr>
              <w:t>s</w:t>
            </w:r>
            <w:r w:rsidR="007A794B" w:rsidRPr="007A794B">
              <w:rPr>
                <w:szCs w:val="22"/>
              </w:rPr>
              <w:t xml:space="preserve">iakirjat </w:t>
            </w:r>
            <w:r w:rsidR="0079738E" w:rsidRPr="007A794B">
              <w:rPr>
                <w:szCs w:val="22"/>
              </w:rPr>
              <w:t xml:space="preserve">-esiselvitys </w:t>
            </w:r>
            <w:r w:rsidR="00DD3C85">
              <w:rPr>
                <w:szCs w:val="22"/>
              </w:rPr>
              <w:t>7.6</w:t>
            </w:r>
            <w:r w:rsidR="0079738E" w:rsidRPr="007A794B">
              <w:rPr>
                <w:szCs w:val="22"/>
              </w:rPr>
              <w:t>.2017</w:t>
            </w:r>
          </w:p>
        </w:tc>
      </w:tr>
      <w:tr w:rsidR="00AA47B4" w:rsidRPr="000F560E" w14:paraId="7A9AB9CC" w14:textId="77777777" w:rsidTr="00F31B23">
        <w:tc>
          <w:tcPr>
            <w:tcW w:w="540" w:type="dxa"/>
            <w:shd w:val="clear" w:color="auto" w:fill="auto"/>
          </w:tcPr>
          <w:p w14:paraId="0350F3B5" w14:textId="77777777" w:rsidR="00AA47B4" w:rsidRPr="000F560E" w:rsidRDefault="00AA47B4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53A2095F" w14:textId="77777777" w:rsidR="00AA47B4" w:rsidRPr="000F560E" w:rsidRDefault="00AA47B4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Kuvauksen hyväksyjä ja hyväksymispäivämäärä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0A4E5836" w14:textId="0197062A" w:rsidR="00AA47B4" w:rsidRPr="007A794B" w:rsidRDefault="00302B3F" w:rsidP="007A794B">
            <w:pPr>
              <w:pStyle w:val="JhsNormaaliKappale"/>
              <w:rPr>
                <w:szCs w:val="22"/>
              </w:rPr>
            </w:pPr>
            <w:r w:rsidRPr="007A794B">
              <w:rPr>
                <w:szCs w:val="22"/>
              </w:rPr>
              <w:t>VAHVA-hankkeen johtoryhmä 9.6.2016</w:t>
            </w:r>
            <w:r w:rsidR="0079738E" w:rsidRPr="007A794B">
              <w:rPr>
                <w:szCs w:val="22"/>
              </w:rPr>
              <w:t>, &lt;mahdollinen RakAs-hyväksyntä tähän&gt;</w:t>
            </w:r>
          </w:p>
        </w:tc>
      </w:tr>
      <w:tr w:rsidR="00AA47B4" w:rsidRPr="000F560E" w14:paraId="52D0BF77" w14:textId="77777777" w:rsidTr="00F31B23">
        <w:tc>
          <w:tcPr>
            <w:tcW w:w="540" w:type="dxa"/>
            <w:shd w:val="clear" w:color="auto" w:fill="auto"/>
          </w:tcPr>
          <w:p w14:paraId="1CD6D16E" w14:textId="77777777" w:rsidR="00AA47B4" w:rsidRPr="000F560E" w:rsidRDefault="00AA47B4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782D286C" w14:textId="77777777" w:rsidR="00AA47B4" w:rsidRPr="000F560E" w:rsidRDefault="00AA47B4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Versionumero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7774B1AA" w14:textId="052CA30D" w:rsidR="00AA47B4" w:rsidRPr="007A794B" w:rsidRDefault="00302B3F" w:rsidP="008859AE">
            <w:pPr>
              <w:pStyle w:val="JhsNormaaliKappale"/>
              <w:rPr>
                <w:szCs w:val="22"/>
              </w:rPr>
            </w:pPr>
            <w:r w:rsidRPr="007A794B">
              <w:rPr>
                <w:szCs w:val="22"/>
              </w:rPr>
              <w:t>1.0</w:t>
            </w:r>
            <w:r w:rsidR="0079738E" w:rsidRPr="007A794B">
              <w:rPr>
                <w:szCs w:val="22"/>
              </w:rPr>
              <w:t>/VAHVA, 0.1/RakAs</w:t>
            </w:r>
          </w:p>
        </w:tc>
      </w:tr>
      <w:tr w:rsidR="0008663A" w:rsidRPr="000F560E" w14:paraId="130BE6D7" w14:textId="77777777" w:rsidTr="00F31B23">
        <w:tc>
          <w:tcPr>
            <w:tcW w:w="540" w:type="dxa"/>
            <w:shd w:val="clear" w:color="auto" w:fill="auto"/>
          </w:tcPr>
          <w:p w14:paraId="2D4E2A0C" w14:textId="77777777" w:rsidR="0008663A" w:rsidRPr="000F560E" w:rsidRDefault="00AA47B4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2AAFE4D4" w14:textId="77777777" w:rsidR="0008663A" w:rsidRPr="000F560E" w:rsidRDefault="0008663A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Prosessin ta</w:t>
            </w:r>
            <w:r w:rsidR="00AA47B4" w:rsidRPr="000F560E">
              <w:rPr>
                <w:szCs w:val="22"/>
              </w:rPr>
              <w:t>rkoitus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3A6F955E" w14:textId="77777777" w:rsidR="007935B6" w:rsidRPr="007A794B" w:rsidRDefault="00433B5D" w:rsidP="00302B3F">
            <w:pPr>
              <w:pStyle w:val="JhsNormaaliKappale"/>
              <w:rPr>
                <w:szCs w:val="22"/>
              </w:rPr>
            </w:pPr>
            <w:r w:rsidRPr="007A794B">
              <w:rPr>
                <w:szCs w:val="22"/>
              </w:rPr>
              <w:t>Prosessin tarkoituksena</w:t>
            </w:r>
            <w:r w:rsidR="00302B3F" w:rsidRPr="007A794B">
              <w:rPr>
                <w:szCs w:val="22"/>
              </w:rPr>
              <w:t xml:space="preserve"> </w:t>
            </w:r>
            <w:r w:rsidRPr="007A794B">
              <w:rPr>
                <w:szCs w:val="22"/>
              </w:rPr>
              <w:t xml:space="preserve">on </w:t>
            </w:r>
            <w:r w:rsidR="00302B3F" w:rsidRPr="007A794B">
              <w:rPr>
                <w:szCs w:val="22"/>
              </w:rPr>
              <w:t>lakien ja asetusten valmistelu.</w:t>
            </w:r>
            <w:r w:rsidR="007935B6" w:rsidRPr="007A794B">
              <w:rPr>
                <w:szCs w:val="22"/>
              </w:rPr>
              <w:t xml:space="preserve"> </w:t>
            </w:r>
          </w:p>
          <w:p w14:paraId="38EA6405" w14:textId="54700711" w:rsidR="0008663A" w:rsidRPr="007A794B" w:rsidRDefault="007935B6" w:rsidP="00302B3F">
            <w:pPr>
              <w:pStyle w:val="JhsNormaaliKappale"/>
              <w:rPr>
                <w:szCs w:val="22"/>
              </w:rPr>
            </w:pPr>
            <w:r w:rsidRPr="007A794B">
              <w:rPr>
                <w:szCs w:val="22"/>
              </w:rPr>
              <w:t xml:space="preserve">Ks. myös </w:t>
            </w:r>
            <w:hyperlink r:id="rId12" w:history="1">
              <w:r w:rsidRPr="007A794B">
                <w:rPr>
                  <w:rStyle w:val="Hyperlinkki"/>
                  <w:color w:val="auto"/>
                  <w:szCs w:val="22"/>
                </w:rPr>
                <w:t>http://lainvalmistelu.finlex.fi/</w:t>
              </w:r>
            </w:hyperlink>
            <w:r w:rsidRPr="007A794B">
              <w:rPr>
                <w:szCs w:val="22"/>
              </w:rPr>
              <w:t xml:space="preserve"> vaiheet 1 </w:t>
            </w:r>
            <w:r w:rsidR="004B1215" w:rsidRPr="007A794B">
              <w:rPr>
                <w:szCs w:val="22"/>
              </w:rPr>
              <w:t>–</w:t>
            </w:r>
            <w:r w:rsidRPr="007A794B">
              <w:rPr>
                <w:szCs w:val="22"/>
              </w:rPr>
              <w:t xml:space="preserve"> 4</w:t>
            </w:r>
            <w:r w:rsidR="004B1215" w:rsidRPr="007A794B">
              <w:rPr>
                <w:szCs w:val="22"/>
              </w:rPr>
              <w:t>.12</w:t>
            </w:r>
            <w:r w:rsidRPr="007A794B">
              <w:rPr>
                <w:szCs w:val="22"/>
              </w:rPr>
              <w:t>.</w:t>
            </w:r>
          </w:p>
        </w:tc>
      </w:tr>
      <w:tr w:rsidR="00AA47B4" w:rsidRPr="000F560E" w14:paraId="67835E59" w14:textId="77777777" w:rsidTr="00F31B23">
        <w:tc>
          <w:tcPr>
            <w:tcW w:w="540" w:type="dxa"/>
            <w:shd w:val="clear" w:color="auto" w:fill="auto"/>
          </w:tcPr>
          <w:p w14:paraId="4AA38379" w14:textId="77777777" w:rsidR="00AA47B4" w:rsidRPr="000F560E" w:rsidRDefault="00AA47B4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7DF789BA" w14:textId="77777777" w:rsidR="00AA47B4" w:rsidRPr="000F560E" w:rsidRDefault="00AA47B4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Prosessin omistaja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1C6B9D6F" w14:textId="77777777" w:rsidR="006D6B92" w:rsidRPr="000F560E" w:rsidRDefault="006D6B92" w:rsidP="006D6B92">
            <w:pPr>
              <w:pStyle w:val="JhsNormaaliKappale"/>
              <w:rPr>
                <w:szCs w:val="22"/>
              </w:rPr>
            </w:pPr>
            <w:r w:rsidRPr="006D6B92">
              <w:rPr>
                <w:szCs w:val="22"/>
              </w:rPr>
              <w:t>Ao. säädöksen valmisteleva ministeriö ja eduskunta</w:t>
            </w:r>
          </w:p>
        </w:tc>
      </w:tr>
      <w:tr w:rsidR="0008663A" w:rsidRPr="000F560E" w14:paraId="4E1422D9" w14:textId="77777777" w:rsidTr="00F31B23">
        <w:tc>
          <w:tcPr>
            <w:tcW w:w="540" w:type="dxa"/>
            <w:shd w:val="clear" w:color="auto" w:fill="auto"/>
          </w:tcPr>
          <w:p w14:paraId="35C770EC" w14:textId="77777777" w:rsidR="0008663A" w:rsidRPr="000F560E" w:rsidRDefault="00AA47B4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14:paraId="3F43D97D" w14:textId="77777777" w:rsidR="0008663A" w:rsidRPr="000F560E" w:rsidRDefault="00AA47B4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 xml:space="preserve">Prosessin mallintajat ja mallinnuspäivämäärä 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28FB5C64" w14:textId="730CE7CB" w:rsidR="00D9000B" w:rsidRPr="000F560E" w:rsidRDefault="00302B3F" w:rsidP="004D5C20">
            <w:pPr>
              <w:pStyle w:val="JhsNormaaliKappale"/>
              <w:rPr>
                <w:szCs w:val="22"/>
              </w:rPr>
            </w:pPr>
            <w:r>
              <w:rPr>
                <w:szCs w:val="22"/>
              </w:rPr>
              <w:t>VAHVA-hanke 1.6.2016</w:t>
            </w:r>
            <w:r w:rsidR="0079738E" w:rsidRPr="007A794B">
              <w:rPr>
                <w:szCs w:val="22"/>
              </w:rPr>
              <w:t xml:space="preserve">, Rakenteisten asiakirjojen kohdearkkitehtuurityö </w:t>
            </w:r>
            <w:r w:rsidR="0088461D" w:rsidRPr="007A794B">
              <w:rPr>
                <w:szCs w:val="22"/>
              </w:rPr>
              <w:t>2</w:t>
            </w:r>
            <w:r w:rsidR="00E60B97" w:rsidRPr="007A794B">
              <w:rPr>
                <w:szCs w:val="22"/>
              </w:rPr>
              <w:t>4</w:t>
            </w:r>
            <w:r w:rsidR="0079738E" w:rsidRPr="007A794B">
              <w:rPr>
                <w:szCs w:val="22"/>
              </w:rPr>
              <w:t>.</w:t>
            </w:r>
            <w:r w:rsidR="0088461D" w:rsidRPr="007A794B">
              <w:rPr>
                <w:szCs w:val="22"/>
              </w:rPr>
              <w:t>4</w:t>
            </w:r>
            <w:r w:rsidR="0079738E" w:rsidRPr="007A794B">
              <w:rPr>
                <w:szCs w:val="22"/>
              </w:rPr>
              <w:t>.2017</w:t>
            </w:r>
            <w:r w:rsidR="0079738E">
              <w:rPr>
                <w:szCs w:val="22"/>
              </w:rPr>
              <w:t>.</w:t>
            </w:r>
          </w:p>
        </w:tc>
      </w:tr>
      <w:tr w:rsidR="00AF7380" w:rsidRPr="000F560E" w14:paraId="15C0D870" w14:textId="77777777" w:rsidTr="00F31B23">
        <w:tc>
          <w:tcPr>
            <w:tcW w:w="540" w:type="dxa"/>
            <w:shd w:val="clear" w:color="auto" w:fill="auto"/>
          </w:tcPr>
          <w:p w14:paraId="7589B359" w14:textId="77777777" w:rsidR="00AF7380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14:paraId="3EB25957" w14:textId="77777777" w:rsidR="00AF7380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Prosessin lähtötilanne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5B1A29C2" w14:textId="77367B0A" w:rsidR="00AF7380" w:rsidRPr="000F560E" w:rsidRDefault="005B64A4" w:rsidP="00302B3F">
            <w:pPr>
              <w:pStyle w:val="JhsNormaaliKappale"/>
              <w:rPr>
                <w:szCs w:val="22"/>
              </w:rPr>
            </w:pPr>
            <w:r>
              <w:rPr>
                <w:szCs w:val="22"/>
              </w:rPr>
              <w:t>Ministeriön virkamiesjohto käynnistää säädösvalmistelun</w:t>
            </w:r>
            <w:r w:rsidR="00302B3F">
              <w:rPr>
                <w:szCs w:val="22"/>
              </w:rPr>
              <w:t xml:space="preserve"> joko oman tai muualta tullee aloitteen po</w:t>
            </w:r>
            <w:r w:rsidR="003A66D1">
              <w:rPr>
                <w:szCs w:val="22"/>
              </w:rPr>
              <w:t>hjalta. Aloite voi tulla esim. e</w:t>
            </w:r>
            <w:r w:rsidR="00302B3F">
              <w:rPr>
                <w:szCs w:val="22"/>
              </w:rPr>
              <w:t>duskunnalta, toiselta ministeriöltä tai sidosryhmiltä.</w:t>
            </w:r>
          </w:p>
        </w:tc>
      </w:tr>
      <w:tr w:rsidR="0008663A" w:rsidRPr="000F560E" w14:paraId="5746B4F5" w14:textId="77777777" w:rsidTr="00F31B23">
        <w:tc>
          <w:tcPr>
            <w:tcW w:w="540" w:type="dxa"/>
            <w:shd w:val="clear" w:color="auto" w:fill="auto"/>
          </w:tcPr>
          <w:p w14:paraId="223BF5D0" w14:textId="77777777" w:rsidR="0008663A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14:paraId="7151FE15" w14:textId="77777777" w:rsidR="0008663A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Prosessin lopputilanne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718D5D71" w14:textId="0CABA784" w:rsidR="0008663A" w:rsidRPr="007A794B" w:rsidRDefault="005B64A4" w:rsidP="00AE2206">
            <w:pPr>
              <w:pStyle w:val="JhsNormaaliKappale"/>
              <w:rPr>
                <w:szCs w:val="22"/>
              </w:rPr>
            </w:pPr>
            <w:r w:rsidRPr="007A794B">
              <w:rPr>
                <w:szCs w:val="22"/>
              </w:rPr>
              <w:t xml:space="preserve">Säädös </w:t>
            </w:r>
            <w:r w:rsidR="00AE2206" w:rsidRPr="007A794B">
              <w:rPr>
                <w:szCs w:val="22"/>
              </w:rPr>
              <w:t>tulee</w:t>
            </w:r>
            <w:r w:rsidRPr="007A794B">
              <w:rPr>
                <w:szCs w:val="22"/>
              </w:rPr>
              <w:t xml:space="preserve"> voimaan ja julkaistaan säädöskokoelmassa</w:t>
            </w:r>
            <w:r w:rsidR="0079738E" w:rsidRPr="007A794B">
              <w:rPr>
                <w:szCs w:val="22"/>
              </w:rPr>
              <w:t>. Julkaiseminen perustuu säädökseen, jonka painotalo saa rakenteisena asiakirjana.</w:t>
            </w:r>
          </w:p>
        </w:tc>
      </w:tr>
      <w:tr w:rsidR="0008663A" w:rsidRPr="000F560E" w14:paraId="757A2EBA" w14:textId="77777777" w:rsidTr="00F31B23">
        <w:tc>
          <w:tcPr>
            <w:tcW w:w="540" w:type="dxa"/>
            <w:shd w:val="clear" w:color="auto" w:fill="auto"/>
          </w:tcPr>
          <w:p w14:paraId="4E98ED0D" w14:textId="77777777" w:rsidR="0008663A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14:paraId="5BCAE197" w14:textId="77777777" w:rsidR="0008663A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Prosessin asiakkaat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113D3DD7" w14:textId="7C8C136D" w:rsidR="0008663A" w:rsidRPr="000F560E" w:rsidRDefault="00ED11B8" w:rsidP="008859AE">
            <w:pPr>
              <w:pStyle w:val="JhsNormaaliKappale"/>
              <w:rPr>
                <w:szCs w:val="22"/>
              </w:rPr>
            </w:pPr>
            <w:r>
              <w:rPr>
                <w:szCs w:val="22"/>
              </w:rPr>
              <w:t>E</w:t>
            </w:r>
            <w:r w:rsidR="002142E9">
              <w:rPr>
                <w:szCs w:val="22"/>
              </w:rPr>
              <w:t>duskunta, ministeriöt, muut viranomaiset, yritykset, yhteisöt, kansalaiset</w:t>
            </w:r>
          </w:p>
        </w:tc>
      </w:tr>
      <w:tr w:rsidR="00F31B23" w:rsidRPr="000F560E" w14:paraId="3DC05F8A" w14:textId="77777777" w:rsidTr="00F31B23">
        <w:tc>
          <w:tcPr>
            <w:tcW w:w="540" w:type="dxa"/>
            <w:shd w:val="clear" w:color="auto" w:fill="auto"/>
          </w:tcPr>
          <w:p w14:paraId="6B5F9CAA" w14:textId="77777777" w:rsidR="0008663A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14:paraId="4E0A12C7" w14:textId="77777777" w:rsidR="0008663A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Prosessin sidosryhmät</w:t>
            </w:r>
          </w:p>
        </w:tc>
        <w:tc>
          <w:tcPr>
            <w:tcW w:w="7017" w:type="dxa"/>
            <w:tcBorders>
              <w:right w:val="single" w:sz="4" w:space="0" w:color="FFFFFF"/>
            </w:tcBorders>
            <w:shd w:val="clear" w:color="auto" w:fill="auto"/>
          </w:tcPr>
          <w:p w14:paraId="737F4138" w14:textId="101FE749" w:rsidR="0008663A" w:rsidRPr="007A794B" w:rsidRDefault="0079738E" w:rsidP="00EF20F4">
            <w:pPr>
              <w:pStyle w:val="JhsNormaaliKappale"/>
              <w:rPr>
                <w:szCs w:val="22"/>
              </w:rPr>
            </w:pPr>
            <w:r w:rsidRPr="007A794B">
              <w:rPr>
                <w:szCs w:val="22"/>
              </w:rPr>
              <w:t>O</w:t>
            </w:r>
            <w:r w:rsidR="0065239B" w:rsidRPr="007A794B">
              <w:rPr>
                <w:szCs w:val="22"/>
              </w:rPr>
              <w:t xml:space="preserve">ikeusministeriön laintarkastusosasto (säädösten laintarkastus), </w:t>
            </w:r>
            <w:r w:rsidR="00AE2206" w:rsidRPr="007A794B">
              <w:rPr>
                <w:szCs w:val="22"/>
              </w:rPr>
              <w:t xml:space="preserve">lainsäädännön arviointineuvosto (valtioneuvoston kanslia) </w:t>
            </w:r>
            <w:r w:rsidR="002142E9" w:rsidRPr="007A794B">
              <w:rPr>
                <w:szCs w:val="22"/>
              </w:rPr>
              <w:t xml:space="preserve">, </w:t>
            </w:r>
            <w:r w:rsidR="0065239B" w:rsidRPr="007A794B">
              <w:rPr>
                <w:szCs w:val="22"/>
              </w:rPr>
              <w:t>valtioneuvoston hallintoyksikön käännös- ja kielitoimiala (säädösten kääntäminen), oikeuskanslerinvirasto (</w:t>
            </w:r>
            <w:r w:rsidR="00F14780" w:rsidRPr="007A794B">
              <w:rPr>
                <w:szCs w:val="22"/>
              </w:rPr>
              <w:t>laillisuusvalvonta),</w:t>
            </w:r>
            <w:r w:rsidR="0065239B" w:rsidRPr="007A794B">
              <w:rPr>
                <w:szCs w:val="22"/>
              </w:rPr>
              <w:t xml:space="preserve"> </w:t>
            </w:r>
            <w:r w:rsidR="001137F7" w:rsidRPr="007A794B">
              <w:rPr>
                <w:szCs w:val="22"/>
              </w:rPr>
              <w:t>Kunnallistalouden ja –hallinnon neuvottelukunta (</w:t>
            </w:r>
            <w:r w:rsidR="001137F7" w:rsidRPr="007A794B">
              <w:rPr>
                <w:bCs/>
                <w:szCs w:val="22"/>
              </w:rPr>
              <w:t>KUTHANEK</w:t>
            </w:r>
            <w:r w:rsidR="001137F7" w:rsidRPr="007A794B">
              <w:rPr>
                <w:szCs w:val="22"/>
              </w:rPr>
              <w:t>)</w:t>
            </w:r>
            <w:r w:rsidRPr="007A794B">
              <w:rPr>
                <w:szCs w:val="22"/>
              </w:rPr>
              <w:t xml:space="preserve">, </w:t>
            </w:r>
            <w:r w:rsidR="00EF20F4" w:rsidRPr="007A794B">
              <w:rPr>
                <w:szCs w:val="22"/>
              </w:rPr>
              <w:t>r</w:t>
            </w:r>
            <w:r w:rsidRPr="007A794B">
              <w:rPr>
                <w:szCs w:val="22"/>
              </w:rPr>
              <w:t>aha-asiainvaliokunta</w:t>
            </w:r>
            <w:r w:rsidR="001137F7" w:rsidRPr="007A794B">
              <w:rPr>
                <w:szCs w:val="22"/>
              </w:rPr>
              <w:t xml:space="preserve">, </w:t>
            </w:r>
            <w:r w:rsidR="003A66D1" w:rsidRPr="007A794B">
              <w:rPr>
                <w:szCs w:val="22"/>
              </w:rPr>
              <w:t>e</w:t>
            </w:r>
            <w:r w:rsidR="005B64A4" w:rsidRPr="007A794B">
              <w:rPr>
                <w:szCs w:val="22"/>
              </w:rPr>
              <w:t>duskunta, ministeriöt, muut viranomaiset, yritykset, yhteisöt, kansalaiset</w:t>
            </w:r>
            <w:r w:rsidR="0065239B" w:rsidRPr="007A794B">
              <w:rPr>
                <w:szCs w:val="22"/>
              </w:rPr>
              <w:t xml:space="preserve"> em. ryhmät </w:t>
            </w:r>
            <w:r w:rsidRPr="007A794B">
              <w:rPr>
                <w:szCs w:val="22"/>
              </w:rPr>
              <w:t>(</w:t>
            </w:r>
            <w:r w:rsidR="0065239B" w:rsidRPr="007A794B">
              <w:rPr>
                <w:szCs w:val="22"/>
              </w:rPr>
              <w:t>lausunnot ja kuuleminen), painotalo (säädösten julkaisu)</w:t>
            </w:r>
            <w:r w:rsidRPr="007A794B">
              <w:rPr>
                <w:szCs w:val="22"/>
              </w:rPr>
              <w:t>.</w:t>
            </w:r>
          </w:p>
        </w:tc>
        <w:tc>
          <w:tcPr>
            <w:tcW w:w="360" w:type="dxa"/>
            <w:tcBorders>
              <w:left w:val="single" w:sz="4" w:space="0" w:color="FFFFFF"/>
            </w:tcBorders>
            <w:shd w:val="clear" w:color="auto" w:fill="auto"/>
          </w:tcPr>
          <w:p w14:paraId="73F5F4E1" w14:textId="77777777" w:rsidR="0008663A" w:rsidRPr="000F560E" w:rsidRDefault="0008663A" w:rsidP="008859AE">
            <w:pPr>
              <w:pStyle w:val="JhsNormaaliKappale"/>
              <w:rPr>
                <w:szCs w:val="22"/>
              </w:rPr>
            </w:pPr>
          </w:p>
        </w:tc>
      </w:tr>
      <w:tr w:rsidR="0008663A" w:rsidRPr="000F560E" w14:paraId="3F72075E" w14:textId="77777777" w:rsidTr="00F31B23">
        <w:tc>
          <w:tcPr>
            <w:tcW w:w="540" w:type="dxa"/>
            <w:shd w:val="clear" w:color="auto" w:fill="auto"/>
          </w:tcPr>
          <w:p w14:paraId="181DF818" w14:textId="77777777" w:rsidR="0008663A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14:paraId="50C364B8" w14:textId="77777777" w:rsidR="0008663A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 xml:space="preserve">Prosessin asiakkaiden tarpeet ja vaatimukset 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2B6E78BE" w14:textId="77777777" w:rsidR="0008663A" w:rsidRPr="007A794B" w:rsidRDefault="002142E9" w:rsidP="008859AE">
            <w:pPr>
              <w:pStyle w:val="JhsNormaaliKappale"/>
              <w:rPr>
                <w:szCs w:val="22"/>
              </w:rPr>
            </w:pPr>
            <w:r w:rsidRPr="007A794B">
              <w:rPr>
                <w:szCs w:val="22"/>
              </w:rPr>
              <w:t>Säädösvalmistelun avoimuus ja seurattuvuus. Säädösten toivotunlainen vaikuttavuus.</w:t>
            </w:r>
          </w:p>
          <w:p w14:paraId="72FBC2EE" w14:textId="76368626" w:rsidR="0079738E" w:rsidRPr="007A794B" w:rsidRDefault="001B1D6E" w:rsidP="008859AE">
            <w:pPr>
              <w:pStyle w:val="JhsNormaaliKappale"/>
              <w:rPr>
                <w:szCs w:val="22"/>
              </w:rPr>
            </w:pPr>
            <w:r w:rsidRPr="007A794B">
              <w:rPr>
                <w:szCs w:val="22"/>
              </w:rPr>
              <w:t>Rakentei</w:t>
            </w:r>
            <w:r w:rsidR="0079738E" w:rsidRPr="007A794B">
              <w:rPr>
                <w:szCs w:val="22"/>
              </w:rPr>
              <w:t xml:space="preserve">nen asiakirja: asiakirjan sujuva muokkaaminen, kommentoiminen, sisältövertailu, rinnakkaisversioiden tarkastelu, rakenneosien jatkokäyttö </w:t>
            </w:r>
            <w:r w:rsidR="00C755DB" w:rsidRPr="007A794B">
              <w:rPr>
                <w:szCs w:val="22"/>
              </w:rPr>
              <w:t xml:space="preserve">eduskunnan käsittelyssä sekä </w:t>
            </w:r>
            <w:r w:rsidR="0079738E" w:rsidRPr="007A794B">
              <w:rPr>
                <w:szCs w:val="22"/>
              </w:rPr>
              <w:t>verkkojulkaisemisessa</w:t>
            </w:r>
            <w:r w:rsidR="00C755DB" w:rsidRPr="007A794B">
              <w:rPr>
                <w:szCs w:val="22"/>
              </w:rPr>
              <w:t xml:space="preserve"> (ml. julkaiseminen säädöskokoelmassa).</w:t>
            </w:r>
          </w:p>
        </w:tc>
      </w:tr>
      <w:tr w:rsidR="0008663A" w:rsidRPr="000F560E" w14:paraId="13DBB236" w14:textId="77777777" w:rsidTr="00F31B23">
        <w:tc>
          <w:tcPr>
            <w:tcW w:w="540" w:type="dxa"/>
            <w:shd w:val="clear" w:color="auto" w:fill="auto"/>
          </w:tcPr>
          <w:p w14:paraId="14917200" w14:textId="77777777" w:rsidR="0008663A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14:paraId="2ACF1D1A" w14:textId="77777777" w:rsidR="0008663A" w:rsidRPr="000F560E" w:rsidRDefault="0008663A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 xml:space="preserve">Prosessin </w:t>
            </w:r>
            <w:r w:rsidR="00AF7380" w:rsidRPr="000F560E">
              <w:rPr>
                <w:szCs w:val="22"/>
              </w:rPr>
              <w:t>menestystekijät</w:t>
            </w:r>
            <w:r w:rsidRPr="000F560E">
              <w:rPr>
                <w:szCs w:val="22"/>
              </w:rPr>
              <w:t xml:space="preserve"> 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533B1FC8" w14:textId="77777777" w:rsidR="0008663A" w:rsidRPr="007A794B" w:rsidRDefault="000778D1" w:rsidP="002142E9">
            <w:pPr>
              <w:pStyle w:val="JhsNormaaliKappale"/>
              <w:rPr>
                <w:szCs w:val="22"/>
              </w:rPr>
            </w:pPr>
            <w:r w:rsidRPr="007A794B">
              <w:rPr>
                <w:szCs w:val="22"/>
              </w:rPr>
              <w:t>Säädösvalmistelussa voidaan edetä joustavasti</w:t>
            </w:r>
            <w:r w:rsidR="002142E9" w:rsidRPr="007A794B">
              <w:rPr>
                <w:szCs w:val="22"/>
              </w:rPr>
              <w:t xml:space="preserve"> </w:t>
            </w:r>
            <w:r w:rsidRPr="007A794B">
              <w:rPr>
                <w:szCs w:val="22"/>
              </w:rPr>
              <w:t>ilman prosessin katkoksia. Kaikki henkilöt, jotka osallistuvat valmisteluun ja päätöksentekoon, saavat materiaalin ajantasaisena ja viiveettä käyttönsä.</w:t>
            </w:r>
            <w:r w:rsidR="002142E9" w:rsidRPr="007A794B">
              <w:rPr>
                <w:szCs w:val="22"/>
              </w:rPr>
              <w:t xml:space="preserve"> Säädösten valmisteluun voidaan osallistua joustavasti  yli organisaatiorajojen. Säädösten valmistelua voi seurata ja säädösvalmisteluun  voi osallistua.</w:t>
            </w:r>
          </w:p>
          <w:p w14:paraId="05D28AEA" w14:textId="77777777" w:rsidR="00ED11B8" w:rsidRPr="007A794B" w:rsidRDefault="001B1D6E" w:rsidP="002142E9">
            <w:pPr>
              <w:pStyle w:val="JhsNormaaliKappale"/>
              <w:rPr>
                <w:szCs w:val="22"/>
              </w:rPr>
            </w:pPr>
            <w:r w:rsidRPr="007A794B">
              <w:rPr>
                <w:szCs w:val="22"/>
              </w:rPr>
              <w:t>Rakentei</w:t>
            </w:r>
            <w:r w:rsidR="0016154C" w:rsidRPr="007A794B">
              <w:rPr>
                <w:szCs w:val="22"/>
              </w:rPr>
              <w:t xml:space="preserve">nen asiakirja: </w:t>
            </w:r>
          </w:p>
          <w:p w14:paraId="01A676C2" w14:textId="0317296F" w:rsidR="00ED11B8" w:rsidRPr="007A794B" w:rsidRDefault="00ED11B8" w:rsidP="00ED11B8">
            <w:pPr>
              <w:pStyle w:val="JhsNormaaliKappale"/>
              <w:numPr>
                <w:ilvl w:val="0"/>
                <w:numId w:val="28"/>
              </w:numPr>
              <w:rPr>
                <w:szCs w:val="22"/>
              </w:rPr>
            </w:pPr>
            <w:r w:rsidRPr="007A794B">
              <w:rPr>
                <w:szCs w:val="22"/>
              </w:rPr>
              <w:lastRenderedPageBreak/>
              <w:t xml:space="preserve">Tarjoaa valmiina asiakirjan käyttäjälle asiakirjasisällön kannalta valmiit ja mahdolliset elementit. </w:t>
            </w:r>
          </w:p>
          <w:p w14:paraId="669C43A3" w14:textId="63148CB5" w:rsidR="0016154C" w:rsidRPr="007A794B" w:rsidRDefault="00ED11B8" w:rsidP="00ED11B8">
            <w:pPr>
              <w:pStyle w:val="JhsNormaaliKappale"/>
              <w:numPr>
                <w:ilvl w:val="0"/>
                <w:numId w:val="28"/>
              </w:numPr>
              <w:rPr>
                <w:szCs w:val="22"/>
              </w:rPr>
            </w:pPr>
            <w:r w:rsidRPr="007A794B">
              <w:rPr>
                <w:szCs w:val="22"/>
              </w:rPr>
              <w:t xml:space="preserve">Rakenteisen sisällön sujuva </w:t>
            </w:r>
            <w:r w:rsidR="00B870F7" w:rsidRPr="007A794B">
              <w:rPr>
                <w:szCs w:val="22"/>
              </w:rPr>
              <w:t xml:space="preserve">ja erottelukelpoinen </w:t>
            </w:r>
            <w:r w:rsidRPr="007A794B">
              <w:rPr>
                <w:szCs w:val="22"/>
              </w:rPr>
              <w:t>siirto julkaisemis</w:t>
            </w:r>
            <w:r w:rsidR="00CD33AD" w:rsidRPr="007A794B">
              <w:rPr>
                <w:szCs w:val="22"/>
              </w:rPr>
              <w:t>ta varten</w:t>
            </w:r>
            <w:r w:rsidR="00955DA1" w:rsidRPr="007A794B">
              <w:rPr>
                <w:szCs w:val="22"/>
              </w:rPr>
              <w:t xml:space="preserve"> sekä tietojärjestelmien välillä</w:t>
            </w:r>
            <w:r w:rsidRPr="007A794B">
              <w:rPr>
                <w:szCs w:val="22"/>
              </w:rPr>
              <w:t>.</w:t>
            </w:r>
          </w:p>
        </w:tc>
      </w:tr>
      <w:tr w:rsidR="0008663A" w:rsidRPr="000F560E" w14:paraId="43000821" w14:textId="77777777" w:rsidTr="00F31B23">
        <w:tc>
          <w:tcPr>
            <w:tcW w:w="540" w:type="dxa"/>
            <w:shd w:val="clear" w:color="auto" w:fill="auto"/>
          </w:tcPr>
          <w:p w14:paraId="6E508DF7" w14:textId="77777777" w:rsidR="0008663A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lastRenderedPageBreak/>
              <w:t>14</w:t>
            </w:r>
          </w:p>
        </w:tc>
        <w:tc>
          <w:tcPr>
            <w:tcW w:w="2520" w:type="dxa"/>
            <w:shd w:val="clear" w:color="auto" w:fill="auto"/>
          </w:tcPr>
          <w:p w14:paraId="23634075" w14:textId="77777777" w:rsidR="0008663A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Prosessin mittarit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1BAE9C49" w14:textId="77777777" w:rsidR="001E388D" w:rsidRPr="007A794B" w:rsidRDefault="002A51E8" w:rsidP="002A51E8">
            <w:pPr>
              <w:pStyle w:val="JhsNormaaliKappale"/>
              <w:rPr>
                <w:szCs w:val="22"/>
              </w:rPr>
            </w:pPr>
            <w:r w:rsidRPr="007A794B">
              <w:rPr>
                <w:szCs w:val="22"/>
              </w:rPr>
              <w:t>Säädösvalmistelu on hyvin johdettua. Lakiesityksissä esitetään keskeiset vaikutukset. Säädösvalmistelu on avointa ja osallistavaa.</w:t>
            </w:r>
            <w:r w:rsidR="002142E9" w:rsidRPr="007A794B">
              <w:rPr>
                <w:szCs w:val="22"/>
              </w:rPr>
              <w:t xml:space="preserve"> </w:t>
            </w:r>
          </w:p>
          <w:p w14:paraId="31AC8892" w14:textId="0A087F4F" w:rsidR="0016154C" w:rsidRPr="007A794B" w:rsidRDefault="001B1D6E" w:rsidP="002A51E8">
            <w:pPr>
              <w:pStyle w:val="JhsNormaaliKappale"/>
              <w:rPr>
                <w:szCs w:val="22"/>
              </w:rPr>
            </w:pPr>
            <w:r w:rsidRPr="007A794B">
              <w:rPr>
                <w:szCs w:val="22"/>
              </w:rPr>
              <w:t>Rakentei</w:t>
            </w:r>
            <w:r w:rsidR="0016154C" w:rsidRPr="007A794B">
              <w:rPr>
                <w:szCs w:val="22"/>
              </w:rPr>
              <w:t xml:space="preserve">nen asiakirja: </w:t>
            </w:r>
            <w:r w:rsidR="00955DA1" w:rsidRPr="007A794B">
              <w:rPr>
                <w:szCs w:val="22"/>
              </w:rPr>
              <w:t>Säädösvalmistelun sujuvuus päästä päähän, mukaan lukien julkaiseminen.</w:t>
            </w:r>
          </w:p>
        </w:tc>
      </w:tr>
      <w:tr w:rsidR="0008663A" w:rsidRPr="000F560E" w14:paraId="1A2808D2" w14:textId="77777777" w:rsidTr="00F31B23">
        <w:tc>
          <w:tcPr>
            <w:tcW w:w="540" w:type="dxa"/>
            <w:shd w:val="clear" w:color="auto" w:fill="auto"/>
          </w:tcPr>
          <w:p w14:paraId="7344B194" w14:textId="77777777" w:rsidR="0008663A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14:paraId="2D5D6192" w14:textId="77777777" w:rsidR="0008663A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Prosessin keskeiset resurssit ja muut volyymitiedot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7274D99B" w14:textId="60344FD5" w:rsidR="0008663A" w:rsidRPr="0016154C" w:rsidRDefault="002142E9" w:rsidP="008859AE">
            <w:pPr>
              <w:pStyle w:val="JhsNormaaliKappale"/>
              <w:rPr>
                <w:color w:val="00B050"/>
                <w:szCs w:val="22"/>
              </w:rPr>
            </w:pPr>
            <w:r>
              <w:rPr>
                <w:szCs w:val="22"/>
              </w:rPr>
              <w:t>M</w:t>
            </w:r>
            <w:r w:rsidR="00F14780">
              <w:rPr>
                <w:szCs w:val="22"/>
              </w:rPr>
              <w:t>inisteriöiden säädösvalmistelijat ja heidän avustajansa</w:t>
            </w:r>
            <w:r w:rsidR="00112EEC">
              <w:rPr>
                <w:szCs w:val="22"/>
              </w:rPr>
              <w:t xml:space="preserve"> (yht. n. </w:t>
            </w:r>
            <w:r w:rsidR="00CF28C3" w:rsidRPr="00EC6A63">
              <w:rPr>
                <w:szCs w:val="22"/>
              </w:rPr>
              <w:t>18</w:t>
            </w:r>
            <w:r w:rsidR="002849B2">
              <w:rPr>
                <w:szCs w:val="22"/>
              </w:rPr>
              <w:t>00 henkilöä</w:t>
            </w:r>
            <w:r w:rsidR="00112EEC" w:rsidRPr="00EC6A63">
              <w:rPr>
                <w:szCs w:val="22"/>
              </w:rPr>
              <w:t>)</w:t>
            </w:r>
            <w:r w:rsidR="00F14780" w:rsidRPr="00EC6A63">
              <w:rPr>
                <w:szCs w:val="22"/>
              </w:rPr>
              <w:t>, valtioneuvoston esittelijät</w:t>
            </w:r>
            <w:r w:rsidR="00112EEC" w:rsidRPr="00EC6A63">
              <w:rPr>
                <w:szCs w:val="22"/>
              </w:rPr>
              <w:t xml:space="preserve"> (</w:t>
            </w:r>
            <w:r w:rsidR="002849B2">
              <w:rPr>
                <w:szCs w:val="22"/>
              </w:rPr>
              <w:t>n. 1300 henkilöä</w:t>
            </w:r>
            <w:r w:rsidR="00112EEC" w:rsidRPr="00517793">
              <w:rPr>
                <w:szCs w:val="22"/>
              </w:rPr>
              <w:t>)</w:t>
            </w:r>
            <w:r w:rsidR="002849B2" w:rsidRPr="00517793">
              <w:rPr>
                <w:szCs w:val="22"/>
              </w:rPr>
              <w:t>.</w:t>
            </w:r>
            <w:r w:rsidR="0016154C" w:rsidRPr="00517793">
              <w:rPr>
                <w:szCs w:val="22"/>
              </w:rPr>
              <w:t xml:space="preserve"> Rakenteisia asiakirjoja käsittelevät periaatteessa kaikki säädösvalmistelijat ja heidän avustajansa.</w:t>
            </w:r>
          </w:p>
          <w:p w14:paraId="07CCF8A9" w14:textId="1C0B22DB" w:rsidR="00F14780" w:rsidRDefault="00F221A7" w:rsidP="008859AE">
            <w:pPr>
              <w:pStyle w:val="JhsNormaaliKappale"/>
              <w:rPr>
                <w:szCs w:val="22"/>
              </w:rPr>
            </w:pPr>
            <w:r>
              <w:rPr>
                <w:szCs w:val="22"/>
              </w:rPr>
              <w:t>Raha-asiainvaliokunnassa</w:t>
            </w:r>
            <w:r w:rsidR="00517793">
              <w:rPr>
                <w:szCs w:val="22"/>
              </w:rPr>
              <w:t xml:space="preserve"> (RV)</w:t>
            </w:r>
            <w:r>
              <w:rPr>
                <w:szCs w:val="22"/>
              </w:rPr>
              <w:t xml:space="preserve"> käsitellään vuosittain n. 450 asiaa, valtioneuvoston </w:t>
            </w:r>
            <w:r w:rsidR="002849B2">
              <w:rPr>
                <w:szCs w:val="22"/>
              </w:rPr>
              <w:t>yleisistunnossa</w:t>
            </w:r>
            <w:r w:rsidR="00517793">
              <w:rPr>
                <w:szCs w:val="22"/>
              </w:rPr>
              <w:t xml:space="preserve"> (VN)</w:t>
            </w:r>
            <w:r w:rsidR="002849B2">
              <w:rPr>
                <w:szCs w:val="22"/>
              </w:rPr>
              <w:t xml:space="preserve"> n. 1600 asiaa, Tasavallan P</w:t>
            </w:r>
            <w:r>
              <w:rPr>
                <w:szCs w:val="22"/>
              </w:rPr>
              <w:t>residentin esittelyssä</w:t>
            </w:r>
            <w:r w:rsidR="00517793">
              <w:rPr>
                <w:szCs w:val="22"/>
              </w:rPr>
              <w:t xml:space="preserve"> (TP)</w:t>
            </w:r>
            <w:r>
              <w:rPr>
                <w:szCs w:val="22"/>
              </w:rPr>
              <w:t xml:space="preserve"> n. 400 asiaa. Osa asioista käsitellään useammassa kuin yhdessä em. istunnossa tai esittelyssä.</w:t>
            </w:r>
          </w:p>
          <w:p w14:paraId="32D94CA4" w14:textId="2ACDBFCE" w:rsidR="0068259C" w:rsidRPr="007F541F" w:rsidRDefault="00A83587" w:rsidP="008859AE">
            <w:pPr>
              <w:pStyle w:val="JhsNormaaliKappale"/>
              <w:rPr>
                <w:szCs w:val="22"/>
              </w:rPr>
            </w:pPr>
            <w:r w:rsidRPr="007F541F">
              <w:rPr>
                <w:szCs w:val="22"/>
              </w:rPr>
              <w:t xml:space="preserve">VN:ssä </w:t>
            </w:r>
            <w:r w:rsidR="003A66D1" w:rsidRPr="007F541F">
              <w:rPr>
                <w:szCs w:val="22"/>
              </w:rPr>
              <w:t xml:space="preserve">hallituksen esityksiä </w:t>
            </w:r>
            <w:r w:rsidR="007F541F" w:rsidRPr="007F541F">
              <w:rPr>
                <w:szCs w:val="22"/>
              </w:rPr>
              <w:t xml:space="preserve">270  kpl </w:t>
            </w:r>
            <w:r w:rsidR="003A66D1" w:rsidRPr="007F541F">
              <w:rPr>
                <w:szCs w:val="22"/>
              </w:rPr>
              <w:t xml:space="preserve">ja valtioneuvoston asetuksia vuoden aikana  </w:t>
            </w:r>
            <w:r w:rsidR="007F541F" w:rsidRPr="007F541F">
              <w:rPr>
                <w:szCs w:val="22"/>
              </w:rPr>
              <w:t>305</w:t>
            </w:r>
            <w:r w:rsidR="003A66D1" w:rsidRPr="007F541F">
              <w:rPr>
                <w:szCs w:val="22"/>
              </w:rPr>
              <w:t xml:space="preserve"> kpl, eduskunnan vastauksia 262 kpl</w:t>
            </w:r>
            <w:r w:rsidRPr="007F541F">
              <w:rPr>
                <w:szCs w:val="22"/>
              </w:rPr>
              <w:t>, t</w:t>
            </w:r>
            <w:r w:rsidR="007F541F" w:rsidRPr="007F541F">
              <w:rPr>
                <w:szCs w:val="22"/>
              </w:rPr>
              <w:t>asavallan presidentin</w:t>
            </w:r>
            <w:r w:rsidRPr="007F541F">
              <w:rPr>
                <w:szCs w:val="22"/>
              </w:rPr>
              <w:t xml:space="preserve"> asetuksia 3 kpl</w:t>
            </w:r>
          </w:p>
          <w:p w14:paraId="4FB52B81" w14:textId="72B7EE0D" w:rsidR="00A83587" w:rsidRPr="007F541F" w:rsidRDefault="00A83587" w:rsidP="008859AE">
            <w:pPr>
              <w:pStyle w:val="JhsNormaaliKappale"/>
              <w:rPr>
                <w:szCs w:val="22"/>
              </w:rPr>
            </w:pPr>
            <w:r w:rsidRPr="007F541F">
              <w:rPr>
                <w:szCs w:val="22"/>
              </w:rPr>
              <w:t>TP:n esittelyssä vuoden aikana eduskunnan vastauksia ja tp:n asetuksia yht. 26</w:t>
            </w:r>
            <w:r w:rsidR="007F541F" w:rsidRPr="007F541F">
              <w:rPr>
                <w:szCs w:val="22"/>
              </w:rPr>
              <w:t>5</w:t>
            </w:r>
            <w:r w:rsidRPr="007F541F">
              <w:rPr>
                <w:szCs w:val="22"/>
              </w:rPr>
              <w:t xml:space="preserve"> kpl</w:t>
            </w:r>
          </w:p>
          <w:p w14:paraId="7492A470" w14:textId="34DC8C48" w:rsidR="00A83587" w:rsidRPr="007F541F" w:rsidRDefault="00517793" w:rsidP="008859AE">
            <w:pPr>
              <w:pStyle w:val="JhsNormaaliKappale"/>
              <w:rPr>
                <w:szCs w:val="22"/>
              </w:rPr>
            </w:pPr>
            <w:r w:rsidRPr="007F541F">
              <w:rPr>
                <w:szCs w:val="22"/>
              </w:rPr>
              <w:t>RV</w:t>
            </w:r>
            <w:r w:rsidR="00A83587" w:rsidRPr="007F541F">
              <w:rPr>
                <w:szCs w:val="22"/>
              </w:rPr>
              <w:t>:ssä 29 kpl ministeriöiden asetuksia, 16 päätöstä (ministeriöt ja valti</w:t>
            </w:r>
            <w:r w:rsidRPr="007F541F">
              <w:rPr>
                <w:szCs w:val="22"/>
              </w:rPr>
              <w:t>o</w:t>
            </w:r>
            <w:r w:rsidR="00A83587" w:rsidRPr="007F541F">
              <w:rPr>
                <w:szCs w:val="22"/>
              </w:rPr>
              <w:t>neuvosto), 97 kpl he:itä</w:t>
            </w:r>
          </w:p>
          <w:p w14:paraId="5D6C2DDB" w14:textId="5B517D0F" w:rsidR="00776C70" w:rsidRPr="000F560E" w:rsidRDefault="00EF20F4" w:rsidP="005A73D1">
            <w:pPr>
              <w:pStyle w:val="JhsNormaaliKappale"/>
              <w:rPr>
                <w:szCs w:val="22"/>
              </w:rPr>
            </w:pPr>
            <w:r w:rsidRPr="007F541F">
              <w:rPr>
                <w:szCs w:val="22"/>
              </w:rPr>
              <w:t xml:space="preserve">Valtioneuvoston kirjelmiä (U-kirjelmä, ministerien sidonnaisuudet) annettiin vuoden aikana </w:t>
            </w:r>
            <w:r w:rsidR="007F541F" w:rsidRPr="007F541F">
              <w:rPr>
                <w:szCs w:val="22"/>
              </w:rPr>
              <w:t>84</w:t>
            </w:r>
            <w:r w:rsidRPr="007F541F">
              <w:rPr>
                <w:szCs w:val="22"/>
              </w:rPr>
              <w:t xml:space="preserve"> kpl. </w:t>
            </w:r>
          </w:p>
        </w:tc>
      </w:tr>
      <w:tr w:rsidR="0008663A" w:rsidRPr="000F560E" w14:paraId="6B9692BD" w14:textId="77777777" w:rsidTr="00F31B23">
        <w:trPr>
          <w:trHeight w:val="773"/>
        </w:trPr>
        <w:tc>
          <w:tcPr>
            <w:tcW w:w="540" w:type="dxa"/>
            <w:shd w:val="clear" w:color="auto" w:fill="auto"/>
          </w:tcPr>
          <w:p w14:paraId="0CE7271A" w14:textId="77777777" w:rsidR="0008663A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14:paraId="1AD3B683" w14:textId="77777777" w:rsidR="0008663A" w:rsidRPr="000F560E" w:rsidRDefault="00AF7380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Prosessin ohjaus ja kehittämismenettely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653FEB59" w14:textId="7D6A4A7F" w:rsidR="0008663A" w:rsidRPr="00517793" w:rsidRDefault="002849B2" w:rsidP="002849B2">
            <w:pPr>
              <w:pStyle w:val="JhsNormaaliKappale"/>
              <w:rPr>
                <w:szCs w:val="22"/>
              </w:rPr>
            </w:pPr>
            <w:r w:rsidRPr="00517793">
              <w:rPr>
                <w:szCs w:val="22"/>
              </w:rPr>
              <w:t xml:space="preserve">Oikeusministeriö vastaa koko </w:t>
            </w:r>
            <w:r w:rsidR="00672FC2" w:rsidRPr="00517793">
              <w:rPr>
                <w:szCs w:val="22"/>
              </w:rPr>
              <w:t>v</w:t>
            </w:r>
            <w:r w:rsidRPr="00517793">
              <w:rPr>
                <w:szCs w:val="22"/>
              </w:rPr>
              <w:t>altioneuvoston  lainvalmistelun kehittämisestä.  Jokainen ministeriö vastaa oman toimintansa osalta valmistelun laadusta.</w:t>
            </w:r>
          </w:p>
          <w:p w14:paraId="470D7D8E" w14:textId="296C740C" w:rsidR="00D40758" w:rsidRPr="00517793" w:rsidRDefault="00521E7B" w:rsidP="002849B2">
            <w:pPr>
              <w:pStyle w:val="JhsNormaaliKappale"/>
              <w:rPr>
                <w:szCs w:val="22"/>
              </w:rPr>
            </w:pPr>
            <w:r w:rsidRPr="00517793">
              <w:rPr>
                <w:szCs w:val="22"/>
              </w:rPr>
              <w:t>Valtioneuvoston kanslian tiedonhallintayksikkö vastaa asiakirja</w:t>
            </w:r>
            <w:r w:rsidR="00896D52" w:rsidRPr="00517793">
              <w:rPr>
                <w:szCs w:val="22"/>
              </w:rPr>
              <w:t xml:space="preserve">käsittelyyn liittyvästä </w:t>
            </w:r>
            <w:r w:rsidRPr="00517793">
              <w:rPr>
                <w:szCs w:val="22"/>
              </w:rPr>
              <w:t>tiedonohjauksesta</w:t>
            </w:r>
            <w:r w:rsidR="00896D52" w:rsidRPr="00517793">
              <w:rPr>
                <w:szCs w:val="22"/>
              </w:rPr>
              <w:t>.</w:t>
            </w:r>
          </w:p>
        </w:tc>
      </w:tr>
      <w:tr w:rsidR="00AF7380" w:rsidRPr="000F560E" w14:paraId="1210F88A" w14:textId="77777777" w:rsidTr="00F31B23">
        <w:trPr>
          <w:trHeight w:val="773"/>
        </w:trPr>
        <w:tc>
          <w:tcPr>
            <w:tcW w:w="540" w:type="dxa"/>
            <w:shd w:val="clear" w:color="auto" w:fill="auto"/>
          </w:tcPr>
          <w:p w14:paraId="0A885AEB" w14:textId="77777777" w:rsidR="00AF7380" w:rsidRPr="000F560E" w:rsidRDefault="008859AE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17</w:t>
            </w:r>
          </w:p>
        </w:tc>
        <w:tc>
          <w:tcPr>
            <w:tcW w:w="2520" w:type="dxa"/>
            <w:shd w:val="clear" w:color="auto" w:fill="auto"/>
          </w:tcPr>
          <w:p w14:paraId="2C149F65" w14:textId="77777777" w:rsidR="00AF7380" w:rsidRPr="000F560E" w:rsidRDefault="008859AE" w:rsidP="008859AE">
            <w:pPr>
              <w:pStyle w:val="JhsNormaaliKappale"/>
              <w:rPr>
                <w:szCs w:val="22"/>
              </w:rPr>
            </w:pPr>
            <w:r w:rsidRPr="000F560E">
              <w:rPr>
                <w:szCs w:val="22"/>
              </w:rPr>
              <w:t>Rajapinnat muihin prosesseihin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2E33BE1C" w14:textId="1EE65E34" w:rsidR="00AF7380" w:rsidRPr="000F560E" w:rsidRDefault="00AC3BCF" w:rsidP="008859AE">
            <w:pPr>
              <w:pStyle w:val="JhsNormaaliKappale"/>
              <w:rPr>
                <w:szCs w:val="22"/>
              </w:rPr>
            </w:pPr>
            <w:r>
              <w:rPr>
                <w:szCs w:val="22"/>
              </w:rPr>
              <w:t xml:space="preserve">Lausuntoprosessi, yleiset asian- ja </w:t>
            </w:r>
            <w:r w:rsidRPr="00517793">
              <w:rPr>
                <w:szCs w:val="22"/>
              </w:rPr>
              <w:t>asiakirjankäsittelyprosessit</w:t>
            </w:r>
            <w:r w:rsidR="003B5F0D" w:rsidRPr="00517793">
              <w:rPr>
                <w:szCs w:val="22"/>
              </w:rPr>
              <w:t xml:space="preserve"> (ml. tiedonohjaus (TOS))</w:t>
            </w:r>
            <w:r w:rsidR="00CF28C3" w:rsidRPr="00517793">
              <w:rPr>
                <w:szCs w:val="22"/>
              </w:rPr>
              <w:t>, istuntoprosessi</w:t>
            </w:r>
            <w:r w:rsidR="003E60F7" w:rsidRPr="00517793">
              <w:rPr>
                <w:szCs w:val="22"/>
              </w:rPr>
              <w:t>, viestintäp</w:t>
            </w:r>
            <w:r w:rsidR="003E60F7">
              <w:rPr>
                <w:szCs w:val="22"/>
              </w:rPr>
              <w:t>rosessi</w:t>
            </w:r>
            <w:r w:rsidR="00170C92">
              <w:rPr>
                <w:szCs w:val="22"/>
              </w:rPr>
              <w:t>,</w:t>
            </w:r>
            <w:r w:rsidR="00776C70">
              <w:rPr>
                <w:szCs w:val="22"/>
              </w:rPr>
              <w:t xml:space="preserve"> julkaisuprosessi,</w:t>
            </w:r>
            <w:r w:rsidR="00170C92">
              <w:rPr>
                <w:szCs w:val="22"/>
              </w:rPr>
              <w:t xml:space="preserve"> hankehallinta</w:t>
            </w:r>
            <w:r w:rsidR="002849B2">
              <w:rPr>
                <w:szCs w:val="22"/>
              </w:rPr>
              <w:t>, lain säädännön arviointiprosessi</w:t>
            </w:r>
            <w:r w:rsidR="00D40758">
              <w:rPr>
                <w:szCs w:val="22"/>
              </w:rPr>
              <w:t>.</w:t>
            </w:r>
          </w:p>
        </w:tc>
      </w:tr>
    </w:tbl>
    <w:p w14:paraId="301B7ABC" w14:textId="77777777" w:rsidR="0008663A" w:rsidRPr="000F560E" w:rsidRDefault="0008663A" w:rsidP="00C32CA8">
      <w:pPr>
        <w:rPr>
          <w:szCs w:val="22"/>
        </w:rPr>
      </w:pPr>
    </w:p>
    <w:p w14:paraId="29404568" w14:textId="77777777" w:rsidR="000372D6" w:rsidRPr="000F560E" w:rsidRDefault="00497A82" w:rsidP="00C32CA8">
      <w:pPr>
        <w:rPr>
          <w:szCs w:val="22"/>
        </w:rPr>
      </w:pPr>
      <w:r w:rsidRPr="000F560E">
        <w:rPr>
          <w:szCs w:val="22"/>
        </w:rPr>
        <w:t xml:space="preserve">Prosessissa valtioneuvoston </w:t>
      </w:r>
      <w:r w:rsidR="00740914">
        <w:rPr>
          <w:szCs w:val="22"/>
        </w:rPr>
        <w:t>asianhallinta</w:t>
      </w:r>
      <w:r w:rsidRPr="000F560E">
        <w:rPr>
          <w:szCs w:val="22"/>
        </w:rPr>
        <w:t xml:space="preserve">järjestelmän näkökulmasta kuvataan ylätasolla, miten </w:t>
      </w:r>
      <w:r w:rsidR="00511B83">
        <w:rPr>
          <w:szCs w:val="22"/>
        </w:rPr>
        <w:t>säädöksen</w:t>
      </w:r>
      <w:r w:rsidRPr="000F560E">
        <w:rPr>
          <w:szCs w:val="22"/>
        </w:rPr>
        <w:t xml:space="preserve"> valmistelu</w:t>
      </w:r>
      <w:r w:rsidR="00740914">
        <w:rPr>
          <w:szCs w:val="22"/>
        </w:rPr>
        <w:t xml:space="preserve"> asianhallintajärjestelmää</w:t>
      </w:r>
      <w:r w:rsidRPr="000F560E">
        <w:rPr>
          <w:szCs w:val="22"/>
        </w:rPr>
        <w:t xml:space="preserve"> käytetään</w:t>
      </w:r>
      <w:r w:rsidR="00740914">
        <w:rPr>
          <w:szCs w:val="22"/>
        </w:rPr>
        <w:t xml:space="preserve"> ja millaisia tietoja siellä käsitellään</w:t>
      </w:r>
      <w:r w:rsidRPr="000F560E">
        <w:rPr>
          <w:szCs w:val="22"/>
        </w:rPr>
        <w:t xml:space="preserve">. Tarkoitus ei ole yksityiskohtaisesti kuvata, miten </w:t>
      </w:r>
      <w:r w:rsidR="00511B83">
        <w:rPr>
          <w:szCs w:val="22"/>
        </w:rPr>
        <w:t>säädöksen</w:t>
      </w:r>
      <w:r w:rsidRPr="000F560E">
        <w:rPr>
          <w:szCs w:val="22"/>
        </w:rPr>
        <w:t xml:space="preserve"> valmisteluun liittyvät eri tehtävät toteutetaan, oleellisena pidetään tehtävien suhdetta </w:t>
      </w:r>
      <w:r w:rsidR="00740914">
        <w:rPr>
          <w:szCs w:val="22"/>
        </w:rPr>
        <w:t>asianhallinta</w:t>
      </w:r>
      <w:r w:rsidRPr="000F560E">
        <w:rPr>
          <w:szCs w:val="22"/>
        </w:rPr>
        <w:t xml:space="preserve">järjestelmään.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379"/>
      </w:tblGrid>
      <w:tr w:rsidR="00AB640A" w:rsidRPr="000F560E" w14:paraId="7AC52EAF" w14:textId="77777777" w:rsidTr="00AB640A">
        <w:trPr>
          <w:trHeight w:val="274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B368B8" w14:textId="77777777" w:rsidR="00AB640A" w:rsidRPr="000F560E" w:rsidRDefault="00AB640A" w:rsidP="00F31B23">
            <w:pPr>
              <w:pStyle w:val="Default"/>
              <w:ind w:right="318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AB640A" w:rsidRPr="000F560E" w14:paraId="6599AA9C" w14:textId="77777777" w:rsidTr="00F31B23">
        <w:trPr>
          <w:trHeight w:val="274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799CF997" w14:textId="77777777" w:rsidR="00AB640A" w:rsidRPr="000F560E" w:rsidRDefault="00AB640A" w:rsidP="00F31B23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F56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Prosessi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1620062D" w14:textId="77777777" w:rsidR="00AB640A" w:rsidRPr="000F560E" w:rsidRDefault="00AB640A" w:rsidP="00F31B23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F56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Selite</w:t>
            </w:r>
          </w:p>
        </w:tc>
      </w:tr>
      <w:tr w:rsidR="00511B83" w:rsidRPr="000F560E" w14:paraId="50E04FEB" w14:textId="77777777" w:rsidTr="00302B3F">
        <w:trPr>
          <w:trHeight w:val="274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DBE5F1"/>
          </w:tcPr>
          <w:p w14:paraId="533320B3" w14:textId="77777777" w:rsidR="00511B83" w:rsidRPr="00511B83" w:rsidRDefault="00511B83" w:rsidP="00302B3F">
            <w:pPr>
              <w:pStyle w:val="JhsNormaaliKappale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 </w:t>
            </w:r>
            <w:r w:rsidRPr="00511B83">
              <w:rPr>
                <w:b/>
                <w:szCs w:val="22"/>
              </w:rPr>
              <w:t>Säädösvalmisteluprosessi valtioneuvoston asianhallintajärjestelmän näkökulmasta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B7A60CC" w14:textId="77777777" w:rsidR="00511B83" w:rsidRPr="000F560E" w:rsidRDefault="00511B83" w:rsidP="004E739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11B83" w:rsidRPr="000F560E" w14:paraId="51FA2A18" w14:textId="77777777" w:rsidTr="00F31B23">
        <w:trPr>
          <w:trHeight w:val="558"/>
        </w:trPr>
        <w:tc>
          <w:tcPr>
            <w:tcW w:w="4112" w:type="dxa"/>
            <w:shd w:val="clear" w:color="auto" w:fill="D5DCE4"/>
            <w:vAlign w:val="center"/>
          </w:tcPr>
          <w:p w14:paraId="4866D418" w14:textId="77777777" w:rsidR="00511B83" w:rsidRPr="00936111" w:rsidRDefault="00511B83" w:rsidP="006E5EF3">
            <w:pPr>
              <w:pStyle w:val="Default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Aloite, esivalmistelu, perusvalmistelu ja lausuntomenettely. Asian vireilletulo asianhallinnassa.</w:t>
            </w:r>
          </w:p>
        </w:tc>
        <w:tc>
          <w:tcPr>
            <w:tcW w:w="6379" w:type="dxa"/>
            <w:shd w:val="clear" w:color="auto" w:fill="D5DCE4"/>
            <w:vAlign w:val="center"/>
          </w:tcPr>
          <w:p w14:paraId="2BE381E0" w14:textId="77777777" w:rsidR="00511B83" w:rsidRPr="00936111" w:rsidRDefault="00511B83" w:rsidP="008251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Säädösvalmisteluhankkeen esivalmistelu, valmistelu ja sidosryhmien osallistaminen ja kuuleminen </w:t>
            </w:r>
          </w:p>
        </w:tc>
      </w:tr>
      <w:tr w:rsidR="00511B83" w:rsidRPr="000F560E" w14:paraId="22853244" w14:textId="77777777" w:rsidTr="005B64A4">
        <w:trPr>
          <w:trHeight w:val="558"/>
        </w:trPr>
        <w:tc>
          <w:tcPr>
            <w:tcW w:w="4112" w:type="dxa"/>
            <w:vAlign w:val="center"/>
          </w:tcPr>
          <w:p w14:paraId="052DABA5" w14:textId="77777777" w:rsidR="00511B83" w:rsidRPr="000F560E" w:rsidRDefault="00511B83" w:rsidP="00936111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Pr="000F560E">
              <w:rPr>
                <w:rFonts w:ascii="Times New Roman" w:hAnsi="Times New Roman" w:cs="Times New Roman"/>
                <w:sz w:val="22"/>
                <w:szCs w:val="22"/>
              </w:rPr>
              <w:t xml:space="preserve">.1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Aloite ja esivalmistelu</w:t>
            </w:r>
          </w:p>
        </w:tc>
        <w:tc>
          <w:tcPr>
            <w:tcW w:w="6379" w:type="dxa"/>
            <w:vAlign w:val="center"/>
          </w:tcPr>
          <w:p w14:paraId="441E9303" w14:textId="73CA33A3" w:rsidR="00511B83" w:rsidRPr="006A7AEC" w:rsidRDefault="00511B83" w:rsidP="00B06DB9">
            <w:pPr>
              <w:spacing w:before="100" w:beforeAutospacing="1" w:after="100" w:afterAutospacing="1"/>
              <w:rPr>
                <w:rStyle w:val="hover-tooltip"/>
                <w:color w:val="00B050"/>
                <w:szCs w:val="22"/>
              </w:rPr>
            </w:pPr>
            <w:r>
              <w:rPr>
                <w:rStyle w:val="hover-tooltip"/>
                <w:szCs w:val="22"/>
              </w:rPr>
              <w:t xml:space="preserve">Säädösvalmistelu käynnistetään ministeriössä säädösvalmistelualoitteesta ja esivalmistelussa arvioidaan säädösvalmisteluhankkeen käynnistämisen tarve. Toimeksianto laaditaan asianhallinnassa. Esivalmistelu tehdään joko virkatyönä tai erillisenä esivalmisteluelimen työnä. </w:t>
            </w:r>
            <w:r w:rsidRPr="006A7AEC">
              <w:rPr>
                <w:rStyle w:val="hover-tooltip"/>
                <w:szCs w:val="22"/>
              </w:rPr>
              <w:t>Jos säädösvalmisteluhanke käynnistetään, asettamispäätös ja liiteasiakirjat laaditaan asianhallinnassa. Kaikki hankkeen aikana laadittavat asiakirjat tehdään asianhallinnassa tai siihen kytköksissä olevassa työtilassa</w:t>
            </w:r>
            <w:r w:rsidRPr="00517793">
              <w:rPr>
                <w:rStyle w:val="hover-tooltip"/>
                <w:szCs w:val="22"/>
              </w:rPr>
              <w:t>.</w:t>
            </w:r>
            <w:r w:rsidR="006A7AEC" w:rsidRPr="00517793">
              <w:rPr>
                <w:rStyle w:val="hover-tooltip"/>
                <w:szCs w:val="22"/>
              </w:rPr>
              <w:t xml:space="preserve"> Rakenteinen (säädös)asiakirja laaditaan </w:t>
            </w:r>
            <w:r w:rsidR="002C15EE" w:rsidRPr="00517793">
              <w:rPr>
                <w:rStyle w:val="hover-tooltip"/>
                <w:szCs w:val="22"/>
              </w:rPr>
              <w:t>myös</w:t>
            </w:r>
            <w:r w:rsidR="006A7AEC" w:rsidRPr="00517793">
              <w:rPr>
                <w:rStyle w:val="hover-tooltip"/>
                <w:szCs w:val="22"/>
              </w:rPr>
              <w:t xml:space="preserve"> näissä ympäristöissä.</w:t>
            </w:r>
          </w:p>
          <w:p w14:paraId="63FAAB29" w14:textId="77777777" w:rsidR="00511B83" w:rsidRPr="000F560E" w:rsidRDefault="00511B83" w:rsidP="00B06DB9">
            <w:pPr>
              <w:spacing w:before="100" w:beforeAutospacing="1" w:after="100" w:afterAutospacing="1"/>
              <w:rPr>
                <w:rStyle w:val="hover-tooltip"/>
                <w:szCs w:val="22"/>
              </w:rPr>
            </w:pPr>
            <w:r>
              <w:rPr>
                <w:rStyle w:val="hover-tooltip"/>
                <w:szCs w:val="22"/>
              </w:rPr>
              <w:t xml:space="preserve">Myös esivalmistelussa laadittavat tutkimukset ja selvitykset perustetaan asianhallintaan, jossa ne saavat asianumeron ja niiden valmistelijat asianmukaiset käyttöoikeudet. Säädösasialta on voitava  helposti lähteä luomaan hankinta-asiaa, joka </w:t>
            </w:r>
            <w:r w:rsidRPr="00B06DB9">
              <w:rPr>
                <w:szCs w:val="22"/>
              </w:rPr>
              <w:t xml:space="preserve">linkittyy säädösasiaan, mutta pitää sisällään erityyppisiä </w:t>
            </w:r>
            <w:r>
              <w:rPr>
                <w:szCs w:val="22"/>
              </w:rPr>
              <w:t xml:space="preserve">työnkulkuja, </w:t>
            </w:r>
            <w:r w:rsidRPr="00B06DB9">
              <w:rPr>
                <w:szCs w:val="22"/>
              </w:rPr>
              <w:t>asiakirjoja</w:t>
            </w:r>
            <w:r>
              <w:rPr>
                <w:szCs w:val="22"/>
              </w:rPr>
              <w:t xml:space="preserve"> ja toiminnallisuuksia. </w:t>
            </w:r>
          </w:p>
        </w:tc>
      </w:tr>
      <w:tr w:rsidR="00511B83" w:rsidRPr="000F560E" w14:paraId="2C1AE1A1" w14:textId="77777777" w:rsidTr="00F31B23">
        <w:trPr>
          <w:trHeight w:val="558"/>
        </w:trPr>
        <w:tc>
          <w:tcPr>
            <w:tcW w:w="4112" w:type="dxa"/>
            <w:vAlign w:val="center"/>
          </w:tcPr>
          <w:p w14:paraId="6AE62388" w14:textId="77777777" w:rsidR="00511B83" w:rsidRDefault="00511B83" w:rsidP="00936111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Pr="000F560E">
              <w:rPr>
                <w:rFonts w:ascii="Times New Roman" w:hAnsi="Times New Roman" w:cs="Times New Roman"/>
                <w:sz w:val="22"/>
                <w:szCs w:val="22"/>
              </w:rPr>
              <w:t xml:space="preserve">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Perusvalmistelu</w:t>
            </w:r>
          </w:p>
          <w:p w14:paraId="19EE0787" w14:textId="77777777" w:rsidR="00511B83" w:rsidRPr="00172B51" w:rsidRDefault="00511B83" w:rsidP="00172B51">
            <w:pPr>
              <w:pStyle w:val="Default"/>
              <w:spacing w:before="120"/>
              <w:ind w:left="7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5BA387E7" w14:textId="1B716DF1" w:rsidR="00511B83" w:rsidRPr="007F3BC7" w:rsidRDefault="00511B83" w:rsidP="00056F17">
            <w:pPr>
              <w:spacing w:before="100" w:beforeAutospacing="1" w:after="100" w:afterAutospacing="1"/>
              <w:rPr>
                <w:szCs w:val="22"/>
              </w:rPr>
            </w:pPr>
            <w:r w:rsidRPr="007F3BC7">
              <w:rPr>
                <w:szCs w:val="22"/>
              </w:rPr>
              <w:t xml:space="preserve">Perusvalmistelussa laajennetaan ja tarkennetaan esivalmistelussa koottua tietoa valmisteltavasta asiasta sekä selvitetään. oikeudelliset kysymykset. Tarvittaessa tilataan tutkimuksia ja selvityksiä. Vaiheessa </w:t>
            </w:r>
            <w:r w:rsidR="00147A6A" w:rsidRPr="007F3BC7">
              <w:rPr>
                <w:szCs w:val="22"/>
              </w:rPr>
              <w:t xml:space="preserve">perustetaan </w:t>
            </w:r>
            <w:r w:rsidR="001B1D6E" w:rsidRPr="007F3BC7">
              <w:rPr>
                <w:szCs w:val="22"/>
              </w:rPr>
              <w:t>rakentei</w:t>
            </w:r>
            <w:r w:rsidR="00147A6A" w:rsidRPr="007F3BC7">
              <w:rPr>
                <w:szCs w:val="22"/>
              </w:rPr>
              <w:t xml:space="preserve">nen asiakirja tyyppiä hallituksen esitys, johon laaditaan </w:t>
            </w:r>
            <w:r w:rsidRPr="007F3BC7">
              <w:rPr>
                <w:szCs w:val="22"/>
              </w:rPr>
              <w:t>luonnos hallituksen esitykseksi, ts. laki</w:t>
            </w:r>
            <w:r w:rsidR="00517793" w:rsidRPr="007F3BC7">
              <w:rPr>
                <w:szCs w:val="22"/>
              </w:rPr>
              <w:t>ehdotus</w:t>
            </w:r>
            <w:r w:rsidR="007F3BC7" w:rsidRPr="007F3BC7">
              <w:rPr>
                <w:szCs w:val="22"/>
              </w:rPr>
              <w:t>/lakiehdotukset</w:t>
            </w:r>
            <w:r w:rsidRPr="007F3BC7">
              <w:rPr>
                <w:szCs w:val="22"/>
              </w:rPr>
              <w:t xml:space="preserve"> perusteluineen.</w:t>
            </w:r>
            <w:r w:rsidR="006A7AEC" w:rsidRPr="007F3BC7">
              <w:rPr>
                <w:szCs w:val="22"/>
              </w:rPr>
              <w:t xml:space="preserve"> </w:t>
            </w:r>
            <w:r w:rsidR="00832C70" w:rsidRPr="007F3BC7">
              <w:rPr>
                <w:szCs w:val="22"/>
              </w:rPr>
              <w:t>A</w:t>
            </w:r>
            <w:r w:rsidR="00832C70" w:rsidRPr="007F3BC7">
              <w:rPr>
                <w:rStyle w:val="hover-tooltip"/>
                <w:szCs w:val="22"/>
              </w:rPr>
              <w:t>setusluonnoksia voidaan sisällyttää osaksi hallituksen esitys -asiakirjaa rinnakkaistekstien jälkeen uusina säädösrakenneosina</w:t>
            </w:r>
            <w:r w:rsidR="0028786A" w:rsidRPr="007F3BC7">
              <w:rPr>
                <w:rStyle w:val="hover-tooltip"/>
                <w:szCs w:val="22"/>
              </w:rPr>
              <w:t>, jotta uusi säädöskokonaisuus olisi helposti hahmotettavissa</w:t>
            </w:r>
            <w:r w:rsidR="00832C70" w:rsidRPr="007F3BC7">
              <w:rPr>
                <w:rStyle w:val="hover-tooltip"/>
                <w:szCs w:val="22"/>
              </w:rPr>
              <w:t xml:space="preserve">. </w:t>
            </w:r>
            <w:r w:rsidRPr="007F3BC7">
              <w:rPr>
                <w:szCs w:val="22"/>
              </w:rPr>
              <w:t>Valmistelussa syntyvä aineisto</w:t>
            </w:r>
            <w:r w:rsidR="00832C70" w:rsidRPr="007F3BC7">
              <w:rPr>
                <w:szCs w:val="22"/>
              </w:rPr>
              <w:t xml:space="preserve"> pidetään</w:t>
            </w:r>
            <w:r w:rsidRPr="007F3BC7">
              <w:rPr>
                <w:szCs w:val="22"/>
              </w:rPr>
              <w:t xml:space="preserve"> myöhemmin tarkentuvien toimintatapojen mukaisesti joko asianhallinnassa tai siihen integroidussa työryhmätilassa. Perusvalmisteluun osallistuu valmistelijoita myös valtioneuvoston ulkopuolelta. </w:t>
            </w:r>
          </w:p>
          <w:p w14:paraId="71F0924E" w14:textId="77777777" w:rsidR="00511B83" w:rsidRPr="007F3BC7" w:rsidRDefault="00511B83" w:rsidP="00B06DB9">
            <w:pPr>
              <w:spacing w:before="100" w:beforeAutospacing="1" w:after="100" w:afterAutospacing="1"/>
              <w:rPr>
                <w:szCs w:val="22"/>
              </w:rPr>
            </w:pPr>
            <w:r w:rsidRPr="007F3BC7">
              <w:rPr>
                <w:szCs w:val="22"/>
              </w:rPr>
              <w:t xml:space="preserve">Perusvalmistelusta tulee jakaa tietoa jo ennen varsinaista kuulemismenettelyä. Viimeistään tässä vaiheessa hankkeesta julkistaan tietoa myös hanketietopalvelussa ja muissa sovituissa julkaisukanavissa. </w:t>
            </w:r>
          </w:p>
          <w:p w14:paraId="3529AA21" w14:textId="77777777" w:rsidR="00511B83" w:rsidRPr="007F3BC7" w:rsidRDefault="00511B83" w:rsidP="00B06DB9">
            <w:pPr>
              <w:spacing w:before="100" w:beforeAutospacing="1" w:after="100" w:afterAutospacing="1"/>
              <w:rPr>
                <w:szCs w:val="22"/>
              </w:rPr>
            </w:pPr>
            <w:r w:rsidRPr="007F3BC7">
              <w:rPr>
                <w:szCs w:val="22"/>
              </w:rPr>
              <w:t>Hallituksen ja eduskunnan aikatalujen yhteensovittamiseksi hallitus valmistelee istuntokauden alussa lainsäädäntösuunnitelman hallituksen esityksistä (nk. HE-luettelo).</w:t>
            </w:r>
          </w:p>
          <w:p w14:paraId="1A708E21" w14:textId="77777777" w:rsidR="00511B83" w:rsidRPr="007F3BC7" w:rsidRDefault="00511B83" w:rsidP="00B06DB9">
            <w:pPr>
              <w:spacing w:before="100" w:beforeAutospacing="1" w:after="100" w:afterAutospacing="1"/>
              <w:rPr>
                <w:szCs w:val="22"/>
              </w:rPr>
            </w:pPr>
            <w:r w:rsidRPr="007F3BC7">
              <w:rPr>
                <w:szCs w:val="22"/>
              </w:rPr>
              <w:t>Istuntokausikohtainen HE-luettelo voi olla osajoukko laajemmasta lainsäädäntösuunnitelmasta.</w:t>
            </w:r>
          </w:p>
          <w:p w14:paraId="6B094F2B" w14:textId="77777777" w:rsidR="00511B83" w:rsidRPr="007F3BC7" w:rsidRDefault="00511B83" w:rsidP="00AA0F8D">
            <w:pPr>
              <w:spacing w:before="100" w:beforeAutospacing="1" w:after="100" w:afterAutospacing="1"/>
              <w:rPr>
                <w:szCs w:val="22"/>
              </w:rPr>
            </w:pPr>
            <w:r w:rsidRPr="007F3BC7">
              <w:rPr>
                <w:szCs w:val="22"/>
              </w:rPr>
              <w:t>Valtioneuvoston sisäistä seurantaa voidaan tukea esimerkiksi erilaisilla säädöshankkeisiin kohdistuvilla valmishauilla. HE-luettelo kullakin istuntokaudella annettavista hallituksen esityksistä on keskeinen työkalu valtioneuvoston kansliassa resurssien ja aikataulujen suunnittelussa . Istuntoyksikön lisäksi lainsäädäntöhankkeiden etenemisen seurantaan on tarvetta myös valtioneuvoston käännöstoiminnolla.</w:t>
            </w:r>
          </w:p>
          <w:p w14:paraId="5F2F13E3" w14:textId="77777777" w:rsidR="00511B83" w:rsidRPr="007F3BC7" w:rsidRDefault="00511B83" w:rsidP="00AA0F8D">
            <w:pPr>
              <w:spacing w:before="100" w:beforeAutospacing="1" w:after="100" w:afterAutospacing="1"/>
              <w:rPr>
                <w:szCs w:val="22"/>
              </w:rPr>
            </w:pPr>
            <w:r w:rsidRPr="007F3BC7">
              <w:rPr>
                <w:szCs w:val="22"/>
              </w:rPr>
              <w:t>Liittyy myös ministeriön johtamiseen.</w:t>
            </w:r>
          </w:p>
        </w:tc>
      </w:tr>
      <w:tr w:rsidR="00511B83" w:rsidRPr="000F560E" w14:paraId="20E96740" w14:textId="77777777" w:rsidTr="00F31B23">
        <w:trPr>
          <w:trHeight w:val="558"/>
        </w:trPr>
        <w:tc>
          <w:tcPr>
            <w:tcW w:w="4112" w:type="dxa"/>
            <w:vAlign w:val="center"/>
          </w:tcPr>
          <w:p w14:paraId="1E4EA220" w14:textId="77777777" w:rsidR="00511B83" w:rsidRDefault="00511B83" w:rsidP="00936111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</w:t>
            </w:r>
            <w:r w:rsidRPr="000F560E">
              <w:rPr>
                <w:rFonts w:ascii="Times New Roman" w:hAnsi="Times New Roman" w:cs="Times New Roman"/>
                <w:sz w:val="22"/>
                <w:szCs w:val="22"/>
              </w:rPr>
              <w:t xml:space="preserve">.3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Lausuntomenettely</w:t>
            </w:r>
          </w:p>
          <w:p w14:paraId="49AE67C9" w14:textId="77777777" w:rsidR="00511B83" w:rsidRPr="000F560E" w:rsidRDefault="00511B83" w:rsidP="003F372C">
            <w:pPr>
              <w:pStyle w:val="Default"/>
              <w:spacing w:before="120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42D072C5" w14:textId="1EC92BA3" w:rsidR="00511B83" w:rsidRPr="007F3BC7" w:rsidRDefault="00511B83" w:rsidP="004C1E7A">
            <w:r w:rsidRPr="007F3BC7">
              <w:rPr>
                <w:szCs w:val="22"/>
              </w:rPr>
              <w:t>Perusvalmistelun jälkeen luonnoksesta hallituksen esitykseksi pyydetään lausuntoja sidosryhmiltä. Ennen lausuntopyynnön lähettämistä liiteasiakirjat</w:t>
            </w:r>
            <w:r w:rsidR="0052260E" w:rsidRPr="007F3BC7">
              <w:rPr>
                <w:szCs w:val="22"/>
              </w:rPr>
              <w:t xml:space="preserve"> (</w:t>
            </w:r>
            <w:r w:rsidR="007F0782" w:rsidRPr="007F3BC7">
              <w:rPr>
                <w:szCs w:val="22"/>
              </w:rPr>
              <w:t>=</w:t>
            </w:r>
            <w:r w:rsidR="00E154AB" w:rsidRPr="007F3BC7">
              <w:rPr>
                <w:szCs w:val="22"/>
              </w:rPr>
              <w:t>lausunnon kohde</w:t>
            </w:r>
            <w:r w:rsidR="0052260E" w:rsidRPr="007F3BC7">
              <w:rPr>
                <w:szCs w:val="22"/>
              </w:rPr>
              <w:t>)</w:t>
            </w:r>
            <w:r w:rsidRPr="007F3BC7">
              <w:rPr>
                <w:b/>
                <w:szCs w:val="22"/>
              </w:rPr>
              <w:t xml:space="preserve"> </w:t>
            </w:r>
            <w:r w:rsidRPr="007F3BC7">
              <w:rPr>
                <w:szCs w:val="22"/>
              </w:rPr>
              <w:t>käännetään</w:t>
            </w:r>
            <w:r w:rsidRPr="007F3BC7">
              <w:rPr>
                <w:b/>
                <w:szCs w:val="22"/>
              </w:rPr>
              <w:t>.</w:t>
            </w:r>
            <w:r w:rsidR="007F0782" w:rsidRPr="007F3BC7">
              <w:rPr>
                <w:b/>
                <w:szCs w:val="22"/>
              </w:rPr>
              <w:t xml:space="preserve"> </w:t>
            </w:r>
            <w:r w:rsidR="007F0782" w:rsidRPr="007F3BC7">
              <w:rPr>
                <w:szCs w:val="22"/>
              </w:rPr>
              <w:t>Käännettäväksi lähetetään hallituksen esitysluonnos rakenteisena asiakirjana ja otetaan vastaan samanmuotoisena.</w:t>
            </w:r>
            <w:r w:rsidRPr="007F3BC7">
              <w:rPr>
                <w:b/>
                <w:szCs w:val="22"/>
              </w:rPr>
              <w:t xml:space="preserve"> </w:t>
            </w:r>
            <w:r w:rsidRPr="007F3BC7">
              <w:rPr>
                <w:szCs w:val="22"/>
              </w:rPr>
              <w:t>Lausuntopyyntö lähetetään keskeisille, tiedossa oleville sidosryhmille. Se myös julkaistaan, jotta kaikilla kiinnostuneilla olisi tilaisuus antaa lausunto. Valtioneuvoston sisäinen lausuntokierros toteutetaan asianhallintajärjestelmässä</w:t>
            </w:r>
            <w:r w:rsidR="0054096B" w:rsidRPr="007F3BC7">
              <w:rPr>
                <w:b/>
                <w:szCs w:val="22"/>
              </w:rPr>
              <w:t xml:space="preserve"> </w:t>
            </w:r>
            <w:r w:rsidR="0054096B" w:rsidRPr="007F3BC7">
              <w:rPr>
                <w:szCs w:val="22"/>
              </w:rPr>
              <w:t>siirtä</w:t>
            </w:r>
            <w:r w:rsidR="00B36CCD" w:rsidRPr="007F3BC7">
              <w:rPr>
                <w:szCs w:val="22"/>
              </w:rPr>
              <w:t>m</w:t>
            </w:r>
            <w:r w:rsidR="0054096B" w:rsidRPr="007F3BC7">
              <w:rPr>
                <w:szCs w:val="22"/>
              </w:rPr>
              <w:t>ä</w:t>
            </w:r>
            <w:r w:rsidR="00B36CCD" w:rsidRPr="007F3BC7">
              <w:rPr>
                <w:szCs w:val="22"/>
              </w:rPr>
              <w:t>llä</w:t>
            </w:r>
            <w:r w:rsidR="0054096B" w:rsidRPr="007F3BC7">
              <w:rPr>
                <w:szCs w:val="22"/>
              </w:rPr>
              <w:t xml:space="preserve"> sisäisinä toimeksiantoina</w:t>
            </w:r>
            <w:r w:rsidRPr="007F3BC7">
              <w:rPr>
                <w:szCs w:val="22"/>
              </w:rPr>
              <w:t xml:space="preserve">. </w:t>
            </w:r>
            <w:r w:rsidRPr="007F3BC7">
              <w:t>Jos lausuntoasia on liittyyy hankkeisiin tai on muutoin merkittävä, julkistaan lausunto myös ulkoisessa verkossa, esim. hanketietopalvelussa ja lausunto.fi:ssä.</w:t>
            </w:r>
            <w:r w:rsidR="00B36CCD" w:rsidRPr="007F3BC7">
              <w:t xml:space="preserve"> Hallituksen esitysasiakirjan rakenteisuus mahdollistaa sen rakenneosien suoran hyödyntämisen julkaisemisessa.</w:t>
            </w:r>
          </w:p>
          <w:p w14:paraId="51CFC6DB" w14:textId="77777777" w:rsidR="00511B83" w:rsidRPr="007F3BC7" w:rsidRDefault="00511B83" w:rsidP="004C1E7A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Myös valtioneuvoston sisäiset lausunnot julkaistaan esim. hanketietopalvelussa.  Lausunnoissa saatu palaute kootaan ja julkaistaan. Lausuntopyyntö (suomeksi, mahd. ruotsiksi) laaditaan asianhallinnassa ja saapuneet lausunnot liitetään lausuntopyyntöasialle. Lausuntokooste laaditaan asianhallinnassa.</w:t>
            </w:r>
          </w:p>
          <w:p w14:paraId="2B0CB0DA" w14:textId="77777777" w:rsidR="00511B83" w:rsidRPr="007F3BC7" w:rsidRDefault="00511B83" w:rsidP="004C1E7A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Muu kuuleminen.</w:t>
            </w:r>
          </w:p>
        </w:tc>
      </w:tr>
      <w:tr w:rsidR="00511B83" w:rsidRPr="000F560E" w14:paraId="130DD38E" w14:textId="77777777" w:rsidTr="00F31B23">
        <w:trPr>
          <w:trHeight w:val="558"/>
        </w:trPr>
        <w:tc>
          <w:tcPr>
            <w:tcW w:w="4112" w:type="dxa"/>
            <w:vAlign w:val="center"/>
          </w:tcPr>
          <w:p w14:paraId="352AC3BD" w14:textId="77777777" w:rsidR="00511B83" w:rsidRDefault="00511B83" w:rsidP="00936111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 HE:n kääntäminen</w:t>
            </w:r>
          </w:p>
        </w:tc>
        <w:tc>
          <w:tcPr>
            <w:tcW w:w="6379" w:type="dxa"/>
            <w:vAlign w:val="center"/>
          </w:tcPr>
          <w:p w14:paraId="44A3FA0F" w14:textId="77777777" w:rsidR="00511B83" w:rsidRPr="007F3BC7" w:rsidRDefault="00511B83" w:rsidP="00170C92">
            <w:pPr>
              <w:pStyle w:val="NormaaliWWW"/>
              <w:rPr>
                <w:sz w:val="22"/>
                <w:szCs w:val="22"/>
              </w:rPr>
            </w:pPr>
            <w:r w:rsidRPr="007F3BC7">
              <w:rPr>
                <w:sz w:val="22"/>
                <w:szCs w:val="22"/>
              </w:rPr>
              <w:t>HE:n kääntäminen käynnistyy useimmissa tapauksissa jo lausuntovaiheessa. Lopullinen käännös valmistuu kohdassa 1.2.3.</w:t>
            </w:r>
          </w:p>
          <w:p w14:paraId="61BCE777" w14:textId="3C5D5FAC" w:rsidR="00511B83" w:rsidRPr="007F3BC7" w:rsidRDefault="00511B83" w:rsidP="00170C92">
            <w:pPr>
              <w:pStyle w:val="NormaaliWWW"/>
              <w:rPr>
                <w:sz w:val="22"/>
                <w:szCs w:val="22"/>
              </w:rPr>
            </w:pPr>
            <w:r w:rsidRPr="007F3BC7">
              <w:rPr>
                <w:sz w:val="22"/>
                <w:szCs w:val="22"/>
              </w:rPr>
              <w:t>Hallituksen esitys –luonnos (HE-luonnos) toimitetaan asianhallintajärjestelmässä käännettäväksi</w:t>
            </w:r>
            <w:r w:rsidRPr="007F3BC7">
              <w:rPr>
                <w:b/>
                <w:sz w:val="22"/>
                <w:szCs w:val="22"/>
              </w:rPr>
              <w:t xml:space="preserve">. </w:t>
            </w:r>
            <w:r w:rsidRPr="007F3BC7">
              <w:rPr>
                <w:sz w:val="22"/>
                <w:szCs w:val="22"/>
              </w:rPr>
              <w:t>Kääntäjä tallentaa ruotsinkielisen version alkuperäisen asiakirjan kieliversioksi.</w:t>
            </w:r>
            <w:r w:rsidR="00A275D4" w:rsidRPr="007F3BC7">
              <w:rPr>
                <w:sz w:val="22"/>
                <w:szCs w:val="22"/>
              </w:rPr>
              <w:t xml:space="preserve"> Rakenteisen asiakirjan kieliversio tallennetaan rakenteisena asiakirjana.</w:t>
            </w:r>
            <w:r w:rsidRPr="007F3BC7">
              <w:rPr>
                <w:sz w:val="22"/>
                <w:szCs w:val="22"/>
              </w:rPr>
              <w:t xml:space="preserve"> Käännöksen tarkastus ja mahdolliset korjaukset tehdään asianhallinnassa.</w:t>
            </w:r>
          </w:p>
          <w:p w14:paraId="2708AE27" w14:textId="2E0422F9" w:rsidR="00511B83" w:rsidRPr="007F3BC7" w:rsidRDefault="00511B83" w:rsidP="007F3BC7">
            <w:pPr>
              <w:rPr>
                <w:szCs w:val="22"/>
              </w:rPr>
            </w:pPr>
            <w:r w:rsidRPr="007F3BC7">
              <w:rPr>
                <w:szCs w:val="22"/>
              </w:rPr>
              <w:t>Käännöstyön joustavan toteuttamisen edellytys on käännösjärjestelmän huomoiminen prosessissa. Tavoitetilassa käännöstenhallintajärjestelmän ja asianhallintajärjestelmän välillä on integraatio.</w:t>
            </w:r>
          </w:p>
        </w:tc>
      </w:tr>
      <w:tr w:rsidR="00511B83" w:rsidRPr="000F560E" w14:paraId="5FF8CC48" w14:textId="77777777" w:rsidTr="00F31B23">
        <w:trPr>
          <w:trHeight w:val="558"/>
        </w:trPr>
        <w:tc>
          <w:tcPr>
            <w:tcW w:w="4112" w:type="dxa"/>
            <w:shd w:val="clear" w:color="auto" w:fill="D5DCE4"/>
            <w:vAlign w:val="center"/>
          </w:tcPr>
          <w:p w14:paraId="1479A9B5" w14:textId="0D1B48A0" w:rsidR="00511B83" w:rsidRPr="000F560E" w:rsidRDefault="00511B83" w:rsidP="007F3BC7">
            <w:pPr>
              <w:pStyle w:val="Defaul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  <w:r w:rsidRPr="000F56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Jatkovalmistelu</w:t>
            </w:r>
            <w:r w:rsidRPr="007935B6">
              <w:rPr>
                <w:rFonts w:ascii="Times New Roman" w:hAnsi="Times New Roman" w:cs="Times New Roman"/>
                <w:b/>
                <w:strike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D5DCE4"/>
            <w:vAlign w:val="center"/>
          </w:tcPr>
          <w:p w14:paraId="1A70444C" w14:textId="77777777" w:rsidR="00511B83" w:rsidRPr="00936111" w:rsidRDefault="00511B83" w:rsidP="006F21C0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Säädösesityksen valmistelu valtioneuvoston päätöksentekoon ja valtioneuvoston päätöksenteko.</w:t>
            </w:r>
          </w:p>
        </w:tc>
      </w:tr>
      <w:tr w:rsidR="00511B83" w:rsidRPr="000F560E" w14:paraId="34996646" w14:textId="77777777" w:rsidTr="00F31B23">
        <w:trPr>
          <w:trHeight w:val="558"/>
        </w:trPr>
        <w:tc>
          <w:tcPr>
            <w:tcW w:w="4112" w:type="dxa"/>
            <w:vAlign w:val="center"/>
          </w:tcPr>
          <w:p w14:paraId="66C1DA98" w14:textId="77777777" w:rsidR="00511B83" w:rsidRPr="000F560E" w:rsidRDefault="00511B83" w:rsidP="00936111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56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F560E">
              <w:rPr>
                <w:rFonts w:ascii="Times New Roman" w:hAnsi="Times New Roman" w:cs="Times New Roman"/>
                <w:sz w:val="22"/>
                <w:szCs w:val="22"/>
              </w:rPr>
              <w:t xml:space="preserve">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Jatkovalmistelu ja HE:n muokkaaminen</w:t>
            </w:r>
          </w:p>
        </w:tc>
        <w:tc>
          <w:tcPr>
            <w:tcW w:w="6379" w:type="dxa"/>
            <w:vAlign w:val="center"/>
          </w:tcPr>
          <w:p w14:paraId="35EBDD66" w14:textId="77777777" w:rsidR="00511B83" w:rsidRPr="00A275D4" w:rsidRDefault="00511B83" w:rsidP="00D144A2">
            <w:pPr>
              <w:pStyle w:val="NormaaliWWW"/>
              <w:rPr>
                <w:sz w:val="22"/>
                <w:szCs w:val="22"/>
              </w:rPr>
            </w:pPr>
            <w:r w:rsidRPr="00A275D4">
              <w:rPr>
                <w:sz w:val="22"/>
                <w:szCs w:val="22"/>
              </w:rPr>
              <w:t>Hallituksen esitystä muokataan saatujen lausuntojen ja kuulemisien perusteella. Asiakirjojen käsittely tehdään asianhallinnassa tai siihen integroidussa työryhmätilassa.</w:t>
            </w:r>
          </w:p>
        </w:tc>
      </w:tr>
      <w:tr w:rsidR="00511B83" w:rsidRPr="000F560E" w14:paraId="42052EB9" w14:textId="77777777" w:rsidTr="00F31B23">
        <w:trPr>
          <w:trHeight w:val="558"/>
        </w:trPr>
        <w:tc>
          <w:tcPr>
            <w:tcW w:w="4112" w:type="dxa"/>
            <w:vAlign w:val="center"/>
          </w:tcPr>
          <w:p w14:paraId="7BF56B8F" w14:textId="77777777" w:rsidR="00511B83" w:rsidRPr="000F560E" w:rsidRDefault="00511B83" w:rsidP="00627DBE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Pr="000F560E">
              <w:rPr>
                <w:rFonts w:ascii="Times New Roman" w:hAnsi="Times New Roman" w:cs="Times New Roman"/>
                <w:sz w:val="22"/>
                <w:szCs w:val="22"/>
              </w:rPr>
              <w:t xml:space="preserve">.2 Näkemyksen esittäminen </w:t>
            </w:r>
          </w:p>
        </w:tc>
        <w:tc>
          <w:tcPr>
            <w:tcW w:w="6379" w:type="dxa"/>
            <w:vAlign w:val="center"/>
          </w:tcPr>
          <w:p w14:paraId="112C4EE1" w14:textId="53087A6F" w:rsidR="00511B83" w:rsidRPr="007F3BC7" w:rsidRDefault="00511B83" w:rsidP="00825129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Sidosryhmiä kuullaan uudelleen, jos esitykseen tehdään merkittäviä muutoksia</w:t>
            </w:r>
            <w:r w:rsidR="00A275D4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Rakenteisen asiakirjan rakenneosat ovat tarvittaessa hyödynnettävissä tässäkin käsittelyssä esimerkiksi osana julkaisemista, muussa tapauksessa käytetään yleensä rakenteetonta renditioa (pdf)</w:t>
            </w: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Saatu palaute tallennetaan asianhallintaan. </w:t>
            </w:r>
          </w:p>
          <w:p w14:paraId="6BDAC003" w14:textId="6ABDC7E3" w:rsidR="00511B83" w:rsidRPr="007F3BC7" w:rsidRDefault="00511B83" w:rsidP="00ED1C5D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Lainsäädännön arviointineuvosto valitsee hallituksen esitykset, jotka tulevat valtioneuv</w:t>
            </w:r>
            <w:r w:rsidR="006B14D5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ston kanslian yhteydessä olevan arviointineuvoston käsittelyyn. Hallituksen esitys</w:t>
            </w:r>
            <w:r w:rsidR="00886957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-luonnos toimitetaan työnkulun kautta valtioneuvoston kansliaan. Arviointineuvosto on riippumaton ja puolueeton elin, joka koostuu valtioneuvoston yleisistunnon päättämistä jäsenistä.</w:t>
            </w:r>
            <w:r w:rsidR="00886957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Arvioneuvosto ei muuta </w:t>
            </w:r>
            <w:r w:rsidR="001B1D6E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rakentei</w:t>
            </w:r>
            <w:r w:rsidR="00886957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 HE-asiakirjaa, mutta</w:t>
            </w:r>
            <w:r w:rsidR="004079E5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kommentoi ja vertailee eri </w:t>
            </w:r>
            <w:r w:rsidR="004079E5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versioiden sisältöä, erityisesti </w:t>
            </w:r>
            <w:r w:rsidR="007F3BC7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perusteluosia ja </w:t>
            </w:r>
            <w:r w:rsidR="004079E5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säädösosan muutoksia.</w:t>
            </w: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511B83" w:rsidRPr="000F560E" w14:paraId="275BAAE7" w14:textId="77777777" w:rsidTr="00F31B23">
        <w:trPr>
          <w:trHeight w:val="558"/>
        </w:trPr>
        <w:tc>
          <w:tcPr>
            <w:tcW w:w="4112" w:type="dxa"/>
            <w:vAlign w:val="center"/>
          </w:tcPr>
          <w:p w14:paraId="5BDE3DF5" w14:textId="77777777" w:rsidR="00511B83" w:rsidRPr="000F560E" w:rsidRDefault="00511B83" w:rsidP="00CE0488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  <w:r w:rsidRPr="000F560E">
              <w:rPr>
                <w:rFonts w:ascii="Times New Roman" w:hAnsi="Times New Roman" w:cs="Times New Roman"/>
                <w:sz w:val="22"/>
                <w:szCs w:val="22"/>
              </w:rPr>
              <w:t xml:space="preserve">.3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HE:n käännöksen viimeistely</w:t>
            </w:r>
          </w:p>
        </w:tc>
        <w:tc>
          <w:tcPr>
            <w:tcW w:w="6379" w:type="dxa"/>
            <w:vAlign w:val="center"/>
          </w:tcPr>
          <w:p w14:paraId="77FBB62B" w14:textId="29B8AA1A" w:rsidR="00511B83" w:rsidRPr="007F3BC7" w:rsidRDefault="00511B83" w:rsidP="00776C70">
            <w:pPr>
              <w:pStyle w:val="NormaaliWWW"/>
              <w:rPr>
                <w:sz w:val="22"/>
                <w:szCs w:val="22"/>
              </w:rPr>
            </w:pPr>
            <w:r w:rsidRPr="007F3BC7">
              <w:rPr>
                <w:sz w:val="22"/>
                <w:szCs w:val="22"/>
              </w:rPr>
              <w:t>HE:n käännös viimeistellään hyväksyttäväksi versioksi.</w:t>
            </w:r>
            <w:r w:rsidR="002B467D" w:rsidRPr="007F3BC7">
              <w:rPr>
                <w:sz w:val="22"/>
                <w:szCs w:val="22"/>
              </w:rPr>
              <w:t xml:space="preserve"> Rakenteisen asiakirjan kieliversio tallennetaan rakenteisena asiakirjana</w:t>
            </w:r>
          </w:p>
          <w:p w14:paraId="0E888B7B" w14:textId="77777777" w:rsidR="00511B83" w:rsidRPr="007F3BC7" w:rsidRDefault="00511B83" w:rsidP="00776C70">
            <w:pPr>
              <w:pStyle w:val="NormaaliWWW"/>
              <w:rPr>
                <w:sz w:val="22"/>
                <w:szCs w:val="22"/>
              </w:rPr>
            </w:pPr>
            <w:r w:rsidRPr="007F3BC7">
              <w:rPr>
                <w:sz w:val="22"/>
                <w:szCs w:val="22"/>
              </w:rPr>
              <w:t xml:space="preserve">Suppea HE saatetaan kokonaisuudessaan kääntää tässä vaiheessa. </w:t>
            </w:r>
          </w:p>
        </w:tc>
      </w:tr>
      <w:tr w:rsidR="00511B83" w:rsidRPr="000F560E" w14:paraId="51CB95F7" w14:textId="77777777" w:rsidTr="00E20FD6">
        <w:trPr>
          <w:trHeight w:val="558"/>
        </w:trPr>
        <w:tc>
          <w:tcPr>
            <w:tcW w:w="4112" w:type="dxa"/>
            <w:vAlign w:val="center"/>
          </w:tcPr>
          <w:p w14:paraId="02B822C2" w14:textId="11C4D55C" w:rsidR="00511B83" w:rsidRPr="005D65F8" w:rsidRDefault="00511B83" w:rsidP="00CE0488">
            <w:pPr>
              <w:pStyle w:val="Default"/>
              <w:spacing w:before="12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  <w:r w:rsidRPr="000F560E">
              <w:rPr>
                <w:rFonts w:ascii="Times New Roman" w:hAnsi="Times New Roman" w:cs="Times New Roman"/>
                <w:sz w:val="22"/>
                <w:szCs w:val="22"/>
              </w:rPr>
              <w:t>. 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aintarkastus (OM) ja sen aiheuttamat muutokset sekä tekninen </w:t>
            </w: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viimeistely</w:t>
            </w:r>
            <w:r w:rsidR="005D65F8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Muutoksista ilmoittaminen kääntäjille.</w:t>
            </w:r>
          </w:p>
        </w:tc>
        <w:tc>
          <w:tcPr>
            <w:tcW w:w="6379" w:type="dxa"/>
          </w:tcPr>
          <w:p w14:paraId="6D1A20D9" w14:textId="0DAA3E4A" w:rsidR="00511B83" w:rsidRPr="007F3BC7" w:rsidRDefault="00511B83" w:rsidP="00E20FD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Hallituksen esityksen luonnos ja käännös lähetetään </w:t>
            </w:r>
            <w:r w:rsidR="001B1D6E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rakentei</w:t>
            </w:r>
            <w:r w:rsidR="004E6ADA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sina asiakirjoina </w:t>
            </w: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asianhallintajärjestelmässä oikeusministeriön laintarkastusyksikölle tarkastettavaksi. Korjausmerkinnät tehdään </w:t>
            </w:r>
            <w:r w:rsidR="001F4260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muutosmerkintöinä (näkyy muutettu ja poistettu teksti) sekä kommentteina </w:t>
            </w: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suoraan asiakirjaan. Esittelijä tekee</w:t>
            </w:r>
            <w:r w:rsidR="001F4260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tarvittavat</w:t>
            </w: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muutokset asiakirjoihin asianhallinnassa.</w:t>
            </w:r>
          </w:p>
          <w:p w14:paraId="1E6B23C4" w14:textId="16EFE5A3" w:rsidR="00511B83" w:rsidRPr="007F3BC7" w:rsidRDefault="00511B83" w:rsidP="00E20FD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Käännöstoiminto saa tiedon esittelijän tekemistä muutoksista asianhallinnassa</w:t>
            </w:r>
            <w:r w:rsidR="001F4260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ja päivittää käännöksen ajan tasalle sen perusteella. HE ja sen käännös käsitellään edelleen </w:t>
            </w:r>
            <w:r w:rsidR="001B1D6E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rakentei</w:t>
            </w:r>
            <w:r w:rsidR="001F4260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sina asiakirjoina</w:t>
            </w: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0F47D539" w14:textId="77777777" w:rsidR="00511B83" w:rsidRPr="007F3BC7" w:rsidRDefault="00511B83" w:rsidP="00E20FD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B83" w:rsidRPr="000F560E" w14:paraId="1E7E70D7" w14:textId="77777777" w:rsidTr="00F31B23">
        <w:trPr>
          <w:trHeight w:val="558"/>
        </w:trPr>
        <w:tc>
          <w:tcPr>
            <w:tcW w:w="4112" w:type="dxa"/>
            <w:vAlign w:val="center"/>
          </w:tcPr>
          <w:p w14:paraId="0A450FA8" w14:textId="77777777" w:rsidR="00511B83" w:rsidRPr="000F560E" w:rsidRDefault="00511B83" w:rsidP="00CE0488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  <w:r w:rsidRPr="000F560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Esityksen hyväksyminen</w:t>
            </w:r>
          </w:p>
        </w:tc>
        <w:tc>
          <w:tcPr>
            <w:tcW w:w="6379" w:type="dxa"/>
            <w:vAlign w:val="center"/>
          </w:tcPr>
          <w:p w14:paraId="16765B3A" w14:textId="77777777" w:rsidR="00511B83" w:rsidRDefault="00511B83" w:rsidP="00E20FD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0F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Virkamiesjohto hyväksyy HE-luonnoksen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viemisen esittelyyn </w:t>
            </w:r>
            <w:r w:rsidRPr="00CC33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ministeriön työjärjestyksen mukaisesti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55968694" w14:textId="77777777" w:rsidR="00511B83" w:rsidRPr="004A6FFA" w:rsidRDefault="00511B83" w:rsidP="00CC335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A6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Lopullinen HE-luonnos ja käännös ovat asianhallinnassa.</w:t>
            </w:r>
          </w:p>
          <w:p w14:paraId="0AB5B2B0" w14:textId="77777777" w:rsidR="00511B83" w:rsidRDefault="00511B83" w:rsidP="00CC335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94B205" w14:textId="3C24F8B0" w:rsidR="00511B83" w:rsidRPr="00EC6A63" w:rsidRDefault="00511B83" w:rsidP="00CC335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C6A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Tavoitetilassa myös HE-luonnoksen hyväksymismenettely eri ministeriö</w:t>
            </w:r>
            <w:r w:rsidR="00527B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issä tulisi voida yhdenmukaista</w:t>
            </w:r>
            <w:r w:rsidRPr="00EC6A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a.</w:t>
            </w:r>
          </w:p>
        </w:tc>
      </w:tr>
      <w:tr w:rsidR="00511B83" w:rsidRPr="000F560E" w14:paraId="58458C14" w14:textId="77777777" w:rsidTr="00F31B23">
        <w:trPr>
          <w:trHeight w:val="558"/>
        </w:trPr>
        <w:tc>
          <w:tcPr>
            <w:tcW w:w="4112" w:type="dxa"/>
            <w:vAlign w:val="center"/>
          </w:tcPr>
          <w:p w14:paraId="73BBA7DE" w14:textId="0B16A806" w:rsidR="00511B83" w:rsidRPr="007F3BC7" w:rsidRDefault="00511B83" w:rsidP="00776C70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1.2.6. Istunto</w:t>
            </w:r>
            <w:r w:rsidR="00645312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prosess</w:t>
            </w:r>
            <w:r w:rsidR="007F3BC7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</w:p>
        </w:tc>
        <w:tc>
          <w:tcPr>
            <w:tcW w:w="6379" w:type="dxa"/>
            <w:vAlign w:val="center"/>
          </w:tcPr>
          <w:p w14:paraId="0123DF98" w14:textId="39C9C546" w:rsidR="00511B83" w:rsidRPr="007F3BC7" w:rsidRDefault="007F3BC7" w:rsidP="00D144A2">
            <w:pPr>
              <w:pStyle w:val="NormaaliWWW"/>
              <w:rPr>
                <w:sz w:val="22"/>
                <w:szCs w:val="22"/>
              </w:rPr>
            </w:pPr>
            <w:r w:rsidRPr="007F3BC7">
              <w:rPr>
                <w:sz w:val="22"/>
                <w:szCs w:val="22"/>
              </w:rPr>
              <w:t>K</w:t>
            </w:r>
            <w:r w:rsidR="00511B83" w:rsidRPr="007F3BC7">
              <w:rPr>
                <w:sz w:val="22"/>
                <w:szCs w:val="22"/>
              </w:rPr>
              <w:t>s. erillinen istuntokäsittelyn kuvaus</w:t>
            </w:r>
            <w:r w:rsidR="003F563C" w:rsidRPr="007F3BC7">
              <w:rPr>
                <w:sz w:val="22"/>
                <w:szCs w:val="22"/>
              </w:rPr>
              <w:t>, joka sisältää myös kytkennät eduskuntakäsittelyyn</w:t>
            </w:r>
            <w:r w:rsidR="00511B83" w:rsidRPr="007F3BC7">
              <w:rPr>
                <w:sz w:val="22"/>
                <w:szCs w:val="22"/>
              </w:rPr>
              <w:t>.</w:t>
            </w:r>
            <w:r w:rsidR="003F563C" w:rsidRPr="007F3BC7">
              <w:rPr>
                <w:sz w:val="22"/>
                <w:szCs w:val="22"/>
              </w:rPr>
              <w:t xml:space="preserve"> Istunto</w:t>
            </w:r>
            <w:r w:rsidR="00D30051" w:rsidRPr="007F3BC7">
              <w:rPr>
                <w:sz w:val="22"/>
                <w:szCs w:val="22"/>
              </w:rPr>
              <w:t>prosessi</w:t>
            </w:r>
            <w:r w:rsidR="003F563C" w:rsidRPr="007F3BC7">
              <w:rPr>
                <w:sz w:val="22"/>
                <w:szCs w:val="22"/>
              </w:rPr>
              <w:t xml:space="preserve"> sisältää F</w:t>
            </w:r>
            <w:r w:rsidR="008C6217" w:rsidRPr="007F3BC7">
              <w:rPr>
                <w:sz w:val="22"/>
                <w:szCs w:val="22"/>
              </w:rPr>
              <w:t>inlexissä (</w:t>
            </w:r>
            <w:hyperlink r:id="rId13" w:history="1">
              <w:r w:rsidR="008C6217" w:rsidRPr="007F3BC7">
                <w:rPr>
                  <w:rStyle w:val="Hyperlinkki"/>
                  <w:color w:val="auto"/>
                  <w:sz w:val="22"/>
                  <w:szCs w:val="22"/>
                </w:rPr>
                <w:t>http://lainvalmistelu.finlex.fi/</w:t>
              </w:r>
            </w:hyperlink>
            <w:r w:rsidR="008C6217" w:rsidRPr="007F3BC7">
              <w:rPr>
                <w:sz w:val="22"/>
                <w:szCs w:val="22"/>
              </w:rPr>
              <w:t>) kuvatun lainvalmisteluprosessin vaiheet 5-7.</w:t>
            </w:r>
          </w:p>
        </w:tc>
      </w:tr>
      <w:tr w:rsidR="0043501C" w:rsidRPr="000F560E" w14:paraId="1C330900" w14:textId="77777777" w:rsidTr="004A65BE">
        <w:trPr>
          <w:trHeight w:val="558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14:paraId="3765507D" w14:textId="71B6FE52" w:rsidR="0043501C" w:rsidRPr="007F3BC7" w:rsidRDefault="0043501C" w:rsidP="0043501C">
            <w:pPr>
              <w:pStyle w:val="Default"/>
              <w:spacing w:before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F3B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  <w:r w:rsidR="000F0E88" w:rsidRPr="007F3B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Pr="007F3B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Toimeenpano ja seuranta. </w:t>
            </w:r>
            <w:r w:rsidR="003F563C" w:rsidRPr="007F3B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Säädösvalmistelua</w:t>
            </w:r>
            <w:r w:rsidRPr="007F3B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sian päättäminen asianhallinnassa. 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44CD89FA" w14:textId="345DFDC2" w:rsidR="0043501C" w:rsidRPr="007F3BC7" w:rsidRDefault="0043501C" w:rsidP="0043501C">
            <w:pPr>
              <w:spacing w:before="100" w:beforeAutospacing="1" w:after="100" w:afterAutospacing="1"/>
              <w:rPr>
                <w:szCs w:val="22"/>
              </w:rPr>
            </w:pPr>
            <w:r w:rsidRPr="007F3BC7">
              <w:rPr>
                <w:bCs/>
                <w:szCs w:val="22"/>
              </w:rPr>
              <w:t xml:space="preserve">Säädösvalmisteluasian päättäminen </w:t>
            </w:r>
          </w:p>
        </w:tc>
      </w:tr>
      <w:tr w:rsidR="0043501C" w:rsidRPr="000F560E" w14:paraId="524DF482" w14:textId="77777777" w:rsidTr="003F563C">
        <w:trPr>
          <w:trHeight w:val="558"/>
        </w:trPr>
        <w:tc>
          <w:tcPr>
            <w:tcW w:w="4112" w:type="dxa"/>
            <w:shd w:val="clear" w:color="auto" w:fill="auto"/>
            <w:vAlign w:val="center"/>
          </w:tcPr>
          <w:p w14:paraId="6B506A7B" w14:textId="44D27314" w:rsidR="0043501C" w:rsidRPr="007F3BC7" w:rsidRDefault="000F0E88" w:rsidP="0043501C">
            <w:pPr>
              <w:pStyle w:val="Default"/>
              <w:spacing w:before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</w:t>
            </w:r>
            <w:r w:rsidR="0043501C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8C6217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43501C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C6217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Säädösvalmistelua</w:t>
            </w:r>
            <w:r w:rsidR="0043501C" w:rsidRPr="007F3B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sian päättäminen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711D611" w14:textId="639BC7F4" w:rsidR="0043501C" w:rsidRPr="007F3BC7" w:rsidRDefault="0043501C" w:rsidP="0043501C">
            <w:pPr>
              <w:spacing w:before="100" w:beforeAutospacing="1" w:after="100" w:afterAutospacing="1"/>
              <w:rPr>
                <w:szCs w:val="22"/>
              </w:rPr>
            </w:pPr>
            <w:r w:rsidRPr="007F3BC7">
              <w:rPr>
                <w:szCs w:val="22"/>
              </w:rPr>
              <w:t xml:space="preserve">Esittelijä päättää </w:t>
            </w:r>
            <w:r w:rsidR="00715612" w:rsidRPr="007F3BC7">
              <w:rPr>
                <w:szCs w:val="22"/>
              </w:rPr>
              <w:t>asianhallinnassa säädösvalmisteluasi</w:t>
            </w:r>
            <w:r w:rsidRPr="007F3BC7">
              <w:rPr>
                <w:szCs w:val="22"/>
              </w:rPr>
              <w:t>an</w:t>
            </w:r>
            <w:r w:rsidR="00715612" w:rsidRPr="007F3BC7">
              <w:rPr>
                <w:szCs w:val="22"/>
              </w:rPr>
              <w:t xml:space="preserve"> ja päivittää tietoja </w:t>
            </w:r>
            <w:r w:rsidR="007524E0" w:rsidRPr="007F3BC7">
              <w:rPr>
                <w:szCs w:val="22"/>
              </w:rPr>
              <w:t xml:space="preserve">automaattisesti </w:t>
            </w:r>
            <w:r w:rsidR="00715612" w:rsidRPr="007F3BC7">
              <w:rPr>
                <w:szCs w:val="22"/>
              </w:rPr>
              <w:t>hankeikkunaan</w:t>
            </w:r>
            <w:r w:rsidR="007524E0" w:rsidRPr="007F3BC7">
              <w:rPr>
                <w:szCs w:val="22"/>
              </w:rPr>
              <w:t xml:space="preserve"> (mm. säädösnumero) integraation kautta</w:t>
            </w:r>
            <w:r w:rsidRPr="007F3BC7">
              <w:rPr>
                <w:szCs w:val="22"/>
              </w:rPr>
              <w:t>.</w:t>
            </w:r>
            <w:r w:rsidR="00715612" w:rsidRPr="007F3BC7">
              <w:rPr>
                <w:szCs w:val="22"/>
              </w:rPr>
              <w:t xml:space="preserve"> </w:t>
            </w:r>
          </w:p>
        </w:tc>
      </w:tr>
      <w:tr w:rsidR="0043501C" w:rsidRPr="000F560E" w14:paraId="70DB468C" w14:textId="77777777" w:rsidTr="004A65BE">
        <w:trPr>
          <w:trHeight w:val="558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14:paraId="63159509" w14:textId="2E0DE15B" w:rsidR="0043501C" w:rsidRDefault="000F0E88" w:rsidP="0043501C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7F3B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.4</w:t>
            </w:r>
            <w:r w:rsidR="0043501C" w:rsidRPr="004A65BE">
              <w:rPr>
                <w:rFonts w:ascii="Times New Roman" w:hAnsi="Times New Roman" w:cs="Times New Roman"/>
                <w:b/>
                <w:sz w:val="22"/>
                <w:szCs w:val="22"/>
              </w:rPr>
              <w:t>. Arviointi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4E0354DB" w14:textId="77777777" w:rsidR="0043501C" w:rsidRDefault="0043501C" w:rsidP="0043501C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Säädösten vaikutusten seurantaa varten voidaan perustaa esim. työryhmä. Seurantaan liittyvät asiat avataan uutena asiana järjestelmässä. Seurannan ja säädösvalmistelu välillä tulee kuitenkin olla vahva linkitys, jotta kokonaisuuksien seuraaminen on mahdollista.</w:t>
            </w:r>
          </w:p>
        </w:tc>
      </w:tr>
      <w:tr w:rsidR="0043501C" w:rsidRPr="000F560E" w14:paraId="1BAE871F" w14:textId="77777777" w:rsidTr="00F31B23">
        <w:trPr>
          <w:trHeight w:val="558"/>
        </w:trPr>
        <w:tc>
          <w:tcPr>
            <w:tcW w:w="4112" w:type="dxa"/>
            <w:vAlign w:val="center"/>
          </w:tcPr>
          <w:p w14:paraId="272E65C4" w14:textId="77777777" w:rsidR="0043501C" w:rsidRDefault="0043501C" w:rsidP="0043501C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3A02E240" w14:textId="77777777" w:rsidR="0043501C" w:rsidRDefault="0043501C" w:rsidP="0043501C">
            <w:pPr>
              <w:spacing w:before="100" w:beforeAutospacing="1" w:after="100" w:afterAutospacing="1"/>
              <w:rPr>
                <w:szCs w:val="22"/>
              </w:rPr>
            </w:pPr>
          </w:p>
        </w:tc>
      </w:tr>
    </w:tbl>
    <w:p w14:paraId="118269E2" w14:textId="77777777" w:rsidR="00776C70" w:rsidRDefault="00776C70">
      <w:pPr>
        <w:rPr>
          <w:szCs w:val="22"/>
        </w:rPr>
      </w:pPr>
    </w:p>
    <w:p w14:paraId="5324D0BA" w14:textId="77777777" w:rsidR="00776C70" w:rsidRDefault="00776C70">
      <w:pPr>
        <w:rPr>
          <w:szCs w:val="22"/>
        </w:rPr>
      </w:pPr>
    </w:p>
    <w:sectPr w:rsidR="00776C70" w:rsidSect="00025CD8">
      <w:head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CB720" w14:textId="77777777" w:rsidR="00BD49E9" w:rsidRDefault="00BD49E9">
      <w:r>
        <w:separator/>
      </w:r>
    </w:p>
  </w:endnote>
  <w:endnote w:type="continuationSeparator" w:id="0">
    <w:p w14:paraId="171A02B2" w14:textId="77777777" w:rsidR="00BD49E9" w:rsidRDefault="00BD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616C5" w14:textId="77777777" w:rsidR="00BD49E9" w:rsidRDefault="00BD49E9">
      <w:r>
        <w:separator/>
      </w:r>
    </w:p>
  </w:footnote>
  <w:footnote w:type="continuationSeparator" w:id="0">
    <w:p w14:paraId="1E45D53E" w14:textId="77777777" w:rsidR="00BD49E9" w:rsidRDefault="00BD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28370"/>
      <w:docPartObj>
        <w:docPartGallery w:val="Page Numbers (Top of Page)"/>
        <w:docPartUnique/>
      </w:docPartObj>
    </w:sdtPr>
    <w:sdtEndPr/>
    <w:sdtContent>
      <w:p w14:paraId="399E9DAE" w14:textId="6732798E" w:rsidR="002D345B" w:rsidRDefault="002D345B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B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13E93D" w14:textId="77777777" w:rsidR="002D345B" w:rsidRDefault="002D345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892"/>
    <w:multiLevelType w:val="multilevel"/>
    <w:tmpl w:val="8A7AC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CC4B71"/>
    <w:multiLevelType w:val="hybridMultilevel"/>
    <w:tmpl w:val="D89ED2A0"/>
    <w:lvl w:ilvl="0" w:tplc="111E23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429DF"/>
    <w:multiLevelType w:val="multilevel"/>
    <w:tmpl w:val="0272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A6612"/>
    <w:multiLevelType w:val="hybridMultilevel"/>
    <w:tmpl w:val="34E0D860"/>
    <w:lvl w:ilvl="0" w:tplc="040B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018DE"/>
    <w:multiLevelType w:val="multilevel"/>
    <w:tmpl w:val="6436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85E44"/>
    <w:multiLevelType w:val="multilevel"/>
    <w:tmpl w:val="2A7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37D0E"/>
    <w:multiLevelType w:val="multilevel"/>
    <w:tmpl w:val="AF3E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F327C"/>
    <w:multiLevelType w:val="multilevel"/>
    <w:tmpl w:val="F7B2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82170"/>
    <w:multiLevelType w:val="multilevel"/>
    <w:tmpl w:val="082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D7F2C"/>
    <w:multiLevelType w:val="hybridMultilevel"/>
    <w:tmpl w:val="306C0C3E"/>
    <w:lvl w:ilvl="0" w:tplc="040B001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B001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9C4522"/>
    <w:multiLevelType w:val="multilevel"/>
    <w:tmpl w:val="BD38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92EC2"/>
    <w:multiLevelType w:val="hybridMultilevel"/>
    <w:tmpl w:val="A91AFDD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A2DE7"/>
    <w:multiLevelType w:val="hybridMultilevel"/>
    <w:tmpl w:val="3C2CF5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D59F9"/>
    <w:multiLevelType w:val="hybridMultilevel"/>
    <w:tmpl w:val="83143620"/>
    <w:lvl w:ilvl="0" w:tplc="5A12F4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D37FB"/>
    <w:multiLevelType w:val="multilevel"/>
    <w:tmpl w:val="B7A0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04827"/>
    <w:multiLevelType w:val="multilevel"/>
    <w:tmpl w:val="64C2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564DE"/>
    <w:multiLevelType w:val="multilevel"/>
    <w:tmpl w:val="3880E48C"/>
    <w:lvl w:ilvl="0">
      <w:start w:val="1"/>
      <w:numFmt w:val="decimal"/>
      <w:pStyle w:val="JhsN1Otsikkotaso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JhsN2Otsikkotaso"/>
      <w:isLgl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JhsN3Otsikkotaso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JhsN4Otsikkotaso"/>
      <w:isLgl/>
      <w:lvlText w:val="%1.%2.%3.%4"/>
      <w:lvlJc w:val="left"/>
      <w:pPr>
        <w:tabs>
          <w:tab w:val="num" w:pos="1077"/>
        </w:tabs>
        <w:ind w:left="1077" w:hanging="1077"/>
      </w:pPr>
    </w:lvl>
    <w:lvl w:ilvl="4">
      <w:start w:val="1"/>
      <w:numFmt w:val="decimal"/>
      <w:pStyle w:val="JhsN5Otsikkotaso"/>
      <w:lvlText w:val="%1.%2.%3.%4.%5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pStyle w:val="JhsN6Otsikkotaso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7">
    <w:nsid w:val="4E1240CE"/>
    <w:multiLevelType w:val="hybridMultilevel"/>
    <w:tmpl w:val="D6D668D6"/>
    <w:lvl w:ilvl="0" w:tplc="90024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A794D"/>
    <w:multiLevelType w:val="hybridMultilevel"/>
    <w:tmpl w:val="BB3ECA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A7FBF"/>
    <w:multiLevelType w:val="hybridMultilevel"/>
    <w:tmpl w:val="2C5088C0"/>
    <w:lvl w:ilvl="0" w:tplc="040B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A715F"/>
    <w:multiLevelType w:val="multilevel"/>
    <w:tmpl w:val="1DD6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E0216E"/>
    <w:multiLevelType w:val="hybridMultilevel"/>
    <w:tmpl w:val="54E2BFD2"/>
    <w:lvl w:ilvl="0" w:tplc="170A4B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77B26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FA5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A1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20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A88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ED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87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5C1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D2B80"/>
    <w:multiLevelType w:val="multilevel"/>
    <w:tmpl w:val="F5CA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296FD3"/>
    <w:multiLevelType w:val="hybridMultilevel"/>
    <w:tmpl w:val="42F66D54"/>
    <w:lvl w:ilvl="0" w:tplc="040B001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6E4CAD"/>
    <w:multiLevelType w:val="multilevel"/>
    <w:tmpl w:val="985C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E6499A"/>
    <w:multiLevelType w:val="multilevel"/>
    <w:tmpl w:val="98D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390288"/>
    <w:multiLevelType w:val="multilevel"/>
    <w:tmpl w:val="AF82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D413D4"/>
    <w:multiLevelType w:val="multilevel"/>
    <w:tmpl w:val="B45A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8B44E4"/>
    <w:multiLevelType w:val="hybridMultilevel"/>
    <w:tmpl w:val="4CACEF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9"/>
  </w:num>
  <w:num w:numId="5">
    <w:abstractNumId w:val="21"/>
  </w:num>
  <w:num w:numId="6">
    <w:abstractNumId w:val="9"/>
  </w:num>
  <w:num w:numId="7">
    <w:abstractNumId w:val="23"/>
  </w:num>
  <w:num w:numId="8">
    <w:abstractNumId w:val="17"/>
  </w:num>
  <w:num w:numId="9">
    <w:abstractNumId w:val="0"/>
  </w:num>
  <w:num w:numId="10">
    <w:abstractNumId w:val="2"/>
  </w:num>
  <w:num w:numId="11">
    <w:abstractNumId w:val="7"/>
  </w:num>
  <w:num w:numId="12">
    <w:abstractNumId w:val="25"/>
  </w:num>
  <w:num w:numId="13">
    <w:abstractNumId w:val="22"/>
  </w:num>
  <w:num w:numId="14">
    <w:abstractNumId w:val="5"/>
  </w:num>
  <w:num w:numId="15">
    <w:abstractNumId w:val="14"/>
  </w:num>
  <w:num w:numId="16">
    <w:abstractNumId w:val="24"/>
  </w:num>
  <w:num w:numId="17">
    <w:abstractNumId w:val="27"/>
  </w:num>
  <w:num w:numId="18">
    <w:abstractNumId w:val="8"/>
  </w:num>
  <w:num w:numId="19">
    <w:abstractNumId w:val="10"/>
  </w:num>
  <w:num w:numId="20">
    <w:abstractNumId w:val="20"/>
  </w:num>
  <w:num w:numId="21">
    <w:abstractNumId w:val="15"/>
  </w:num>
  <w:num w:numId="22">
    <w:abstractNumId w:val="6"/>
  </w:num>
  <w:num w:numId="23">
    <w:abstractNumId w:val="26"/>
  </w:num>
  <w:num w:numId="24">
    <w:abstractNumId w:val="4"/>
  </w:num>
  <w:num w:numId="25">
    <w:abstractNumId w:val="18"/>
  </w:num>
  <w:num w:numId="26">
    <w:abstractNumId w:val="12"/>
  </w:num>
  <w:num w:numId="27">
    <w:abstractNumId w:val="28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3A"/>
    <w:rsid w:val="000015A8"/>
    <w:rsid w:val="000051FF"/>
    <w:rsid w:val="000112B7"/>
    <w:rsid w:val="000170F7"/>
    <w:rsid w:val="000223E8"/>
    <w:rsid w:val="00024D2E"/>
    <w:rsid w:val="00025CD8"/>
    <w:rsid w:val="000352F5"/>
    <w:rsid w:val="000372D6"/>
    <w:rsid w:val="00037C11"/>
    <w:rsid w:val="0004541D"/>
    <w:rsid w:val="0005442F"/>
    <w:rsid w:val="00056F17"/>
    <w:rsid w:val="000603EA"/>
    <w:rsid w:val="0006342A"/>
    <w:rsid w:val="000778D1"/>
    <w:rsid w:val="00084B7F"/>
    <w:rsid w:val="0008663A"/>
    <w:rsid w:val="00087807"/>
    <w:rsid w:val="000A687C"/>
    <w:rsid w:val="000C1644"/>
    <w:rsid w:val="000C327F"/>
    <w:rsid w:val="000C6D4B"/>
    <w:rsid w:val="000D267B"/>
    <w:rsid w:val="000D4117"/>
    <w:rsid w:val="000D7E2A"/>
    <w:rsid w:val="000F0E88"/>
    <w:rsid w:val="000F1AA4"/>
    <w:rsid w:val="000F560E"/>
    <w:rsid w:val="00101E25"/>
    <w:rsid w:val="001047CB"/>
    <w:rsid w:val="00105795"/>
    <w:rsid w:val="00112EEC"/>
    <w:rsid w:val="001137F7"/>
    <w:rsid w:val="0012544E"/>
    <w:rsid w:val="001302AE"/>
    <w:rsid w:val="00136AC2"/>
    <w:rsid w:val="00143418"/>
    <w:rsid w:val="00145673"/>
    <w:rsid w:val="00146E2F"/>
    <w:rsid w:val="00147A6A"/>
    <w:rsid w:val="0016154C"/>
    <w:rsid w:val="00161D9F"/>
    <w:rsid w:val="00170C92"/>
    <w:rsid w:val="00172B51"/>
    <w:rsid w:val="001751A6"/>
    <w:rsid w:val="00181D1A"/>
    <w:rsid w:val="00191AFA"/>
    <w:rsid w:val="0019217A"/>
    <w:rsid w:val="001A0E95"/>
    <w:rsid w:val="001B1D6E"/>
    <w:rsid w:val="001B6F4D"/>
    <w:rsid w:val="001C7FDD"/>
    <w:rsid w:val="001D1C2B"/>
    <w:rsid w:val="001D479C"/>
    <w:rsid w:val="001E388D"/>
    <w:rsid w:val="001E3AF3"/>
    <w:rsid w:val="001F4260"/>
    <w:rsid w:val="001F7792"/>
    <w:rsid w:val="00207414"/>
    <w:rsid w:val="002142E9"/>
    <w:rsid w:val="00214AC5"/>
    <w:rsid w:val="00214AFA"/>
    <w:rsid w:val="002202FA"/>
    <w:rsid w:val="00233BDB"/>
    <w:rsid w:val="00241C89"/>
    <w:rsid w:val="00242C02"/>
    <w:rsid w:val="00244FFA"/>
    <w:rsid w:val="0024711B"/>
    <w:rsid w:val="00256711"/>
    <w:rsid w:val="00267307"/>
    <w:rsid w:val="002759B3"/>
    <w:rsid w:val="002849B2"/>
    <w:rsid w:val="0028786A"/>
    <w:rsid w:val="002A48F3"/>
    <w:rsid w:val="002A51E8"/>
    <w:rsid w:val="002A5D77"/>
    <w:rsid w:val="002A6811"/>
    <w:rsid w:val="002B12EB"/>
    <w:rsid w:val="002B467D"/>
    <w:rsid w:val="002B6916"/>
    <w:rsid w:val="002B70D6"/>
    <w:rsid w:val="002B7BE2"/>
    <w:rsid w:val="002C15EE"/>
    <w:rsid w:val="002C58E1"/>
    <w:rsid w:val="002D345B"/>
    <w:rsid w:val="002D59B5"/>
    <w:rsid w:val="002E151D"/>
    <w:rsid w:val="002E1B06"/>
    <w:rsid w:val="002E6B8A"/>
    <w:rsid w:val="00302B3F"/>
    <w:rsid w:val="003045EF"/>
    <w:rsid w:val="0031781C"/>
    <w:rsid w:val="00320DBD"/>
    <w:rsid w:val="00326951"/>
    <w:rsid w:val="0033770A"/>
    <w:rsid w:val="00344C6D"/>
    <w:rsid w:val="00345799"/>
    <w:rsid w:val="00346107"/>
    <w:rsid w:val="003464C2"/>
    <w:rsid w:val="003522F4"/>
    <w:rsid w:val="00352589"/>
    <w:rsid w:val="00361227"/>
    <w:rsid w:val="0036561B"/>
    <w:rsid w:val="003734DB"/>
    <w:rsid w:val="0037444B"/>
    <w:rsid w:val="00382B33"/>
    <w:rsid w:val="003A66D1"/>
    <w:rsid w:val="003B5A11"/>
    <w:rsid w:val="003B5F0D"/>
    <w:rsid w:val="003C2924"/>
    <w:rsid w:val="003C2B9D"/>
    <w:rsid w:val="003C4EBA"/>
    <w:rsid w:val="003C733C"/>
    <w:rsid w:val="003D41F9"/>
    <w:rsid w:val="003D7632"/>
    <w:rsid w:val="003E2321"/>
    <w:rsid w:val="003E4ECD"/>
    <w:rsid w:val="003E60F7"/>
    <w:rsid w:val="003F372C"/>
    <w:rsid w:val="003F563C"/>
    <w:rsid w:val="00405E6F"/>
    <w:rsid w:val="004079E5"/>
    <w:rsid w:val="004169F3"/>
    <w:rsid w:val="00433B5D"/>
    <w:rsid w:val="0043501C"/>
    <w:rsid w:val="00451E71"/>
    <w:rsid w:val="00453896"/>
    <w:rsid w:val="00456E27"/>
    <w:rsid w:val="00471693"/>
    <w:rsid w:val="00472520"/>
    <w:rsid w:val="00477D62"/>
    <w:rsid w:val="00497A82"/>
    <w:rsid w:val="004A3B2D"/>
    <w:rsid w:val="004A4697"/>
    <w:rsid w:val="004A65BE"/>
    <w:rsid w:val="004A6FFA"/>
    <w:rsid w:val="004B1215"/>
    <w:rsid w:val="004B5B94"/>
    <w:rsid w:val="004B7A9B"/>
    <w:rsid w:val="004C1E7A"/>
    <w:rsid w:val="004C513C"/>
    <w:rsid w:val="004D09CD"/>
    <w:rsid w:val="004D1592"/>
    <w:rsid w:val="004D5C20"/>
    <w:rsid w:val="004D70DA"/>
    <w:rsid w:val="004E6ADA"/>
    <w:rsid w:val="004E7392"/>
    <w:rsid w:val="004E76A8"/>
    <w:rsid w:val="004F21D9"/>
    <w:rsid w:val="004F647C"/>
    <w:rsid w:val="00511B83"/>
    <w:rsid w:val="00514752"/>
    <w:rsid w:val="00517793"/>
    <w:rsid w:val="00521C12"/>
    <w:rsid w:val="00521E7B"/>
    <w:rsid w:val="0052260E"/>
    <w:rsid w:val="00527BB7"/>
    <w:rsid w:val="00536734"/>
    <w:rsid w:val="0054096B"/>
    <w:rsid w:val="00557A70"/>
    <w:rsid w:val="00560B3E"/>
    <w:rsid w:val="00564897"/>
    <w:rsid w:val="00566C8F"/>
    <w:rsid w:val="0057059C"/>
    <w:rsid w:val="00587C9E"/>
    <w:rsid w:val="005938DA"/>
    <w:rsid w:val="005A5DD3"/>
    <w:rsid w:val="005A73D1"/>
    <w:rsid w:val="005B64A4"/>
    <w:rsid w:val="005C1AED"/>
    <w:rsid w:val="005C5DC7"/>
    <w:rsid w:val="005D65F8"/>
    <w:rsid w:val="00605EC6"/>
    <w:rsid w:val="00627DBE"/>
    <w:rsid w:val="00633332"/>
    <w:rsid w:val="00645312"/>
    <w:rsid w:val="0065239B"/>
    <w:rsid w:val="00657A75"/>
    <w:rsid w:val="00661951"/>
    <w:rsid w:val="00662E94"/>
    <w:rsid w:val="006724BA"/>
    <w:rsid w:val="00672AA4"/>
    <w:rsid w:val="00672FC2"/>
    <w:rsid w:val="006757BD"/>
    <w:rsid w:val="00682583"/>
    <w:rsid w:val="0068259C"/>
    <w:rsid w:val="00682755"/>
    <w:rsid w:val="00682CCB"/>
    <w:rsid w:val="00686686"/>
    <w:rsid w:val="00687918"/>
    <w:rsid w:val="0069055C"/>
    <w:rsid w:val="00691F28"/>
    <w:rsid w:val="006A7AEC"/>
    <w:rsid w:val="006B14D5"/>
    <w:rsid w:val="006C20DA"/>
    <w:rsid w:val="006C2169"/>
    <w:rsid w:val="006C4AF6"/>
    <w:rsid w:val="006D33FC"/>
    <w:rsid w:val="006D687D"/>
    <w:rsid w:val="006D692F"/>
    <w:rsid w:val="006D6B92"/>
    <w:rsid w:val="006E0D90"/>
    <w:rsid w:val="006E52DF"/>
    <w:rsid w:val="006E5EF3"/>
    <w:rsid w:val="006E7596"/>
    <w:rsid w:val="006F21C0"/>
    <w:rsid w:val="007025DC"/>
    <w:rsid w:val="00712C03"/>
    <w:rsid w:val="00715612"/>
    <w:rsid w:val="00716C20"/>
    <w:rsid w:val="0071786D"/>
    <w:rsid w:val="00721F24"/>
    <w:rsid w:val="00740914"/>
    <w:rsid w:val="00745D56"/>
    <w:rsid w:val="007524E0"/>
    <w:rsid w:val="00767B7E"/>
    <w:rsid w:val="00773D22"/>
    <w:rsid w:val="00776C70"/>
    <w:rsid w:val="00777BA6"/>
    <w:rsid w:val="007805A7"/>
    <w:rsid w:val="007854AC"/>
    <w:rsid w:val="007935B6"/>
    <w:rsid w:val="0079738E"/>
    <w:rsid w:val="007A794B"/>
    <w:rsid w:val="007B02E9"/>
    <w:rsid w:val="007B6AEC"/>
    <w:rsid w:val="007C501F"/>
    <w:rsid w:val="007C781D"/>
    <w:rsid w:val="007D7648"/>
    <w:rsid w:val="007E2DA4"/>
    <w:rsid w:val="007E4C44"/>
    <w:rsid w:val="007E7793"/>
    <w:rsid w:val="007F0782"/>
    <w:rsid w:val="007F3BC7"/>
    <w:rsid w:val="007F541F"/>
    <w:rsid w:val="007F7B25"/>
    <w:rsid w:val="00800CCD"/>
    <w:rsid w:val="00801800"/>
    <w:rsid w:val="00807485"/>
    <w:rsid w:val="00825129"/>
    <w:rsid w:val="00831A1A"/>
    <w:rsid w:val="00832C70"/>
    <w:rsid w:val="0084132E"/>
    <w:rsid w:val="00846960"/>
    <w:rsid w:val="00873E06"/>
    <w:rsid w:val="0087522C"/>
    <w:rsid w:val="0088461D"/>
    <w:rsid w:val="008859AE"/>
    <w:rsid w:val="008868CE"/>
    <w:rsid w:val="00886957"/>
    <w:rsid w:val="0088780C"/>
    <w:rsid w:val="00896D52"/>
    <w:rsid w:val="008B0501"/>
    <w:rsid w:val="008C6217"/>
    <w:rsid w:val="008D10F7"/>
    <w:rsid w:val="008E4224"/>
    <w:rsid w:val="008F108D"/>
    <w:rsid w:val="008F61FF"/>
    <w:rsid w:val="008F6FCB"/>
    <w:rsid w:val="0090371D"/>
    <w:rsid w:val="00905434"/>
    <w:rsid w:val="00911E2C"/>
    <w:rsid w:val="00914180"/>
    <w:rsid w:val="00923489"/>
    <w:rsid w:val="00936111"/>
    <w:rsid w:val="0093746C"/>
    <w:rsid w:val="009424D7"/>
    <w:rsid w:val="00945BC8"/>
    <w:rsid w:val="00955DA1"/>
    <w:rsid w:val="00960957"/>
    <w:rsid w:val="009645C9"/>
    <w:rsid w:val="00976196"/>
    <w:rsid w:val="0097638F"/>
    <w:rsid w:val="00980C94"/>
    <w:rsid w:val="00987269"/>
    <w:rsid w:val="00990151"/>
    <w:rsid w:val="00990B2C"/>
    <w:rsid w:val="009A31B9"/>
    <w:rsid w:val="009A4B1A"/>
    <w:rsid w:val="009A709F"/>
    <w:rsid w:val="009A7C94"/>
    <w:rsid w:val="009A7D96"/>
    <w:rsid w:val="009B2F81"/>
    <w:rsid w:val="009C0065"/>
    <w:rsid w:val="009C66C4"/>
    <w:rsid w:val="009C70A1"/>
    <w:rsid w:val="00A020C0"/>
    <w:rsid w:val="00A06A75"/>
    <w:rsid w:val="00A25578"/>
    <w:rsid w:val="00A275D4"/>
    <w:rsid w:val="00A32D98"/>
    <w:rsid w:val="00A32DBD"/>
    <w:rsid w:val="00A43674"/>
    <w:rsid w:val="00A65F30"/>
    <w:rsid w:val="00A66154"/>
    <w:rsid w:val="00A71393"/>
    <w:rsid w:val="00A72861"/>
    <w:rsid w:val="00A75D0D"/>
    <w:rsid w:val="00A8199D"/>
    <w:rsid w:val="00A83587"/>
    <w:rsid w:val="00A93E09"/>
    <w:rsid w:val="00A97D15"/>
    <w:rsid w:val="00AA0F8D"/>
    <w:rsid w:val="00AA47B4"/>
    <w:rsid w:val="00AB17E5"/>
    <w:rsid w:val="00AB58B5"/>
    <w:rsid w:val="00AB640A"/>
    <w:rsid w:val="00AC0AC3"/>
    <w:rsid w:val="00AC3BCF"/>
    <w:rsid w:val="00AC3E2C"/>
    <w:rsid w:val="00AC5002"/>
    <w:rsid w:val="00AD586D"/>
    <w:rsid w:val="00AD7DAA"/>
    <w:rsid w:val="00AE2206"/>
    <w:rsid w:val="00AF5AE8"/>
    <w:rsid w:val="00AF7380"/>
    <w:rsid w:val="00B06DB9"/>
    <w:rsid w:val="00B10D4D"/>
    <w:rsid w:val="00B13119"/>
    <w:rsid w:val="00B205F3"/>
    <w:rsid w:val="00B34364"/>
    <w:rsid w:val="00B36CCD"/>
    <w:rsid w:val="00B52A70"/>
    <w:rsid w:val="00B56BFB"/>
    <w:rsid w:val="00B6307D"/>
    <w:rsid w:val="00B65A28"/>
    <w:rsid w:val="00B77EB5"/>
    <w:rsid w:val="00B870F7"/>
    <w:rsid w:val="00B93F24"/>
    <w:rsid w:val="00B96F2C"/>
    <w:rsid w:val="00BB105C"/>
    <w:rsid w:val="00BB2C51"/>
    <w:rsid w:val="00BC1A02"/>
    <w:rsid w:val="00BD49E9"/>
    <w:rsid w:val="00BD788C"/>
    <w:rsid w:val="00BE70F9"/>
    <w:rsid w:val="00BF0995"/>
    <w:rsid w:val="00BF124E"/>
    <w:rsid w:val="00C10674"/>
    <w:rsid w:val="00C10CD1"/>
    <w:rsid w:val="00C11184"/>
    <w:rsid w:val="00C3175B"/>
    <w:rsid w:val="00C32CA8"/>
    <w:rsid w:val="00C351AC"/>
    <w:rsid w:val="00C46589"/>
    <w:rsid w:val="00C501D3"/>
    <w:rsid w:val="00C5225E"/>
    <w:rsid w:val="00C601C6"/>
    <w:rsid w:val="00C65856"/>
    <w:rsid w:val="00C755DB"/>
    <w:rsid w:val="00C77C6D"/>
    <w:rsid w:val="00C8301C"/>
    <w:rsid w:val="00C96D23"/>
    <w:rsid w:val="00CA0CA0"/>
    <w:rsid w:val="00CC335C"/>
    <w:rsid w:val="00CD33AD"/>
    <w:rsid w:val="00CD667F"/>
    <w:rsid w:val="00CD6CEC"/>
    <w:rsid w:val="00CE0488"/>
    <w:rsid w:val="00CE0712"/>
    <w:rsid w:val="00CE2BCB"/>
    <w:rsid w:val="00CE672A"/>
    <w:rsid w:val="00CF28C3"/>
    <w:rsid w:val="00CF38B9"/>
    <w:rsid w:val="00CF7005"/>
    <w:rsid w:val="00D01392"/>
    <w:rsid w:val="00D144A2"/>
    <w:rsid w:val="00D30051"/>
    <w:rsid w:val="00D40758"/>
    <w:rsid w:val="00D453B2"/>
    <w:rsid w:val="00D4743E"/>
    <w:rsid w:val="00D51370"/>
    <w:rsid w:val="00D653B9"/>
    <w:rsid w:val="00D9000B"/>
    <w:rsid w:val="00D932BC"/>
    <w:rsid w:val="00DA1C3E"/>
    <w:rsid w:val="00DA2746"/>
    <w:rsid w:val="00DA7132"/>
    <w:rsid w:val="00DC1EF9"/>
    <w:rsid w:val="00DC55D6"/>
    <w:rsid w:val="00DC7821"/>
    <w:rsid w:val="00DC79D4"/>
    <w:rsid w:val="00DC7A30"/>
    <w:rsid w:val="00DD3C85"/>
    <w:rsid w:val="00DE4FC2"/>
    <w:rsid w:val="00DF37F1"/>
    <w:rsid w:val="00DF5262"/>
    <w:rsid w:val="00DF62FB"/>
    <w:rsid w:val="00E02461"/>
    <w:rsid w:val="00E033C2"/>
    <w:rsid w:val="00E044CA"/>
    <w:rsid w:val="00E154AB"/>
    <w:rsid w:val="00E17029"/>
    <w:rsid w:val="00E20FD6"/>
    <w:rsid w:val="00E32404"/>
    <w:rsid w:val="00E34805"/>
    <w:rsid w:val="00E50B94"/>
    <w:rsid w:val="00E5466D"/>
    <w:rsid w:val="00E5543E"/>
    <w:rsid w:val="00E60B97"/>
    <w:rsid w:val="00E721C7"/>
    <w:rsid w:val="00E809F6"/>
    <w:rsid w:val="00E86436"/>
    <w:rsid w:val="00E86DED"/>
    <w:rsid w:val="00EA20A7"/>
    <w:rsid w:val="00EB20A4"/>
    <w:rsid w:val="00EB4D4D"/>
    <w:rsid w:val="00EC6A63"/>
    <w:rsid w:val="00ED11B8"/>
    <w:rsid w:val="00ED1C5D"/>
    <w:rsid w:val="00ED3DC2"/>
    <w:rsid w:val="00ED648D"/>
    <w:rsid w:val="00EF20F4"/>
    <w:rsid w:val="00EF27C4"/>
    <w:rsid w:val="00F0362B"/>
    <w:rsid w:val="00F04B79"/>
    <w:rsid w:val="00F102E7"/>
    <w:rsid w:val="00F1372A"/>
    <w:rsid w:val="00F14780"/>
    <w:rsid w:val="00F20C1E"/>
    <w:rsid w:val="00F21AE1"/>
    <w:rsid w:val="00F221A7"/>
    <w:rsid w:val="00F31B23"/>
    <w:rsid w:val="00F335E9"/>
    <w:rsid w:val="00F51008"/>
    <w:rsid w:val="00F615F7"/>
    <w:rsid w:val="00F62E4D"/>
    <w:rsid w:val="00F6333D"/>
    <w:rsid w:val="00F65C5C"/>
    <w:rsid w:val="00F74E69"/>
    <w:rsid w:val="00F809C9"/>
    <w:rsid w:val="00F87EB8"/>
    <w:rsid w:val="00F93B11"/>
    <w:rsid w:val="00F959FD"/>
    <w:rsid w:val="00FA5197"/>
    <w:rsid w:val="00FA527A"/>
    <w:rsid w:val="00FB3E3D"/>
    <w:rsid w:val="00FB700C"/>
    <w:rsid w:val="00FC4A08"/>
    <w:rsid w:val="00FC779D"/>
    <w:rsid w:val="00FD3322"/>
    <w:rsid w:val="00FE2E72"/>
    <w:rsid w:val="00FE5C03"/>
    <w:rsid w:val="00FE6CCB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4F8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8663A"/>
    <w:rPr>
      <w:sz w:val="22"/>
      <w:szCs w:val="24"/>
    </w:rPr>
  </w:style>
  <w:style w:type="paragraph" w:styleId="Otsikko2">
    <w:name w:val="heading 2"/>
    <w:basedOn w:val="Normaali"/>
    <w:link w:val="Otsikko2Char"/>
    <w:uiPriority w:val="9"/>
    <w:qFormat/>
    <w:rsid w:val="00777B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JhsN1Otsikkotaso">
    <w:name w:val="JhsN1Otsikkotaso"/>
    <w:next w:val="Normaali"/>
    <w:rsid w:val="0008663A"/>
    <w:pPr>
      <w:keepNext/>
      <w:numPr>
        <w:numId w:val="1"/>
      </w:numPr>
      <w:spacing w:after="220" w:line="280" w:lineRule="atLeast"/>
      <w:outlineLvl w:val="0"/>
    </w:pPr>
    <w:rPr>
      <w:b/>
      <w:sz w:val="28"/>
      <w:lang w:eastAsia="en-US"/>
    </w:rPr>
  </w:style>
  <w:style w:type="paragraph" w:customStyle="1" w:styleId="JhsN2Otsikkotaso">
    <w:name w:val="JhsN2Otsikkotaso"/>
    <w:next w:val="Normaali"/>
    <w:rsid w:val="0008663A"/>
    <w:pPr>
      <w:keepNext/>
      <w:numPr>
        <w:ilvl w:val="1"/>
        <w:numId w:val="1"/>
      </w:numPr>
      <w:spacing w:after="220" w:line="260" w:lineRule="atLeast"/>
      <w:outlineLvl w:val="1"/>
    </w:pPr>
    <w:rPr>
      <w:b/>
      <w:sz w:val="26"/>
      <w:lang w:eastAsia="en-US"/>
    </w:rPr>
  </w:style>
  <w:style w:type="paragraph" w:customStyle="1" w:styleId="JhsN3Otsikkotaso">
    <w:name w:val="JhsN3Otsikkotaso"/>
    <w:next w:val="Normaali"/>
    <w:rsid w:val="0008663A"/>
    <w:pPr>
      <w:keepNext/>
      <w:numPr>
        <w:ilvl w:val="2"/>
        <w:numId w:val="1"/>
      </w:numPr>
      <w:spacing w:after="220" w:line="240" w:lineRule="atLeast"/>
      <w:outlineLvl w:val="2"/>
    </w:pPr>
    <w:rPr>
      <w:b/>
      <w:sz w:val="24"/>
      <w:lang w:eastAsia="en-US"/>
    </w:rPr>
  </w:style>
  <w:style w:type="paragraph" w:customStyle="1" w:styleId="JhsN4Otsikkotaso">
    <w:name w:val="JhsN4Otsikkotaso"/>
    <w:next w:val="Normaali"/>
    <w:rsid w:val="0008663A"/>
    <w:pPr>
      <w:keepNext/>
      <w:numPr>
        <w:ilvl w:val="3"/>
        <w:numId w:val="1"/>
      </w:numPr>
      <w:spacing w:after="220" w:line="220" w:lineRule="atLeast"/>
      <w:outlineLvl w:val="3"/>
    </w:pPr>
    <w:rPr>
      <w:b/>
      <w:sz w:val="22"/>
      <w:lang w:eastAsia="en-US"/>
    </w:rPr>
  </w:style>
  <w:style w:type="paragraph" w:customStyle="1" w:styleId="JhsN5Otsikkotaso">
    <w:name w:val="JhsN5Otsikkotaso"/>
    <w:next w:val="Normaali"/>
    <w:rsid w:val="0008663A"/>
    <w:pPr>
      <w:keepNext/>
      <w:widowControl w:val="0"/>
      <w:numPr>
        <w:ilvl w:val="4"/>
        <w:numId w:val="1"/>
      </w:numPr>
      <w:spacing w:after="220" w:line="220" w:lineRule="atLeast"/>
      <w:outlineLvl w:val="4"/>
    </w:pPr>
    <w:rPr>
      <w:b/>
      <w:sz w:val="22"/>
    </w:rPr>
  </w:style>
  <w:style w:type="paragraph" w:customStyle="1" w:styleId="JhsN6Otsikkotaso">
    <w:name w:val="JhsN6Otsikkotaso"/>
    <w:next w:val="Normaali"/>
    <w:rsid w:val="0008663A"/>
    <w:pPr>
      <w:keepNext/>
      <w:widowControl w:val="0"/>
      <w:numPr>
        <w:ilvl w:val="5"/>
        <w:numId w:val="1"/>
      </w:numPr>
      <w:tabs>
        <w:tab w:val="left" w:pos="1418"/>
      </w:tabs>
      <w:spacing w:after="220" w:line="220" w:lineRule="atLeast"/>
      <w:outlineLvl w:val="5"/>
    </w:pPr>
    <w:rPr>
      <w:b/>
      <w:sz w:val="22"/>
    </w:rPr>
  </w:style>
  <w:style w:type="paragraph" w:customStyle="1" w:styleId="JhsNormaaliKappale">
    <w:name w:val="JhsNormaaliKappale"/>
    <w:link w:val="JhsNormaaliKappaleChar"/>
    <w:rsid w:val="0008663A"/>
    <w:pPr>
      <w:suppressAutoHyphens/>
      <w:spacing w:after="220" w:line="220" w:lineRule="atLeast"/>
    </w:pPr>
    <w:rPr>
      <w:sz w:val="22"/>
    </w:rPr>
  </w:style>
  <w:style w:type="table" w:styleId="TaulukkoRuudukko">
    <w:name w:val="Table Grid"/>
    <w:basedOn w:val="Normaalitaulukko"/>
    <w:rsid w:val="00086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hsNormaaliKappaleChar">
    <w:name w:val="JhsNormaaliKappale Char"/>
    <w:link w:val="JhsNormaaliKappale"/>
    <w:rsid w:val="0008663A"/>
    <w:rPr>
      <w:sz w:val="22"/>
      <w:lang w:val="fi-FI" w:eastAsia="fi-FI" w:bidi="ar-SA"/>
    </w:rPr>
  </w:style>
  <w:style w:type="paragraph" w:styleId="Seliteteksti">
    <w:name w:val="Balloon Text"/>
    <w:basedOn w:val="Normaali"/>
    <w:semiHidden/>
    <w:rsid w:val="0008663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405E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05E6F"/>
    <w:pPr>
      <w:tabs>
        <w:tab w:val="center" w:pos="4819"/>
        <w:tab w:val="right" w:pos="9638"/>
      </w:tabs>
    </w:pPr>
  </w:style>
  <w:style w:type="paragraph" w:customStyle="1" w:styleId="JhsPaaOtsikko">
    <w:name w:val="JhsPaaOtsikko"/>
    <w:rsid w:val="008859AE"/>
    <w:pPr>
      <w:spacing w:after="220" w:line="320" w:lineRule="atLeast"/>
    </w:pPr>
    <w:rPr>
      <w:b/>
      <w:sz w:val="32"/>
    </w:rPr>
  </w:style>
  <w:style w:type="paragraph" w:customStyle="1" w:styleId="Default">
    <w:name w:val="Default"/>
    <w:rsid w:val="00AB640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AC0AC3"/>
    <w:pPr>
      <w:spacing w:before="100" w:beforeAutospacing="1" w:after="100" w:afterAutospacing="1"/>
    </w:pPr>
    <w:rPr>
      <w:sz w:val="24"/>
    </w:rPr>
  </w:style>
  <w:style w:type="character" w:customStyle="1" w:styleId="hover-tooltip">
    <w:name w:val="hover-tooltip"/>
    <w:basedOn w:val="Kappaleenoletusfontti"/>
    <w:rsid w:val="00AC0AC3"/>
  </w:style>
  <w:style w:type="character" w:styleId="Hyperlinkki">
    <w:name w:val="Hyperlink"/>
    <w:basedOn w:val="Kappaleenoletusfontti"/>
    <w:uiPriority w:val="99"/>
    <w:unhideWhenUsed/>
    <w:rsid w:val="00AC0AC3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777BA6"/>
    <w:rPr>
      <w:b/>
      <w:bCs/>
      <w:sz w:val="36"/>
      <w:szCs w:val="36"/>
    </w:rPr>
  </w:style>
  <w:style w:type="character" w:styleId="Kommentinviite">
    <w:name w:val="annotation reference"/>
    <w:basedOn w:val="Kappaleenoletusfontti"/>
    <w:rsid w:val="00F1372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1372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1372A"/>
  </w:style>
  <w:style w:type="paragraph" w:styleId="Kommentinotsikko">
    <w:name w:val="annotation subject"/>
    <w:basedOn w:val="Kommentinteksti"/>
    <w:next w:val="Kommentinteksti"/>
    <w:link w:val="KommentinotsikkoChar"/>
    <w:rsid w:val="00F1372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1372A"/>
    <w:rPr>
      <w:b/>
      <w:bCs/>
    </w:rPr>
  </w:style>
  <w:style w:type="paragraph" w:customStyle="1" w:styleId="JhsTaulukkoteksti">
    <w:name w:val="JhsTaulukkoteksti"/>
    <w:basedOn w:val="Normaali"/>
    <w:qFormat/>
    <w:rsid w:val="00453896"/>
    <w:pPr>
      <w:widowControl w:val="0"/>
      <w:suppressAutoHyphens/>
      <w:spacing w:line="220" w:lineRule="atLeast"/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361227"/>
    <w:rPr>
      <w:sz w:val="22"/>
      <w:szCs w:val="24"/>
    </w:rPr>
  </w:style>
  <w:style w:type="character" w:customStyle="1" w:styleId="Mention">
    <w:name w:val="Mention"/>
    <w:basedOn w:val="Kappaleenoletusfontti"/>
    <w:uiPriority w:val="99"/>
    <w:semiHidden/>
    <w:unhideWhenUsed/>
    <w:rsid w:val="008C621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8663A"/>
    <w:rPr>
      <w:sz w:val="22"/>
      <w:szCs w:val="24"/>
    </w:rPr>
  </w:style>
  <w:style w:type="paragraph" w:styleId="Otsikko2">
    <w:name w:val="heading 2"/>
    <w:basedOn w:val="Normaali"/>
    <w:link w:val="Otsikko2Char"/>
    <w:uiPriority w:val="9"/>
    <w:qFormat/>
    <w:rsid w:val="00777B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JhsN1Otsikkotaso">
    <w:name w:val="JhsN1Otsikkotaso"/>
    <w:next w:val="Normaali"/>
    <w:rsid w:val="0008663A"/>
    <w:pPr>
      <w:keepNext/>
      <w:numPr>
        <w:numId w:val="1"/>
      </w:numPr>
      <w:spacing w:after="220" w:line="280" w:lineRule="atLeast"/>
      <w:outlineLvl w:val="0"/>
    </w:pPr>
    <w:rPr>
      <w:b/>
      <w:sz w:val="28"/>
      <w:lang w:eastAsia="en-US"/>
    </w:rPr>
  </w:style>
  <w:style w:type="paragraph" w:customStyle="1" w:styleId="JhsN2Otsikkotaso">
    <w:name w:val="JhsN2Otsikkotaso"/>
    <w:next w:val="Normaali"/>
    <w:rsid w:val="0008663A"/>
    <w:pPr>
      <w:keepNext/>
      <w:numPr>
        <w:ilvl w:val="1"/>
        <w:numId w:val="1"/>
      </w:numPr>
      <w:spacing w:after="220" w:line="260" w:lineRule="atLeast"/>
      <w:outlineLvl w:val="1"/>
    </w:pPr>
    <w:rPr>
      <w:b/>
      <w:sz w:val="26"/>
      <w:lang w:eastAsia="en-US"/>
    </w:rPr>
  </w:style>
  <w:style w:type="paragraph" w:customStyle="1" w:styleId="JhsN3Otsikkotaso">
    <w:name w:val="JhsN3Otsikkotaso"/>
    <w:next w:val="Normaali"/>
    <w:rsid w:val="0008663A"/>
    <w:pPr>
      <w:keepNext/>
      <w:numPr>
        <w:ilvl w:val="2"/>
        <w:numId w:val="1"/>
      </w:numPr>
      <w:spacing w:after="220" w:line="240" w:lineRule="atLeast"/>
      <w:outlineLvl w:val="2"/>
    </w:pPr>
    <w:rPr>
      <w:b/>
      <w:sz w:val="24"/>
      <w:lang w:eastAsia="en-US"/>
    </w:rPr>
  </w:style>
  <w:style w:type="paragraph" w:customStyle="1" w:styleId="JhsN4Otsikkotaso">
    <w:name w:val="JhsN4Otsikkotaso"/>
    <w:next w:val="Normaali"/>
    <w:rsid w:val="0008663A"/>
    <w:pPr>
      <w:keepNext/>
      <w:numPr>
        <w:ilvl w:val="3"/>
        <w:numId w:val="1"/>
      </w:numPr>
      <w:spacing w:after="220" w:line="220" w:lineRule="atLeast"/>
      <w:outlineLvl w:val="3"/>
    </w:pPr>
    <w:rPr>
      <w:b/>
      <w:sz w:val="22"/>
      <w:lang w:eastAsia="en-US"/>
    </w:rPr>
  </w:style>
  <w:style w:type="paragraph" w:customStyle="1" w:styleId="JhsN5Otsikkotaso">
    <w:name w:val="JhsN5Otsikkotaso"/>
    <w:next w:val="Normaali"/>
    <w:rsid w:val="0008663A"/>
    <w:pPr>
      <w:keepNext/>
      <w:widowControl w:val="0"/>
      <w:numPr>
        <w:ilvl w:val="4"/>
        <w:numId w:val="1"/>
      </w:numPr>
      <w:spacing w:after="220" w:line="220" w:lineRule="atLeast"/>
      <w:outlineLvl w:val="4"/>
    </w:pPr>
    <w:rPr>
      <w:b/>
      <w:sz w:val="22"/>
    </w:rPr>
  </w:style>
  <w:style w:type="paragraph" w:customStyle="1" w:styleId="JhsN6Otsikkotaso">
    <w:name w:val="JhsN6Otsikkotaso"/>
    <w:next w:val="Normaali"/>
    <w:rsid w:val="0008663A"/>
    <w:pPr>
      <w:keepNext/>
      <w:widowControl w:val="0"/>
      <w:numPr>
        <w:ilvl w:val="5"/>
        <w:numId w:val="1"/>
      </w:numPr>
      <w:tabs>
        <w:tab w:val="left" w:pos="1418"/>
      </w:tabs>
      <w:spacing w:after="220" w:line="220" w:lineRule="atLeast"/>
      <w:outlineLvl w:val="5"/>
    </w:pPr>
    <w:rPr>
      <w:b/>
      <w:sz w:val="22"/>
    </w:rPr>
  </w:style>
  <w:style w:type="paragraph" w:customStyle="1" w:styleId="JhsNormaaliKappale">
    <w:name w:val="JhsNormaaliKappale"/>
    <w:link w:val="JhsNormaaliKappaleChar"/>
    <w:rsid w:val="0008663A"/>
    <w:pPr>
      <w:suppressAutoHyphens/>
      <w:spacing w:after="220" w:line="220" w:lineRule="atLeast"/>
    </w:pPr>
    <w:rPr>
      <w:sz w:val="22"/>
    </w:rPr>
  </w:style>
  <w:style w:type="table" w:styleId="TaulukkoRuudukko">
    <w:name w:val="Table Grid"/>
    <w:basedOn w:val="Normaalitaulukko"/>
    <w:rsid w:val="00086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hsNormaaliKappaleChar">
    <w:name w:val="JhsNormaaliKappale Char"/>
    <w:link w:val="JhsNormaaliKappale"/>
    <w:rsid w:val="0008663A"/>
    <w:rPr>
      <w:sz w:val="22"/>
      <w:lang w:val="fi-FI" w:eastAsia="fi-FI" w:bidi="ar-SA"/>
    </w:rPr>
  </w:style>
  <w:style w:type="paragraph" w:styleId="Seliteteksti">
    <w:name w:val="Balloon Text"/>
    <w:basedOn w:val="Normaali"/>
    <w:semiHidden/>
    <w:rsid w:val="0008663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405E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05E6F"/>
    <w:pPr>
      <w:tabs>
        <w:tab w:val="center" w:pos="4819"/>
        <w:tab w:val="right" w:pos="9638"/>
      </w:tabs>
    </w:pPr>
  </w:style>
  <w:style w:type="paragraph" w:customStyle="1" w:styleId="JhsPaaOtsikko">
    <w:name w:val="JhsPaaOtsikko"/>
    <w:rsid w:val="008859AE"/>
    <w:pPr>
      <w:spacing w:after="220" w:line="320" w:lineRule="atLeast"/>
    </w:pPr>
    <w:rPr>
      <w:b/>
      <w:sz w:val="32"/>
    </w:rPr>
  </w:style>
  <w:style w:type="paragraph" w:customStyle="1" w:styleId="Default">
    <w:name w:val="Default"/>
    <w:rsid w:val="00AB640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AC0AC3"/>
    <w:pPr>
      <w:spacing w:before="100" w:beforeAutospacing="1" w:after="100" w:afterAutospacing="1"/>
    </w:pPr>
    <w:rPr>
      <w:sz w:val="24"/>
    </w:rPr>
  </w:style>
  <w:style w:type="character" w:customStyle="1" w:styleId="hover-tooltip">
    <w:name w:val="hover-tooltip"/>
    <w:basedOn w:val="Kappaleenoletusfontti"/>
    <w:rsid w:val="00AC0AC3"/>
  </w:style>
  <w:style w:type="character" w:styleId="Hyperlinkki">
    <w:name w:val="Hyperlink"/>
    <w:basedOn w:val="Kappaleenoletusfontti"/>
    <w:uiPriority w:val="99"/>
    <w:unhideWhenUsed/>
    <w:rsid w:val="00AC0AC3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777BA6"/>
    <w:rPr>
      <w:b/>
      <w:bCs/>
      <w:sz w:val="36"/>
      <w:szCs w:val="36"/>
    </w:rPr>
  </w:style>
  <w:style w:type="character" w:styleId="Kommentinviite">
    <w:name w:val="annotation reference"/>
    <w:basedOn w:val="Kappaleenoletusfontti"/>
    <w:rsid w:val="00F1372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1372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1372A"/>
  </w:style>
  <w:style w:type="paragraph" w:styleId="Kommentinotsikko">
    <w:name w:val="annotation subject"/>
    <w:basedOn w:val="Kommentinteksti"/>
    <w:next w:val="Kommentinteksti"/>
    <w:link w:val="KommentinotsikkoChar"/>
    <w:rsid w:val="00F1372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1372A"/>
    <w:rPr>
      <w:b/>
      <w:bCs/>
    </w:rPr>
  </w:style>
  <w:style w:type="paragraph" w:customStyle="1" w:styleId="JhsTaulukkoteksti">
    <w:name w:val="JhsTaulukkoteksti"/>
    <w:basedOn w:val="Normaali"/>
    <w:qFormat/>
    <w:rsid w:val="00453896"/>
    <w:pPr>
      <w:widowControl w:val="0"/>
      <w:suppressAutoHyphens/>
      <w:spacing w:line="220" w:lineRule="atLeast"/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361227"/>
    <w:rPr>
      <w:sz w:val="22"/>
      <w:szCs w:val="24"/>
    </w:rPr>
  </w:style>
  <w:style w:type="character" w:customStyle="1" w:styleId="Mention">
    <w:name w:val="Mention"/>
    <w:basedOn w:val="Kappaleenoletusfontti"/>
    <w:uiPriority w:val="99"/>
    <w:semiHidden/>
    <w:unhideWhenUsed/>
    <w:rsid w:val="008C62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8216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single" w:sz="6" w:space="2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ainvalmistelu.finlex.fi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lainvalmistelu.finlex.f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C39F88C1CB334DB31980602BC117D1" ma:contentTypeVersion="" ma:contentTypeDescription="Luo uusi asiakirja." ma:contentTypeScope="" ma:versionID="0c5e18bb195a4231cb1e6ba5abf512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AA41E-07E6-47FD-BD30-1090963C956E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7F36869-3A55-4FEE-8634-4827A11C6BC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2ADFA8C-EED4-41BB-89C8-60F1C10DA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0BAB6-4B03-4081-9ABA-C5BECB49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1430</Words>
  <Characters>11584</Characters>
  <Application>Microsoft Office Word</Application>
  <DocSecurity>0</DocSecurity>
  <Lines>96</Lines>
  <Paragraphs>25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Säädösvalmisteluprosessi_sanallinen</vt:lpstr>
      <vt:lpstr/>
    </vt:vector>
  </TitlesOfParts>
  <Company>VIP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Säädösvalmisteluprosessi_sanallinen</dc:title>
  <dc:creator>JUHTA/JHS-jaosto</dc:creator>
  <cp:lastModifiedBy>vnkkaipai</cp:lastModifiedBy>
  <cp:revision>2</cp:revision>
  <cp:lastPrinted>2015-12-14T06:34:00Z</cp:lastPrinted>
  <dcterms:created xsi:type="dcterms:W3CDTF">2017-06-26T06:33:00Z</dcterms:created>
  <dcterms:modified xsi:type="dcterms:W3CDTF">2017-06-26T06:33:00Z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0x010100FCC39F88C1CB334DB31980602BC117D1</vt:lpwstr>
  </property>
  <property fmtid="{D5CDD505-2E9C-101B-9397-08002B2CF9AE}" pid="3" name="Order">
    <vt:r8>86800</vt:r8>
  </property>
  <property fmtid="{D5CDD505-2E9C-101B-9397-08002B2CF9AE}" pid="4" name="TemplateUrl">
    <vt:lpwstr/>
  </property>
  <property fmtid="{D5CDD505-2E9C-101B-9397-08002B2CF9AE}" pid="5" name="_CopySource">
    <vt:lpwstr>https://vyvi-some4.vyv.fi/vnk/vahva/vahva2014/Jaetut asiakirjat/Hyvaksytyt asiakirjat/Prosessit/VAHVA_PTJ_Säädösprosessi.docx</vt:lpwstr>
  </property>
  <property fmtid="{D5CDD505-2E9C-101B-9397-08002B2CF9AE}" pid="6" name="xd_ProgID">
    <vt:lpwstr/>
  </property>
</Properties>
</file>