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632DC8" w:rsidRDefault="00854ADA" w:rsidP="00C25755">
      <w:pPr>
        <w:pStyle w:val="AKPnormaali0"/>
        <w:spacing w:line="276" w:lineRule="auto"/>
        <w:rPr>
          <w:rFonts w:ascii="Garamond" w:hAnsi="Garamond"/>
          <w:szCs w:val="24"/>
        </w:rPr>
      </w:pPr>
      <w:bookmarkStart w:id="0" w:name="_GoBack"/>
      <w:bookmarkEnd w:id="0"/>
    </w:p>
    <w:p w:rsidR="00167D87" w:rsidRPr="00632DC8" w:rsidRDefault="00167D87" w:rsidP="00C25755">
      <w:pPr>
        <w:spacing w:after="0"/>
        <w:rPr>
          <w:rFonts w:ascii="Garamond" w:eastAsiaTheme="minorHAnsi" w:hAnsi="Garamond" w:cstheme="minorBidi"/>
          <w:sz w:val="24"/>
          <w:szCs w:val="24"/>
        </w:rPr>
      </w:pPr>
      <w:r w:rsidRPr="00632DC8">
        <w:rPr>
          <w:rFonts w:ascii="Garamond" w:eastAsiaTheme="minorHAnsi" w:hAnsi="Garamond" w:cstheme="minorBidi"/>
          <w:b/>
          <w:sz w:val="24"/>
          <w:szCs w:val="24"/>
        </w:rPr>
        <w:t>KORRUPTIOEPÄILYISTÄ ILMOITTAVIEN HENKILÖIDEN SUOJELUA SELVITTÄVÄN TYÖRYHMÄ</w:t>
      </w:r>
      <w:r w:rsidR="00AA2069">
        <w:rPr>
          <w:rFonts w:ascii="Garamond" w:eastAsiaTheme="minorHAnsi" w:hAnsi="Garamond" w:cstheme="minorBidi"/>
          <w:b/>
          <w:sz w:val="24"/>
          <w:szCs w:val="24"/>
        </w:rPr>
        <w:t>N KOKOUS 07</w:t>
      </w:r>
      <w:r w:rsidRPr="00632DC8">
        <w:rPr>
          <w:rFonts w:ascii="Garamond" w:eastAsiaTheme="minorHAnsi" w:hAnsi="Garamond" w:cstheme="minorBidi"/>
          <w:b/>
          <w:sz w:val="24"/>
          <w:szCs w:val="24"/>
        </w:rPr>
        <w:t>/2015</w:t>
      </w:r>
    </w:p>
    <w:p w:rsidR="00167D87" w:rsidRPr="00632DC8" w:rsidRDefault="00167D87" w:rsidP="00C25755">
      <w:pPr>
        <w:rPr>
          <w:rFonts w:ascii="Garamond" w:eastAsiaTheme="minorHAnsi" w:hAnsi="Garamond" w:cstheme="minorBidi"/>
          <w:sz w:val="24"/>
          <w:szCs w:val="24"/>
          <w:u w:val="single"/>
        </w:rPr>
      </w:pPr>
    </w:p>
    <w:p w:rsidR="00167D87" w:rsidRPr="00632DC8" w:rsidRDefault="00167D87" w:rsidP="00C25755">
      <w:pPr>
        <w:rPr>
          <w:rFonts w:ascii="Garamond" w:eastAsiaTheme="minorHAnsi" w:hAnsi="Garamond" w:cstheme="minorBidi"/>
          <w:sz w:val="24"/>
          <w:szCs w:val="24"/>
        </w:rPr>
      </w:pPr>
      <w:r w:rsidRPr="00632DC8">
        <w:rPr>
          <w:rFonts w:ascii="Garamond" w:eastAsiaTheme="minorHAnsi" w:hAnsi="Garamond" w:cstheme="minorBidi"/>
          <w:sz w:val="24"/>
          <w:szCs w:val="24"/>
          <w:u w:val="single"/>
        </w:rPr>
        <w:t>Aika</w:t>
      </w:r>
      <w:r w:rsidRPr="00632DC8">
        <w:rPr>
          <w:rFonts w:ascii="Garamond" w:eastAsiaTheme="minorHAnsi" w:hAnsi="Garamond" w:cstheme="minorBidi"/>
          <w:sz w:val="24"/>
          <w:szCs w:val="24"/>
        </w:rPr>
        <w:t xml:space="preserve">: </w:t>
      </w:r>
      <w:r w:rsidRPr="00632DC8">
        <w:rPr>
          <w:rFonts w:ascii="Garamond" w:eastAsiaTheme="minorHAnsi" w:hAnsi="Garamond" w:cstheme="minorBidi"/>
          <w:sz w:val="24"/>
          <w:szCs w:val="24"/>
        </w:rPr>
        <w:tab/>
      </w:r>
      <w:r w:rsidR="00AA2069">
        <w:rPr>
          <w:rFonts w:ascii="Garamond" w:eastAsiaTheme="minorHAnsi" w:hAnsi="Garamond" w:cstheme="minorBidi"/>
          <w:sz w:val="24"/>
          <w:szCs w:val="24"/>
        </w:rPr>
        <w:t>11.8</w:t>
      </w:r>
      <w:r w:rsidRPr="00632DC8">
        <w:rPr>
          <w:rFonts w:ascii="Garamond" w:eastAsiaTheme="minorHAnsi" w:hAnsi="Garamond" w:cstheme="minorBidi"/>
          <w:sz w:val="24"/>
          <w:szCs w:val="24"/>
        </w:rPr>
        <w:t xml:space="preserve">.2015, </w:t>
      </w:r>
      <w:r w:rsidR="00E839EF" w:rsidRPr="00632DC8">
        <w:rPr>
          <w:rFonts w:ascii="Garamond" w:eastAsiaTheme="minorHAnsi" w:hAnsi="Garamond" w:cstheme="minorBidi"/>
          <w:sz w:val="24"/>
          <w:szCs w:val="24"/>
        </w:rPr>
        <w:t xml:space="preserve">klo </w:t>
      </w:r>
      <w:proofErr w:type="gramStart"/>
      <w:r w:rsidR="00A7762A">
        <w:rPr>
          <w:rFonts w:ascii="Garamond" w:eastAsiaTheme="minorHAnsi" w:hAnsi="Garamond" w:cstheme="minorBidi"/>
          <w:sz w:val="24"/>
          <w:szCs w:val="24"/>
        </w:rPr>
        <w:t>13:05-14:45</w:t>
      </w:r>
      <w:proofErr w:type="gramEnd"/>
    </w:p>
    <w:p w:rsidR="00167D87" w:rsidRPr="00632DC8" w:rsidRDefault="00167D87" w:rsidP="00C25755">
      <w:pPr>
        <w:rPr>
          <w:rFonts w:ascii="Garamond" w:eastAsiaTheme="minorHAnsi" w:hAnsi="Garamond" w:cstheme="minorBidi"/>
          <w:sz w:val="24"/>
          <w:szCs w:val="24"/>
        </w:rPr>
      </w:pPr>
      <w:r w:rsidRPr="00632DC8">
        <w:rPr>
          <w:rFonts w:ascii="Garamond" w:eastAsiaTheme="minorHAnsi" w:hAnsi="Garamond" w:cstheme="minorBidi"/>
          <w:sz w:val="24"/>
          <w:szCs w:val="24"/>
          <w:u w:val="single"/>
        </w:rPr>
        <w:t>Paikka</w:t>
      </w:r>
      <w:r w:rsidRPr="00632DC8">
        <w:rPr>
          <w:rFonts w:ascii="Garamond" w:eastAsiaTheme="minorHAnsi" w:hAnsi="Garamond" w:cstheme="minorBidi"/>
          <w:sz w:val="24"/>
          <w:szCs w:val="24"/>
        </w:rPr>
        <w:t xml:space="preserve">: </w:t>
      </w:r>
      <w:r w:rsidRPr="00632DC8">
        <w:rPr>
          <w:rFonts w:ascii="Garamond" w:eastAsiaTheme="minorHAnsi" w:hAnsi="Garamond" w:cstheme="minorBidi"/>
          <w:sz w:val="24"/>
          <w:szCs w:val="24"/>
        </w:rPr>
        <w:tab/>
        <w:t>Oikeusministeriö, kriminaalipoliittinen osasto,</w:t>
      </w:r>
      <w:r w:rsidR="00AA2069">
        <w:rPr>
          <w:rFonts w:ascii="Garamond" w:eastAsiaTheme="minorHAnsi" w:hAnsi="Garamond" w:cstheme="minorBidi"/>
          <w:sz w:val="24"/>
          <w:szCs w:val="24"/>
        </w:rPr>
        <w:t xml:space="preserve"> Mannerheimintie 4, 4</w:t>
      </w:r>
      <w:r w:rsidRPr="00632DC8">
        <w:rPr>
          <w:rFonts w:ascii="Garamond" w:eastAsiaTheme="minorHAnsi" w:hAnsi="Garamond" w:cstheme="minorBidi"/>
          <w:sz w:val="24"/>
          <w:szCs w:val="24"/>
        </w:rPr>
        <w:t>. krs.</w:t>
      </w:r>
    </w:p>
    <w:p w:rsidR="00167D87" w:rsidRPr="00632DC8" w:rsidRDefault="00167D87" w:rsidP="00C25755">
      <w:pPr>
        <w:spacing w:after="0"/>
        <w:rPr>
          <w:rFonts w:ascii="Garamond" w:eastAsiaTheme="minorHAnsi" w:hAnsi="Garamond" w:cstheme="minorBidi"/>
          <w:sz w:val="24"/>
          <w:szCs w:val="24"/>
        </w:rPr>
      </w:pPr>
      <w:r w:rsidRPr="00632DC8">
        <w:rPr>
          <w:rFonts w:ascii="Garamond" w:eastAsiaTheme="minorHAnsi" w:hAnsi="Garamond" w:cstheme="minorBidi"/>
          <w:sz w:val="24"/>
          <w:szCs w:val="24"/>
          <w:u w:val="single"/>
        </w:rPr>
        <w:t>Läsnä</w:t>
      </w:r>
      <w:r w:rsidRPr="00632DC8">
        <w:rPr>
          <w:rFonts w:ascii="Garamond" w:eastAsiaTheme="minorHAnsi" w:hAnsi="Garamond" w:cstheme="minorBidi"/>
          <w:sz w:val="24"/>
          <w:szCs w:val="24"/>
        </w:rPr>
        <w:t>:</w:t>
      </w:r>
      <w:r w:rsidRPr="00632DC8">
        <w:rPr>
          <w:rFonts w:ascii="Garamond" w:eastAsiaTheme="minorHAnsi" w:hAnsi="Garamond" w:cstheme="minorBidi"/>
          <w:sz w:val="24"/>
          <w:szCs w:val="24"/>
        </w:rPr>
        <w:tab/>
        <w:t xml:space="preserve">Neuvotteleva virkamies Jan </w:t>
      </w:r>
      <w:proofErr w:type="spellStart"/>
      <w:r w:rsidRPr="00632DC8">
        <w:rPr>
          <w:rFonts w:ascii="Garamond" w:eastAsiaTheme="minorHAnsi" w:hAnsi="Garamond" w:cstheme="minorBidi"/>
          <w:sz w:val="24"/>
          <w:szCs w:val="24"/>
        </w:rPr>
        <w:t>Hjelt</w:t>
      </w:r>
      <w:proofErr w:type="spellEnd"/>
      <w:r w:rsidRPr="00632DC8">
        <w:rPr>
          <w:rFonts w:ascii="Garamond" w:eastAsiaTheme="minorHAnsi" w:hAnsi="Garamond" w:cstheme="minorBidi"/>
          <w:sz w:val="24"/>
          <w:szCs w:val="24"/>
        </w:rPr>
        <w:t>, työ- ja elinkeinoministeriö</w:t>
      </w:r>
    </w:p>
    <w:p w:rsidR="00167D87" w:rsidRPr="00632DC8" w:rsidRDefault="00167D87" w:rsidP="00C25755">
      <w:pPr>
        <w:spacing w:after="0"/>
        <w:ind w:firstLine="1298"/>
        <w:rPr>
          <w:rFonts w:ascii="Garamond" w:eastAsiaTheme="minorHAnsi" w:hAnsi="Garamond" w:cstheme="minorBidi"/>
          <w:sz w:val="24"/>
          <w:szCs w:val="24"/>
        </w:rPr>
      </w:pPr>
      <w:r w:rsidRPr="00632DC8">
        <w:rPr>
          <w:rFonts w:ascii="Garamond" w:eastAsiaTheme="minorHAnsi" w:hAnsi="Garamond" w:cstheme="minorBidi"/>
          <w:sz w:val="24"/>
          <w:szCs w:val="24"/>
        </w:rPr>
        <w:t>Erikoissuunnittelija Catharina Groop, oikeusministeriö</w:t>
      </w:r>
    </w:p>
    <w:p w:rsidR="00FD5AFF" w:rsidRPr="00632DC8" w:rsidRDefault="00FD5AFF" w:rsidP="00C25755">
      <w:pPr>
        <w:spacing w:after="0"/>
        <w:ind w:firstLine="1298"/>
        <w:rPr>
          <w:rFonts w:ascii="Garamond" w:eastAsiaTheme="minorHAnsi" w:hAnsi="Garamond" w:cstheme="minorBidi"/>
          <w:sz w:val="24"/>
          <w:szCs w:val="24"/>
        </w:rPr>
      </w:pPr>
      <w:r w:rsidRPr="00632DC8">
        <w:rPr>
          <w:rFonts w:ascii="Garamond" w:eastAsiaTheme="minorHAnsi" w:hAnsi="Garamond" w:cstheme="minorBidi"/>
          <w:sz w:val="24"/>
          <w:szCs w:val="24"/>
        </w:rPr>
        <w:t xml:space="preserve">Vara-puheenjohtaja Outi Nieminen, </w:t>
      </w:r>
      <w:proofErr w:type="spellStart"/>
      <w:r w:rsidRPr="00632DC8">
        <w:rPr>
          <w:rFonts w:ascii="Garamond" w:eastAsiaTheme="minorHAnsi" w:hAnsi="Garamond" w:cstheme="minorBidi"/>
          <w:sz w:val="24"/>
          <w:szCs w:val="24"/>
        </w:rPr>
        <w:t>Transparency</w:t>
      </w:r>
      <w:proofErr w:type="spellEnd"/>
      <w:r w:rsidRPr="00632DC8">
        <w:rPr>
          <w:rFonts w:ascii="Garamond" w:eastAsiaTheme="minorHAnsi" w:hAnsi="Garamond" w:cstheme="minorBidi"/>
          <w:sz w:val="24"/>
          <w:szCs w:val="24"/>
        </w:rPr>
        <w:t xml:space="preserve"> International Suomi</w:t>
      </w:r>
    </w:p>
    <w:p w:rsidR="00891BBA" w:rsidRPr="00632DC8" w:rsidRDefault="00567C9D" w:rsidP="00C25755">
      <w:pPr>
        <w:spacing w:after="0"/>
        <w:ind w:firstLine="1298"/>
        <w:rPr>
          <w:rFonts w:ascii="Garamond" w:eastAsiaTheme="minorHAnsi" w:hAnsi="Garamond" w:cstheme="minorBidi"/>
          <w:sz w:val="24"/>
          <w:szCs w:val="24"/>
          <w:u w:val="single"/>
        </w:rPr>
      </w:pPr>
      <w:r w:rsidRPr="00632DC8">
        <w:rPr>
          <w:rFonts w:ascii="Garamond" w:eastAsiaTheme="minorHAnsi" w:hAnsi="Garamond" w:cstheme="minorBidi"/>
          <w:sz w:val="24"/>
          <w:szCs w:val="24"/>
        </w:rPr>
        <w:t>Poliisitarkastaja Antti Simanainen, sisäministeriö</w:t>
      </w:r>
    </w:p>
    <w:p w:rsidR="00DE382D" w:rsidRDefault="00AA2069" w:rsidP="00AA2069">
      <w:pPr>
        <w:spacing w:after="0"/>
        <w:ind w:firstLine="1298"/>
        <w:rPr>
          <w:rFonts w:ascii="Garamond" w:eastAsiaTheme="minorHAnsi" w:hAnsi="Garamond" w:cstheme="minorBidi"/>
          <w:sz w:val="24"/>
          <w:szCs w:val="24"/>
          <w:u w:val="single"/>
        </w:rPr>
      </w:pPr>
      <w:r w:rsidRPr="00632DC8">
        <w:rPr>
          <w:rFonts w:ascii="Garamond" w:eastAsiaTheme="minorHAnsi" w:hAnsi="Garamond" w:cstheme="minorBidi"/>
          <w:sz w:val="24"/>
          <w:szCs w:val="24"/>
        </w:rPr>
        <w:t>Asiantuntija Santeri Suominen, EK</w:t>
      </w:r>
    </w:p>
    <w:p w:rsidR="00AA2069" w:rsidRPr="00632DC8" w:rsidRDefault="00AA2069" w:rsidP="00AA2069">
      <w:pPr>
        <w:spacing w:after="0"/>
        <w:ind w:firstLine="1298"/>
        <w:rPr>
          <w:rFonts w:ascii="Garamond" w:eastAsiaTheme="minorHAnsi" w:hAnsi="Garamond" w:cstheme="minorBidi"/>
          <w:sz w:val="24"/>
          <w:szCs w:val="24"/>
        </w:rPr>
      </w:pPr>
      <w:r w:rsidRPr="00632DC8">
        <w:rPr>
          <w:rFonts w:ascii="Garamond" w:eastAsiaTheme="minorHAnsi" w:hAnsi="Garamond" w:cstheme="minorBidi"/>
          <w:sz w:val="24"/>
          <w:szCs w:val="24"/>
        </w:rPr>
        <w:t>Ekonomisti Erkki Laukkanen, SAK</w:t>
      </w:r>
    </w:p>
    <w:p w:rsidR="00AA2069" w:rsidRDefault="00AA2069" w:rsidP="00C25755">
      <w:pPr>
        <w:spacing w:after="0"/>
        <w:rPr>
          <w:rFonts w:ascii="Garamond" w:eastAsiaTheme="minorHAnsi" w:hAnsi="Garamond" w:cstheme="minorBidi"/>
          <w:sz w:val="24"/>
          <w:szCs w:val="24"/>
          <w:u w:val="single"/>
        </w:rPr>
      </w:pPr>
    </w:p>
    <w:p w:rsidR="00AA2069" w:rsidRPr="00632DC8" w:rsidRDefault="00167D87" w:rsidP="00AA2069">
      <w:pPr>
        <w:spacing w:after="0"/>
        <w:rPr>
          <w:rFonts w:ascii="Garamond" w:eastAsiaTheme="minorHAnsi" w:hAnsi="Garamond" w:cstheme="minorBidi"/>
          <w:sz w:val="24"/>
          <w:szCs w:val="24"/>
        </w:rPr>
      </w:pPr>
      <w:r w:rsidRPr="00632DC8">
        <w:rPr>
          <w:rFonts w:ascii="Garamond" w:eastAsiaTheme="minorHAnsi" w:hAnsi="Garamond" w:cstheme="minorBidi"/>
          <w:sz w:val="24"/>
          <w:szCs w:val="24"/>
          <w:u w:val="single"/>
        </w:rPr>
        <w:t>Poissa</w:t>
      </w:r>
      <w:r w:rsidRPr="00632DC8">
        <w:rPr>
          <w:rFonts w:ascii="Garamond" w:eastAsiaTheme="minorHAnsi" w:hAnsi="Garamond" w:cstheme="minorBidi"/>
          <w:sz w:val="24"/>
          <w:szCs w:val="24"/>
        </w:rPr>
        <w:t xml:space="preserve">: </w:t>
      </w:r>
      <w:r w:rsidRPr="00632DC8">
        <w:rPr>
          <w:rFonts w:ascii="Garamond" w:eastAsiaTheme="minorHAnsi" w:hAnsi="Garamond" w:cstheme="minorBidi"/>
          <w:sz w:val="24"/>
          <w:szCs w:val="24"/>
        </w:rPr>
        <w:tab/>
      </w:r>
      <w:r w:rsidR="00AA2069" w:rsidRPr="00632DC8">
        <w:rPr>
          <w:rFonts w:ascii="Garamond" w:eastAsiaTheme="minorHAnsi" w:hAnsi="Garamond" w:cstheme="minorBidi"/>
          <w:sz w:val="24"/>
          <w:szCs w:val="24"/>
        </w:rPr>
        <w:t xml:space="preserve">Työmarkkina-asiantuntija Kati </w:t>
      </w:r>
      <w:proofErr w:type="spellStart"/>
      <w:r w:rsidR="00AA2069" w:rsidRPr="00632DC8">
        <w:rPr>
          <w:rFonts w:ascii="Garamond" w:eastAsiaTheme="minorHAnsi" w:hAnsi="Garamond" w:cstheme="minorBidi"/>
          <w:sz w:val="24"/>
          <w:szCs w:val="24"/>
        </w:rPr>
        <w:t>Orkola</w:t>
      </w:r>
      <w:proofErr w:type="spellEnd"/>
      <w:r w:rsidR="00AA2069" w:rsidRPr="00632DC8">
        <w:rPr>
          <w:rFonts w:ascii="Garamond" w:eastAsiaTheme="minorHAnsi" w:hAnsi="Garamond" w:cstheme="minorBidi"/>
          <w:sz w:val="24"/>
          <w:szCs w:val="24"/>
        </w:rPr>
        <w:t>, valtiovarainministeriö</w:t>
      </w:r>
    </w:p>
    <w:p w:rsidR="00AA2069" w:rsidRPr="00632DC8" w:rsidRDefault="00AA2069" w:rsidP="00AA2069">
      <w:pPr>
        <w:spacing w:after="0"/>
        <w:ind w:firstLine="1298"/>
        <w:rPr>
          <w:rFonts w:ascii="Garamond" w:eastAsiaTheme="minorHAnsi" w:hAnsi="Garamond" w:cstheme="minorBidi"/>
          <w:sz w:val="24"/>
          <w:szCs w:val="24"/>
        </w:rPr>
      </w:pPr>
      <w:r w:rsidRPr="00632DC8">
        <w:rPr>
          <w:rFonts w:ascii="Garamond" w:eastAsiaTheme="minorHAnsi" w:hAnsi="Garamond" w:cstheme="minorBidi"/>
          <w:sz w:val="24"/>
          <w:szCs w:val="24"/>
        </w:rPr>
        <w:t xml:space="preserve">Professori Ari Salminen, Vaasan Yliopisto </w:t>
      </w:r>
    </w:p>
    <w:p w:rsidR="00FD5AFF" w:rsidRPr="00632DC8" w:rsidRDefault="00FD5AFF" w:rsidP="00C25755">
      <w:pPr>
        <w:spacing w:after="0"/>
        <w:rPr>
          <w:rFonts w:ascii="Garamond" w:eastAsiaTheme="minorHAnsi" w:hAnsi="Garamond" w:cstheme="minorBidi"/>
          <w:sz w:val="24"/>
          <w:szCs w:val="24"/>
        </w:rPr>
      </w:pPr>
    </w:p>
    <w:p w:rsidR="00167D87" w:rsidRPr="00632DC8" w:rsidRDefault="00167D87" w:rsidP="00C25755">
      <w:pPr>
        <w:spacing w:after="0"/>
        <w:rPr>
          <w:rFonts w:ascii="Garamond" w:eastAsiaTheme="minorHAnsi" w:hAnsi="Garamond" w:cstheme="minorBidi"/>
          <w:sz w:val="24"/>
          <w:szCs w:val="24"/>
        </w:rPr>
      </w:pPr>
    </w:p>
    <w:p w:rsidR="00167D87" w:rsidRPr="00632DC8" w:rsidRDefault="00167D87" w:rsidP="008A4AFA">
      <w:pPr>
        <w:numPr>
          <w:ilvl w:val="0"/>
          <w:numId w:val="16"/>
        </w:numPr>
        <w:contextualSpacing/>
        <w:rPr>
          <w:rFonts w:ascii="Garamond" w:eastAsiaTheme="minorHAnsi" w:hAnsi="Garamond" w:cstheme="minorBidi"/>
          <w:b/>
          <w:sz w:val="24"/>
          <w:szCs w:val="24"/>
        </w:rPr>
      </w:pPr>
      <w:r w:rsidRPr="00632DC8">
        <w:rPr>
          <w:rFonts w:ascii="Garamond" w:eastAsiaTheme="minorHAnsi" w:hAnsi="Garamond" w:cstheme="minorBidi"/>
          <w:b/>
          <w:sz w:val="24"/>
          <w:szCs w:val="24"/>
        </w:rPr>
        <w:t>Kokouksen avaus</w:t>
      </w:r>
    </w:p>
    <w:p w:rsidR="005A0968" w:rsidRPr="007E0714" w:rsidRDefault="00167D87" w:rsidP="00C25755">
      <w:pPr>
        <w:spacing w:before="240"/>
        <w:jc w:val="both"/>
        <w:rPr>
          <w:rFonts w:ascii="Garamond" w:eastAsiaTheme="minorHAnsi" w:hAnsi="Garamond" w:cstheme="minorBidi"/>
          <w:b/>
          <w:sz w:val="24"/>
          <w:szCs w:val="24"/>
        </w:rPr>
      </w:pPr>
      <w:r w:rsidRPr="00632DC8">
        <w:rPr>
          <w:rFonts w:ascii="Garamond" w:eastAsiaTheme="minorHAnsi" w:hAnsi="Garamond" w:cstheme="minorBidi"/>
          <w:sz w:val="24"/>
          <w:szCs w:val="24"/>
        </w:rPr>
        <w:t xml:space="preserve">Kokous avattiin klo </w:t>
      </w:r>
      <w:r w:rsidR="00471425">
        <w:rPr>
          <w:rFonts w:ascii="Garamond" w:eastAsiaTheme="minorHAnsi" w:hAnsi="Garamond" w:cstheme="minorBidi"/>
          <w:sz w:val="24"/>
          <w:szCs w:val="24"/>
        </w:rPr>
        <w:t>13:05</w:t>
      </w:r>
      <w:r w:rsidR="00172566" w:rsidRPr="00632DC8">
        <w:rPr>
          <w:rFonts w:ascii="Garamond" w:eastAsiaTheme="minorHAnsi" w:hAnsi="Garamond" w:cstheme="minorBidi"/>
          <w:sz w:val="24"/>
          <w:szCs w:val="24"/>
        </w:rPr>
        <w:t xml:space="preserve">. </w:t>
      </w:r>
    </w:p>
    <w:p w:rsidR="00D33BE0" w:rsidRDefault="00471425" w:rsidP="00D33BE0">
      <w:pPr>
        <w:pStyle w:val="Luettelokappale"/>
        <w:numPr>
          <w:ilvl w:val="0"/>
          <w:numId w:val="16"/>
        </w:numPr>
        <w:spacing w:after="0"/>
        <w:jc w:val="both"/>
        <w:rPr>
          <w:rFonts w:ascii="Garamond" w:eastAsiaTheme="minorHAnsi" w:hAnsi="Garamond" w:cstheme="minorBidi"/>
          <w:b/>
          <w:color w:val="000000" w:themeColor="text1"/>
          <w:sz w:val="24"/>
          <w:szCs w:val="24"/>
        </w:rPr>
      </w:pPr>
      <w:r>
        <w:rPr>
          <w:rFonts w:ascii="Garamond" w:eastAsiaTheme="minorHAnsi" w:hAnsi="Garamond" w:cstheme="minorBidi"/>
          <w:b/>
          <w:color w:val="000000" w:themeColor="text1"/>
          <w:sz w:val="24"/>
          <w:szCs w:val="24"/>
        </w:rPr>
        <w:t>Mietinnön rakenne</w:t>
      </w:r>
      <w:r w:rsidR="008A4AFA">
        <w:rPr>
          <w:rFonts w:ascii="Garamond" w:eastAsiaTheme="minorHAnsi" w:hAnsi="Garamond" w:cstheme="minorBidi"/>
          <w:b/>
          <w:color w:val="000000" w:themeColor="text1"/>
          <w:sz w:val="24"/>
          <w:szCs w:val="24"/>
        </w:rPr>
        <w:t xml:space="preserve"> ja sisältö</w:t>
      </w:r>
    </w:p>
    <w:p w:rsidR="00FD5AFF" w:rsidRDefault="008A4AFA" w:rsidP="00D33BE0">
      <w:pPr>
        <w:spacing w:after="0"/>
        <w:jc w:val="both"/>
        <w:rPr>
          <w:rFonts w:ascii="Garamond" w:eastAsiaTheme="minorHAnsi" w:hAnsi="Garamond" w:cstheme="minorBidi"/>
          <w:color w:val="000000" w:themeColor="text1"/>
          <w:sz w:val="24"/>
          <w:szCs w:val="24"/>
        </w:rPr>
      </w:pPr>
      <w:r w:rsidRPr="00D33BE0">
        <w:rPr>
          <w:rFonts w:ascii="Garamond" w:eastAsiaTheme="minorHAnsi" w:hAnsi="Garamond" w:cstheme="minorBidi"/>
          <w:color w:val="000000" w:themeColor="text1"/>
          <w:sz w:val="24"/>
          <w:szCs w:val="24"/>
        </w:rPr>
        <w:t xml:space="preserve">Sihteeri oli laatinut ehdotuksen työryhmän mietinnön rakenteeksi (liitteenä) ja esitti sen. </w:t>
      </w:r>
      <w:r w:rsidR="002E4C59">
        <w:rPr>
          <w:rFonts w:ascii="Garamond" w:eastAsiaTheme="minorHAnsi" w:hAnsi="Garamond" w:cstheme="minorBidi"/>
          <w:color w:val="000000" w:themeColor="text1"/>
          <w:sz w:val="24"/>
          <w:szCs w:val="24"/>
        </w:rPr>
        <w:t>SAK</w:t>
      </w:r>
      <w:r w:rsidR="00FA5A41">
        <w:rPr>
          <w:rFonts w:ascii="Garamond" w:eastAsiaTheme="minorHAnsi" w:hAnsi="Garamond" w:cstheme="minorBidi"/>
          <w:color w:val="000000" w:themeColor="text1"/>
          <w:sz w:val="24"/>
          <w:szCs w:val="24"/>
        </w:rPr>
        <w:t>:n edustaja korosti, että töitä riittää ja että olisi hyvä, jos sihteeri saisi hieman kirjoitusapua.</w:t>
      </w:r>
    </w:p>
    <w:p w:rsidR="00D33BE0" w:rsidRDefault="00D8503C" w:rsidP="00D33BE0">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Työryhmän jäsenten mielestä luonnos rakenteeksi oli hyvä. </w:t>
      </w:r>
      <w:r w:rsidR="00D33BE0">
        <w:rPr>
          <w:rFonts w:ascii="Garamond" w:eastAsiaTheme="minorHAnsi" w:hAnsi="Garamond" w:cstheme="minorBidi"/>
          <w:color w:val="000000" w:themeColor="text1"/>
          <w:sz w:val="24"/>
          <w:szCs w:val="24"/>
        </w:rPr>
        <w:t xml:space="preserve">Seuraavista asioista ja </w:t>
      </w:r>
      <w:r>
        <w:rPr>
          <w:rFonts w:ascii="Garamond" w:eastAsiaTheme="minorHAnsi" w:hAnsi="Garamond" w:cstheme="minorBidi"/>
          <w:color w:val="000000" w:themeColor="text1"/>
          <w:sz w:val="24"/>
          <w:szCs w:val="24"/>
        </w:rPr>
        <w:t xml:space="preserve">mietinnön </w:t>
      </w:r>
      <w:r w:rsidR="00D33BE0">
        <w:rPr>
          <w:rFonts w:ascii="Garamond" w:eastAsiaTheme="minorHAnsi" w:hAnsi="Garamond" w:cstheme="minorBidi"/>
          <w:color w:val="000000" w:themeColor="text1"/>
          <w:sz w:val="24"/>
          <w:szCs w:val="24"/>
        </w:rPr>
        <w:t>osioista käytiin keskustelua:</w:t>
      </w:r>
    </w:p>
    <w:p w:rsidR="00D33BE0" w:rsidRPr="00D33BE0" w:rsidRDefault="00D33BE0" w:rsidP="00D33BE0">
      <w:pPr>
        <w:spacing w:after="0"/>
        <w:jc w:val="both"/>
        <w:rPr>
          <w:rFonts w:ascii="Garamond" w:eastAsiaTheme="minorHAnsi" w:hAnsi="Garamond" w:cstheme="minorBidi"/>
          <w:b/>
          <w:color w:val="000000" w:themeColor="text1"/>
          <w:sz w:val="24"/>
          <w:szCs w:val="24"/>
        </w:rPr>
      </w:pPr>
    </w:p>
    <w:p w:rsidR="00D33BE0" w:rsidRDefault="00D33BE0" w:rsidP="00D33BE0">
      <w:pPr>
        <w:pStyle w:val="Luettelokappale"/>
        <w:numPr>
          <w:ilvl w:val="0"/>
          <w:numId w:val="34"/>
        </w:numPr>
        <w:spacing w:after="0"/>
        <w:jc w:val="both"/>
        <w:rPr>
          <w:rFonts w:ascii="Garamond" w:eastAsiaTheme="minorHAnsi" w:hAnsi="Garamond" w:cstheme="minorBidi"/>
          <w:color w:val="000000" w:themeColor="text1"/>
          <w:sz w:val="24"/>
          <w:szCs w:val="24"/>
        </w:rPr>
      </w:pPr>
      <w:r w:rsidRPr="00D33BE0">
        <w:rPr>
          <w:rFonts w:ascii="Garamond" w:eastAsiaTheme="minorHAnsi" w:hAnsi="Garamond" w:cstheme="minorBidi"/>
          <w:color w:val="000000" w:themeColor="text1"/>
          <w:sz w:val="24"/>
          <w:szCs w:val="24"/>
        </w:rPr>
        <w:t xml:space="preserve">Ilmoittamiseen ja ilmoittajien suojeluun liittyvä lainsäädäntötilanne </w:t>
      </w:r>
      <w:r>
        <w:rPr>
          <w:rFonts w:ascii="Garamond" w:eastAsiaTheme="minorHAnsi" w:hAnsi="Garamond" w:cstheme="minorBidi"/>
          <w:color w:val="000000" w:themeColor="text1"/>
          <w:sz w:val="24"/>
          <w:szCs w:val="24"/>
        </w:rPr>
        <w:t>Euroopassa</w:t>
      </w:r>
    </w:p>
    <w:p w:rsidR="00D33BE0" w:rsidRDefault="00D33BE0" w:rsidP="00D33BE0">
      <w:pPr>
        <w:spacing w:after="0"/>
        <w:jc w:val="both"/>
        <w:rPr>
          <w:rFonts w:ascii="Garamond" w:eastAsiaTheme="minorHAnsi" w:hAnsi="Garamond" w:cstheme="minorBidi"/>
          <w:color w:val="000000" w:themeColor="text1"/>
          <w:sz w:val="24"/>
          <w:szCs w:val="24"/>
        </w:rPr>
      </w:pPr>
    </w:p>
    <w:p w:rsidR="00D33BE0" w:rsidRDefault="00D33BE0" w:rsidP="00D33BE0">
      <w:pPr>
        <w:spacing w:after="0"/>
        <w:jc w:val="both"/>
        <w:rPr>
          <w:rFonts w:ascii="Garamond" w:eastAsiaTheme="minorHAnsi" w:hAnsi="Garamond" w:cstheme="minorBidi"/>
          <w:color w:val="000000" w:themeColor="text1"/>
          <w:sz w:val="24"/>
          <w:szCs w:val="24"/>
        </w:rPr>
      </w:pPr>
      <w:r w:rsidRPr="00D33BE0">
        <w:rPr>
          <w:rFonts w:ascii="Garamond" w:eastAsiaTheme="minorHAnsi" w:hAnsi="Garamond" w:cstheme="minorBidi"/>
          <w:color w:val="000000" w:themeColor="text1"/>
          <w:sz w:val="24"/>
          <w:szCs w:val="24"/>
        </w:rPr>
        <w:t xml:space="preserve">Muiden maiden ratkaisuja on hyvä sisällyttää </w:t>
      </w:r>
      <w:r w:rsidR="00D8503C">
        <w:rPr>
          <w:rFonts w:ascii="Garamond" w:eastAsiaTheme="minorHAnsi" w:hAnsi="Garamond" w:cstheme="minorBidi"/>
          <w:color w:val="000000" w:themeColor="text1"/>
          <w:sz w:val="24"/>
          <w:szCs w:val="24"/>
        </w:rPr>
        <w:t>mietintöön</w:t>
      </w:r>
      <w:r w:rsidR="00A7762A">
        <w:rPr>
          <w:rFonts w:ascii="Garamond" w:eastAsiaTheme="minorHAnsi" w:hAnsi="Garamond" w:cstheme="minorBidi"/>
          <w:color w:val="000000" w:themeColor="text1"/>
          <w:sz w:val="24"/>
          <w:szCs w:val="24"/>
        </w:rPr>
        <w:t>, sillä niiden</w:t>
      </w:r>
      <w:r w:rsidR="00D8503C">
        <w:rPr>
          <w:rFonts w:ascii="Garamond" w:eastAsiaTheme="minorHAnsi" w:hAnsi="Garamond" w:cstheme="minorBidi"/>
          <w:color w:val="000000" w:themeColor="text1"/>
          <w:sz w:val="24"/>
          <w:szCs w:val="24"/>
        </w:rPr>
        <w:t xml:space="preserve"> kautta </w:t>
      </w:r>
      <w:r w:rsidRPr="00D33BE0">
        <w:rPr>
          <w:rFonts w:ascii="Garamond" w:eastAsiaTheme="minorHAnsi" w:hAnsi="Garamond" w:cstheme="minorBidi"/>
          <w:color w:val="000000" w:themeColor="text1"/>
          <w:sz w:val="24"/>
          <w:szCs w:val="24"/>
        </w:rPr>
        <w:t xml:space="preserve">saadaan muiden maiden kokemuksia näkyville ja voidaan esitellä hyviä / huonoja </w:t>
      </w:r>
      <w:r w:rsidR="00A7762A">
        <w:rPr>
          <w:rFonts w:ascii="Garamond" w:eastAsiaTheme="minorHAnsi" w:hAnsi="Garamond" w:cstheme="minorBidi"/>
          <w:color w:val="000000" w:themeColor="text1"/>
          <w:sz w:val="24"/>
          <w:szCs w:val="24"/>
        </w:rPr>
        <w:t>vaihtoehtoja ja esimerkkejä</w:t>
      </w:r>
      <w:r w:rsidRPr="00D33BE0">
        <w:rPr>
          <w:rFonts w:ascii="Garamond" w:eastAsiaTheme="minorHAnsi" w:hAnsi="Garamond" w:cstheme="minorBidi"/>
          <w:color w:val="000000" w:themeColor="text1"/>
          <w:sz w:val="24"/>
          <w:szCs w:val="24"/>
        </w:rPr>
        <w:t>. Kaikkia luonnoksessa mainittuja maita ei välttämättä tarvitse kuvailla mietinnössä. Alkuvaiheessa kuitenkin sisällytetää</w:t>
      </w:r>
      <w:r w:rsidR="002E4C59">
        <w:rPr>
          <w:rFonts w:ascii="Garamond" w:eastAsiaTheme="minorHAnsi" w:hAnsi="Garamond" w:cstheme="minorBidi"/>
          <w:color w:val="000000" w:themeColor="text1"/>
          <w:sz w:val="24"/>
          <w:szCs w:val="24"/>
        </w:rPr>
        <w:t xml:space="preserve">n kaikki jo </w:t>
      </w:r>
      <w:r w:rsidR="00A7762A">
        <w:rPr>
          <w:rFonts w:ascii="Garamond" w:eastAsiaTheme="minorHAnsi" w:hAnsi="Garamond" w:cstheme="minorBidi"/>
          <w:color w:val="000000" w:themeColor="text1"/>
          <w:sz w:val="24"/>
          <w:szCs w:val="24"/>
        </w:rPr>
        <w:t>laaditut</w:t>
      </w:r>
      <w:r w:rsidR="002E4C59">
        <w:rPr>
          <w:rFonts w:ascii="Garamond" w:eastAsiaTheme="minorHAnsi" w:hAnsi="Garamond" w:cstheme="minorBidi"/>
          <w:color w:val="000000" w:themeColor="text1"/>
          <w:sz w:val="24"/>
          <w:szCs w:val="24"/>
        </w:rPr>
        <w:t xml:space="preserve"> kuvaukset. SAK</w:t>
      </w:r>
      <w:r w:rsidRPr="00D33BE0">
        <w:rPr>
          <w:rFonts w:ascii="Garamond" w:eastAsiaTheme="minorHAnsi" w:hAnsi="Garamond" w:cstheme="minorBidi"/>
          <w:color w:val="000000" w:themeColor="text1"/>
          <w:sz w:val="24"/>
          <w:szCs w:val="24"/>
        </w:rPr>
        <w:t>:n edustaja ehdotti, että osioon lisättäisiin analyysi Saksan tilanteesta</w:t>
      </w:r>
      <w:r w:rsidR="00A7762A">
        <w:rPr>
          <w:rFonts w:ascii="Garamond" w:eastAsiaTheme="minorHAnsi" w:hAnsi="Garamond" w:cstheme="minorBidi"/>
          <w:color w:val="000000" w:themeColor="text1"/>
          <w:sz w:val="24"/>
          <w:szCs w:val="24"/>
        </w:rPr>
        <w:t>;</w:t>
      </w:r>
      <w:r w:rsidRPr="00D33BE0">
        <w:rPr>
          <w:rFonts w:ascii="Garamond" w:eastAsiaTheme="minorHAnsi" w:hAnsi="Garamond" w:cstheme="minorBidi"/>
          <w:color w:val="000000" w:themeColor="text1"/>
          <w:sz w:val="24"/>
          <w:szCs w:val="24"/>
        </w:rPr>
        <w:t xml:space="preserve"> hän ottaa yhteyttä Mark Worthiin ja kysyy onko ilmoittajien suojelusta siellä käyty keskustelua. </w:t>
      </w:r>
    </w:p>
    <w:p w:rsidR="00FA5A41" w:rsidRPr="00D33BE0" w:rsidRDefault="00FA5A41" w:rsidP="00D33BE0">
      <w:pPr>
        <w:spacing w:after="0"/>
        <w:jc w:val="both"/>
        <w:rPr>
          <w:rFonts w:ascii="Garamond" w:eastAsiaTheme="minorHAnsi" w:hAnsi="Garamond" w:cstheme="minorBidi"/>
          <w:color w:val="000000" w:themeColor="text1"/>
          <w:sz w:val="24"/>
          <w:szCs w:val="24"/>
        </w:rPr>
      </w:pPr>
    </w:p>
    <w:p w:rsidR="00D33BE0" w:rsidRDefault="00D33BE0" w:rsidP="00D33BE0">
      <w:pPr>
        <w:pStyle w:val="Luettelokappale"/>
        <w:numPr>
          <w:ilvl w:val="0"/>
          <w:numId w:val="34"/>
        </w:numPr>
        <w:spacing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Ilmoittamiseen ja ilmoittajien suojeluun liittyvä lainsäädäntötilanne Suomessa</w:t>
      </w:r>
    </w:p>
    <w:p w:rsidR="00D33BE0" w:rsidRDefault="00D33BE0" w:rsidP="00D33BE0">
      <w:pPr>
        <w:spacing w:after="0"/>
        <w:jc w:val="both"/>
        <w:rPr>
          <w:rFonts w:ascii="Garamond" w:eastAsiaTheme="minorHAnsi" w:hAnsi="Garamond" w:cstheme="minorBidi"/>
          <w:color w:val="000000" w:themeColor="text1"/>
          <w:sz w:val="24"/>
          <w:szCs w:val="24"/>
        </w:rPr>
      </w:pPr>
    </w:p>
    <w:p w:rsidR="00D8503C" w:rsidRDefault="00FA5A41" w:rsidP="00D33BE0">
      <w:pPr>
        <w:spacing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Jäsenet </w:t>
      </w:r>
      <w:r w:rsidR="00D33BE0">
        <w:rPr>
          <w:rFonts w:ascii="Garamond" w:eastAsiaTheme="minorHAnsi" w:hAnsi="Garamond" w:cstheme="minorBidi"/>
          <w:color w:val="000000" w:themeColor="text1"/>
          <w:sz w:val="24"/>
          <w:szCs w:val="24"/>
        </w:rPr>
        <w:t xml:space="preserve">ehdottivat, että työsuojelulakia, </w:t>
      </w:r>
      <w:r>
        <w:rPr>
          <w:rFonts w:ascii="Garamond" w:eastAsiaTheme="minorHAnsi" w:hAnsi="Garamond" w:cstheme="minorBidi"/>
          <w:color w:val="000000" w:themeColor="text1"/>
          <w:sz w:val="24"/>
          <w:szCs w:val="24"/>
        </w:rPr>
        <w:t>todis</w:t>
      </w:r>
      <w:r w:rsidR="00A7762A">
        <w:rPr>
          <w:rFonts w:ascii="Garamond" w:eastAsiaTheme="minorHAnsi" w:hAnsi="Garamond" w:cstheme="minorBidi"/>
          <w:color w:val="000000" w:themeColor="text1"/>
          <w:sz w:val="24"/>
          <w:szCs w:val="24"/>
        </w:rPr>
        <w:t>tajien suojeluun liittyvää lainsäädäntöä</w:t>
      </w:r>
      <w:r>
        <w:rPr>
          <w:rFonts w:ascii="Garamond" w:eastAsiaTheme="minorHAnsi" w:hAnsi="Garamond" w:cstheme="minorBidi"/>
          <w:color w:val="000000" w:themeColor="text1"/>
          <w:sz w:val="24"/>
          <w:szCs w:val="24"/>
        </w:rPr>
        <w:t xml:space="preserve"> ja lähe</w:t>
      </w:r>
      <w:r w:rsidR="00A7762A">
        <w:rPr>
          <w:rFonts w:ascii="Garamond" w:eastAsiaTheme="minorHAnsi" w:hAnsi="Garamond" w:cstheme="minorBidi"/>
          <w:color w:val="000000" w:themeColor="text1"/>
          <w:sz w:val="24"/>
          <w:szCs w:val="24"/>
        </w:rPr>
        <w:t>stymiskieltoa käsittelevää lainsäädäntöä</w:t>
      </w:r>
      <w:r>
        <w:rPr>
          <w:rFonts w:ascii="Garamond" w:eastAsiaTheme="minorHAnsi" w:hAnsi="Garamond" w:cstheme="minorBidi"/>
          <w:color w:val="000000" w:themeColor="text1"/>
          <w:sz w:val="24"/>
          <w:szCs w:val="24"/>
        </w:rPr>
        <w:t xml:space="preserve"> lisättäisiin listaan. </w:t>
      </w:r>
    </w:p>
    <w:p w:rsidR="00D33BE0" w:rsidRDefault="00FA5A41" w:rsidP="00D8503C">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Sihteeri</w:t>
      </w:r>
      <w:r w:rsidR="00D8503C">
        <w:rPr>
          <w:rFonts w:ascii="Garamond" w:eastAsiaTheme="minorHAnsi" w:hAnsi="Garamond" w:cstheme="minorBidi"/>
          <w:color w:val="000000" w:themeColor="text1"/>
          <w:sz w:val="24"/>
          <w:szCs w:val="24"/>
        </w:rPr>
        <w:t xml:space="preserve"> totesi, että kyseistä osiota voisi kirjoittaa yhteistyössä, työryhmässä kun on juristitaustaisia jäseniä. </w:t>
      </w:r>
      <w:proofErr w:type="spellStart"/>
      <w:r w:rsidR="00D8503C">
        <w:rPr>
          <w:rFonts w:ascii="Garamond" w:eastAsiaTheme="minorHAnsi" w:hAnsi="Garamond" w:cstheme="minorBidi"/>
          <w:color w:val="000000" w:themeColor="text1"/>
          <w:sz w:val="24"/>
          <w:szCs w:val="24"/>
        </w:rPr>
        <w:t>EK:n</w:t>
      </w:r>
      <w:proofErr w:type="spellEnd"/>
      <w:r w:rsidR="00D8503C">
        <w:rPr>
          <w:rFonts w:ascii="Garamond" w:eastAsiaTheme="minorHAnsi" w:hAnsi="Garamond" w:cstheme="minorBidi"/>
          <w:color w:val="000000" w:themeColor="text1"/>
          <w:sz w:val="24"/>
          <w:szCs w:val="24"/>
        </w:rPr>
        <w:t xml:space="preserve"> edustaja ilmoitti kirjoittavansa finanssivalvontalakia koskevaa tekstiä.</w:t>
      </w:r>
      <w:r>
        <w:rPr>
          <w:rFonts w:ascii="Garamond" w:eastAsiaTheme="minorHAnsi" w:hAnsi="Garamond" w:cstheme="minorBidi"/>
          <w:color w:val="000000" w:themeColor="text1"/>
          <w:sz w:val="24"/>
          <w:szCs w:val="24"/>
        </w:rPr>
        <w:t xml:space="preserve"> </w:t>
      </w:r>
    </w:p>
    <w:p w:rsidR="00D8503C" w:rsidRDefault="002E4C59" w:rsidP="00D8503C">
      <w:pPr>
        <w:pStyle w:val="Luettelokappale"/>
        <w:numPr>
          <w:ilvl w:val="0"/>
          <w:numId w:val="34"/>
        </w:num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Ilmoittamisen ja ilmoittajien suojelun nykykäytännöt Suomessa </w:t>
      </w:r>
    </w:p>
    <w:p w:rsidR="00D8711D" w:rsidRPr="00D8711D" w:rsidRDefault="00D8711D" w:rsidP="002E4C59">
      <w:pPr>
        <w:spacing w:before="240" w:after="0"/>
        <w:jc w:val="both"/>
        <w:rPr>
          <w:rFonts w:ascii="Garamond" w:eastAsiaTheme="minorHAnsi" w:hAnsi="Garamond" w:cstheme="minorBidi"/>
          <w:color w:val="000000" w:themeColor="text1"/>
          <w:sz w:val="24"/>
          <w:szCs w:val="24"/>
          <w:u w:val="single"/>
        </w:rPr>
      </w:pPr>
      <w:r w:rsidRPr="00D8711D">
        <w:rPr>
          <w:rFonts w:ascii="Garamond" w:eastAsiaTheme="minorHAnsi" w:hAnsi="Garamond" w:cstheme="minorBidi"/>
          <w:color w:val="000000" w:themeColor="text1"/>
          <w:sz w:val="24"/>
          <w:szCs w:val="24"/>
          <w:u w:val="single"/>
        </w:rPr>
        <w:t>Työpaikan sisäinen ilmoittaminen ja ilmoittajien suojelu</w:t>
      </w:r>
    </w:p>
    <w:p w:rsidR="002E4C59" w:rsidRDefault="002E4C59" w:rsidP="002E4C59">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Päätettiin, että alaotsikoita muutetaan seuraavasti: (a) yritystoiminta ja (b) julkinen toiminta. Todettiin myös, että yritysten ilmoituskanavista ja </w:t>
      </w:r>
      <w:proofErr w:type="gramStart"/>
      <w:r>
        <w:rPr>
          <w:rFonts w:ascii="Garamond" w:eastAsiaTheme="minorHAnsi" w:hAnsi="Garamond" w:cstheme="minorBidi"/>
          <w:color w:val="000000" w:themeColor="text1"/>
          <w:sz w:val="24"/>
          <w:szCs w:val="24"/>
        </w:rPr>
        <w:t>–käytännöistä</w:t>
      </w:r>
      <w:proofErr w:type="gramEnd"/>
      <w:r>
        <w:rPr>
          <w:rFonts w:ascii="Garamond" w:eastAsiaTheme="minorHAnsi" w:hAnsi="Garamond" w:cstheme="minorBidi"/>
          <w:color w:val="000000" w:themeColor="text1"/>
          <w:sz w:val="24"/>
          <w:szCs w:val="24"/>
        </w:rPr>
        <w:t xml:space="preserve"> </w:t>
      </w:r>
      <w:r w:rsidR="00A7762A">
        <w:rPr>
          <w:rFonts w:ascii="Garamond" w:eastAsiaTheme="minorHAnsi" w:hAnsi="Garamond" w:cstheme="minorBidi"/>
          <w:color w:val="000000" w:themeColor="text1"/>
          <w:sz w:val="24"/>
          <w:szCs w:val="24"/>
        </w:rPr>
        <w:t>voisi</w:t>
      </w:r>
      <w:r>
        <w:rPr>
          <w:rFonts w:ascii="Garamond" w:eastAsiaTheme="minorHAnsi" w:hAnsi="Garamond" w:cstheme="minorBidi"/>
          <w:color w:val="000000" w:themeColor="text1"/>
          <w:sz w:val="24"/>
          <w:szCs w:val="24"/>
        </w:rPr>
        <w:t xml:space="preserve"> saada lisätietoa </w:t>
      </w:r>
      <w:proofErr w:type="spellStart"/>
      <w:r>
        <w:rPr>
          <w:rFonts w:ascii="Garamond" w:eastAsiaTheme="minorHAnsi" w:hAnsi="Garamond" w:cstheme="minorBidi"/>
          <w:color w:val="000000" w:themeColor="text1"/>
          <w:sz w:val="24"/>
          <w:szCs w:val="24"/>
        </w:rPr>
        <w:t>TEM:n</w:t>
      </w:r>
      <w:proofErr w:type="spellEnd"/>
      <w:r>
        <w:rPr>
          <w:rFonts w:ascii="Garamond" w:eastAsiaTheme="minorHAnsi" w:hAnsi="Garamond" w:cstheme="minorBidi"/>
          <w:color w:val="000000" w:themeColor="text1"/>
          <w:sz w:val="24"/>
          <w:szCs w:val="24"/>
        </w:rPr>
        <w:t xml:space="preserve"> yhteiskuntavastuukysymyksiä hoitavilta virkamiehiltä sekä </w:t>
      </w:r>
      <w:proofErr w:type="spellStart"/>
      <w:r>
        <w:rPr>
          <w:rFonts w:ascii="Garamond" w:eastAsiaTheme="minorHAnsi" w:hAnsi="Garamond" w:cstheme="minorBidi"/>
          <w:color w:val="000000" w:themeColor="text1"/>
          <w:sz w:val="24"/>
          <w:szCs w:val="24"/>
        </w:rPr>
        <w:t>FIBS:n</w:t>
      </w:r>
      <w:proofErr w:type="spellEnd"/>
      <w:r>
        <w:rPr>
          <w:rFonts w:ascii="Garamond" w:eastAsiaTheme="minorHAnsi" w:hAnsi="Garamond" w:cstheme="minorBidi"/>
          <w:color w:val="000000" w:themeColor="text1"/>
          <w:sz w:val="24"/>
          <w:szCs w:val="24"/>
        </w:rPr>
        <w:t xml:space="preserve"> kautta. Puheenjohtaja ottaa yhteyttä näihin. </w:t>
      </w:r>
    </w:p>
    <w:p w:rsidR="002E4C59" w:rsidRDefault="002E4C59" w:rsidP="002E4C59">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Sihteeri pyysi jäseniä tarkistamaan, tulisiko Stora Enson kuulemisesta lisätä tietoa. </w:t>
      </w:r>
      <w:proofErr w:type="spellStart"/>
      <w:r>
        <w:rPr>
          <w:rFonts w:ascii="Garamond" w:eastAsiaTheme="minorHAnsi" w:hAnsi="Garamond" w:cstheme="minorBidi"/>
          <w:color w:val="000000" w:themeColor="text1"/>
          <w:sz w:val="24"/>
          <w:szCs w:val="24"/>
        </w:rPr>
        <w:t>TI:n</w:t>
      </w:r>
      <w:proofErr w:type="spellEnd"/>
      <w:r>
        <w:rPr>
          <w:rFonts w:ascii="Garamond" w:eastAsiaTheme="minorHAnsi" w:hAnsi="Garamond" w:cstheme="minorBidi"/>
          <w:color w:val="000000" w:themeColor="text1"/>
          <w:sz w:val="24"/>
          <w:szCs w:val="24"/>
        </w:rPr>
        <w:t xml:space="preserve"> edustaja oli sitä mieltä, että tärkeimmät kuulemistilaisuuden kautta saadut tiedot näkyvät tekstissä. Hän korosti myös, että työryhmän on hyvä muistaa, ettei edes kaikilla suuryrityksillä ole ilmoitusjärjestelmiä tai vakiintuneita ilmoitus- tai suojelukäytäntöjä. </w:t>
      </w:r>
    </w:p>
    <w:p w:rsidR="002E4C59" w:rsidRDefault="002E4C59" w:rsidP="002E4C59">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Todettiin, että finanssialaa on hyvä käsitellä erikseen </w:t>
      </w:r>
      <w:r w:rsidR="00AD6288">
        <w:rPr>
          <w:rFonts w:ascii="Garamond" w:eastAsiaTheme="minorHAnsi" w:hAnsi="Garamond" w:cstheme="minorBidi"/>
          <w:color w:val="000000" w:themeColor="text1"/>
          <w:sz w:val="24"/>
          <w:szCs w:val="24"/>
        </w:rPr>
        <w:t xml:space="preserve">mm. uuden ja erilaisen lainsäädännön vuoksi. </w:t>
      </w:r>
    </w:p>
    <w:p w:rsidR="00D8711D" w:rsidRDefault="00D8711D" w:rsidP="002E4C59">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Julkisen puolen käytännöistä tiedetään edelleen liian vähän. Sihteeri on ottanut yhteyttä sisäisen valvonnan ja riskienhallinnan neuvottelukuntaan (VM) sekä kuntatyönantajiin ehdottaen tapaamista. </w:t>
      </w:r>
    </w:p>
    <w:p w:rsidR="00D8711D" w:rsidRDefault="00D8711D" w:rsidP="002E4C59">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Päätettiin, ettei säätiöitä tai yhdistyksiä käsitellä erikseen, sillä näiden työntekijät kuuluvat työnsuojelun piiriin. </w:t>
      </w:r>
    </w:p>
    <w:p w:rsidR="00D8711D" w:rsidRPr="00D8711D" w:rsidRDefault="00D8711D" w:rsidP="00D8711D">
      <w:pPr>
        <w:spacing w:before="240" w:after="0"/>
        <w:jc w:val="both"/>
        <w:rPr>
          <w:rFonts w:ascii="Garamond" w:eastAsiaTheme="minorHAnsi" w:hAnsi="Garamond" w:cstheme="minorBidi"/>
          <w:color w:val="000000" w:themeColor="text1"/>
          <w:sz w:val="24"/>
          <w:szCs w:val="24"/>
          <w:u w:val="single"/>
        </w:rPr>
      </w:pPr>
      <w:r w:rsidRPr="00D8711D">
        <w:rPr>
          <w:rFonts w:ascii="Garamond" w:eastAsiaTheme="minorHAnsi" w:hAnsi="Garamond" w:cstheme="minorBidi"/>
          <w:color w:val="000000" w:themeColor="text1"/>
          <w:sz w:val="24"/>
          <w:szCs w:val="24"/>
          <w:u w:val="single"/>
        </w:rPr>
        <w:t>Ilmoittaminen ulkopuoliselle taholle</w:t>
      </w:r>
    </w:p>
    <w:p w:rsidR="00D33BE0" w:rsidRDefault="00336C43" w:rsidP="00BA672D">
      <w:pPr>
        <w:spacing w:before="240" w:after="0"/>
        <w:jc w:val="both"/>
        <w:rPr>
          <w:rFonts w:ascii="Garamond" w:eastAsiaTheme="minorHAnsi" w:hAnsi="Garamond" w:cstheme="minorBidi"/>
          <w:color w:val="000000" w:themeColor="text1"/>
          <w:sz w:val="24"/>
          <w:szCs w:val="24"/>
        </w:rPr>
      </w:pPr>
      <w:proofErr w:type="spellStart"/>
      <w:r>
        <w:rPr>
          <w:rFonts w:ascii="Garamond" w:eastAsiaTheme="minorHAnsi" w:hAnsi="Garamond" w:cstheme="minorBidi"/>
          <w:color w:val="000000" w:themeColor="text1"/>
          <w:sz w:val="24"/>
          <w:szCs w:val="24"/>
        </w:rPr>
        <w:t>EK:n</w:t>
      </w:r>
      <w:proofErr w:type="spellEnd"/>
      <w:r>
        <w:rPr>
          <w:rFonts w:ascii="Garamond" w:eastAsiaTheme="minorHAnsi" w:hAnsi="Garamond" w:cstheme="minorBidi"/>
          <w:color w:val="000000" w:themeColor="text1"/>
          <w:sz w:val="24"/>
          <w:szCs w:val="24"/>
        </w:rPr>
        <w:t xml:space="preserve"> edustaja totesi, että Ison-Britannian </w:t>
      </w:r>
      <w:r w:rsidR="00BA672D">
        <w:rPr>
          <w:rFonts w:ascii="Garamond" w:eastAsiaTheme="minorHAnsi" w:hAnsi="Garamond" w:cstheme="minorBidi"/>
          <w:color w:val="000000" w:themeColor="text1"/>
          <w:sz w:val="24"/>
          <w:szCs w:val="24"/>
        </w:rPr>
        <w:t xml:space="preserve">ratkaisu ohjata ulkopuoliselle taholle meneviä ilmoituksia tietyille </w:t>
      </w:r>
      <w:r w:rsidR="00BA672D" w:rsidRPr="00BA672D">
        <w:rPr>
          <w:rFonts w:ascii="Garamond" w:eastAsiaTheme="minorHAnsi" w:hAnsi="Garamond" w:cstheme="minorBidi"/>
          <w:color w:val="000000" w:themeColor="text1"/>
          <w:sz w:val="24"/>
          <w:szCs w:val="24"/>
        </w:rPr>
        <w:t xml:space="preserve">erikseen määrätyille </w:t>
      </w:r>
      <w:r w:rsidR="00BA672D">
        <w:rPr>
          <w:rFonts w:ascii="Garamond" w:eastAsiaTheme="minorHAnsi" w:hAnsi="Garamond" w:cstheme="minorBidi"/>
          <w:color w:val="000000" w:themeColor="text1"/>
          <w:sz w:val="24"/>
          <w:szCs w:val="24"/>
        </w:rPr>
        <w:t>viranomaisille on kiinnostava. Sisäministeriön edustaja muistutti, että harmaan talouden työryhmässä katsottiin, ettei erillistä ilmoitusten vastaanottamiseen ta</w:t>
      </w:r>
      <w:r w:rsidR="00A7762A">
        <w:rPr>
          <w:rFonts w:ascii="Garamond" w:eastAsiaTheme="minorHAnsi" w:hAnsi="Garamond" w:cstheme="minorBidi"/>
          <w:color w:val="000000" w:themeColor="text1"/>
          <w:sz w:val="24"/>
          <w:szCs w:val="24"/>
        </w:rPr>
        <w:t>rkoitettua kanavaa tarvita, sillä monella viranomaisella on oma</w:t>
      </w:r>
      <w:r w:rsidR="00BA672D">
        <w:rPr>
          <w:rFonts w:ascii="Garamond" w:eastAsiaTheme="minorHAnsi" w:hAnsi="Garamond" w:cstheme="minorBidi"/>
          <w:color w:val="000000" w:themeColor="text1"/>
          <w:sz w:val="24"/>
          <w:szCs w:val="24"/>
        </w:rPr>
        <w:t xml:space="preserve"> kanavansa. </w:t>
      </w:r>
    </w:p>
    <w:p w:rsidR="00BA672D" w:rsidRDefault="00BA672D" w:rsidP="00BA672D">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Todettiin, että ulkoiset kanavat ovat tärkeitä sellaisissa tapauksissa, joissa ilmoittaja ei koe tulevansa kuulluksi työpaikan sisällä tai häneen kohdistuu vastatoimia. SAK:n edustaja laatii muistion ilmoittajien kokemista ongelmista ja haasteista. Työryhmässä todettiin, että on tärkeä antaa äänen niille, jotka ilmoittamisen takia ovat joutuneet ahdinkoon.</w:t>
      </w:r>
    </w:p>
    <w:p w:rsidR="00827BB7" w:rsidRDefault="00827BB7" w:rsidP="00BA672D">
      <w:pPr>
        <w:spacing w:before="240"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Rakenne-ehdotuksen loppuosaa käsitellään työryhmän seuraavassa kokouksessa. </w:t>
      </w:r>
    </w:p>
    <w:p w:rsidR="00D33BE0" w:rsidRPr="00632DC8" w:rsidRDefault="00D33BE0" w:rsidP="00C25755">
      <w:pPr>
        <w:spacing w:after="0"/>
        <w:rPr>
          <w:rFonts w:ascii="Garamond" w:eastAsiaTheme="minorHAnsi" w:hAnsi="Garamond" w:cstheme="minorBidi"/>
          <w:b/>
          <w:color w:val="000000" w:themeColor="text1"/>
          <w:sz w:val="24"/>
          <w:szCs w:val="24"/>
        </w:rPr>
      </w:pPr>
    </w:p>
    <w:p w:rsidR="00167D87" w:rsidRPr="00FC7AD4" w:rsidRDefault="00167D87" w:rsidP="008A4AFA">
      <w:pPr>
        <w:numPr>
          <w:ilvl w:val="0"/>
          <w:numId w:val="16"/>
        </w:numPr>
        <w:contextualSpacing/>
        <w:rPr>
          <w:rFonts w:ascii="Garamond" w:eastAsiaTheme="minorHAnsi" w:hAnsi="Garamond" w:cstheme="minorBidi"/>
          <w:b/>
          <w:sz w:val="24"/>
          <w:szCs w:val="24"/>
        </w:rPr>
      </w:pPr>
      <w:r w:rsidRPr="00FC7AD4">
        <w:rPr>
          <w:rFonts w:ascii="Garamond" w:eastAsiaTheme="minorHAnsi" w:hAnsi="Garamond" w:cstheme="minorBidi"/>
          <w:b/>
          <w:sz w:val="24"/>
          <w:szCs w:val="24"/>
        </w:rPr>
        <w:t>Kokouksen päättäminen ja seuraava kokous</w:t>
      </w:r>
    </w:p>
    <w:p w:rsidR="00167D87" w:rsidRPr="00632DC8" w:rsidRDefault="00167D87" w:rsidP="00827BB7">
      <w:pPr>
        <w:spacing w:before="240"/>
        <w:jc w:val="both"/>
        <w:rPr>
          <w:rFonts w:ascii="Garamond" w:eastAsiaTheme="minorHAnsi" w:hAnsi="Garamond" w:cstheme="minorBidi"/>
          <w:color w:val="000000" w:themeColor="text1"/>
          <w:sz w:val="24"/>
          <w:szCs w:val="24"/>
        </w:rPr>
      </w:pPr>
      <w:r w:rsidRPr="00FC7AD4">
        <w:rPr>
          <w:rFonts w:ascii="Garamond" w:eastAsiaTheme="minorHAnsi" w:hAnsi="Garamond" w:cstheme="minorBidi"/>
          <w:sz w:val="24"/>
          <w:szCs w:val="24"/>
        </w:rPr>
        <w:t>Puheenjohtaja päätti kokouksen klo</w:t>
      </w:r>
      <w:r w:rsidR="00E270D4" w:rsidRPr="00FC7AD4">
        <w:rPr>
          <w:rFonts w:ascii="Garamond" w:eastAsiaTheme="minorHAnsi" w:hAnsi="Garamond" w:cstheme="minorBidi"/>
          <w:sz w:val="24"/>
          <w:szCs w:val="24"/>
        </w:rPr>
        <w:t xml:space="preserve"> </w:t>
      </w:r>
      <w:r w:rsidR="008A4AFA">
        <w:rPr>
          <w:rFonts w:ascii="Garamond" w:eastAsiaTheme="minorHAnsi" w:hAnsi="Garamond" w:cstheme="minorBidi"/>
          <w:sz w:val="24"/>
          <w:szCs w:val="24"/>
        </w:rPr>
        <w:t>15:45</w:t>
      </w:r>
      <w:r w:rsidR="008335FE" w:rsidRPr="00FC7AD4">
        <w:rPr>
          <w:rFonts w:ascii="Garamond" w:eastAsiaTheme="minorHAnsi" w:hAnsi="Garamond" w:cstheme="minorBidi"/>
          <w:sz w:val="24"/>
          <w:szCs w:val="24"/>
        </w:rPr>
        <w:t>.</w:t>
      </w:r>
      <w:r w:rsidR="00A7762A">
        <w:rPr>
          <w:rFonts w:ascii="Garamond" w:eastAsiaTheme="minorHAnsi" w:hAnsi="Garamond" w:cstheme="minorBidi"/>
          <w:sz w:val="24"/>
          <w:szCs w:val="24"/>
        </w:rPr>
        <w:t xml:space="preserve"> </w:t>
      </w:r>
      <w:r w:rsidR="008A4AFA">
        <w:rPr>
          <w:rFonts w:ascii="Garamond" w:eastAsiaTheme="minorHAnsi" w:hAnsi="Garamond" w:cstheme="minorBidi"/>
          <w:sz w:val="24"/>
          <w:szCs w:val="24"/>
        </w:rPr>
        <w:t xml:space="preserve">Seuraava kokous pidetään 25.8.2015 klo </w:t>
      </w:r>
      <w:proofErr w:type="gramStart"/>
      <w:r w:rsidR="008A4AFA">
        <w:rPr>
          <w:rFonts w:ascii="Garamond" w:eastAsiaTheme="minorHAnsi" w:hAnsi="Garamond" w:cstheme="minorBidi"/>
          <w:sz w:val="24"/>
          <w:szCs w:val="24"/>
        </w:rPr>
        <w:t>13-15:00</w:t>
      </w:r>
      <w:proofErr w:type="gramEnd"/>
      <w:r w:rsidR="00A7762A">
        <w:rPr>
          <w:rFonts w:ascii="Garamond" w:eastAsiaTheme="minorHAnsi" w:hAnsi="Garamond" w:cstheme="minorBidi"/>
          <w:sz w:val="24"/>
          <w:szCs w:val="24"/>
        </w:rPr>
        <w:t xml:space="preserve"> </w:t>
      </w:r>
      <w:proofErr w:type="spellStart"/>
      <w:r w:rsidR="00A7762A">
        <w:rPr>
          <w:rFonts w:ascii="Garamond" w:eastAsiaTheme="minorHAnsi" w:hAnsi="Garamond" w:cstheme="minorBidi"/>
          <w:sz w:val="24"/>
          <w:szCs w:val="24"/>
        </w:rPr>
        <w:t>KPO:ssa</w:t>
      </w:r>
      <w:proofErr w:type="spellEnd"/>
      <w:r w:rsidR="00A7762A">
        <w:rPr>
          <w:rFonts w:ascii="Garamond" w:eastAsiaTheme="minorHAnsi" w:hAnsi="Garamond" w:cstheme="minorBidi"/>
          <w:sz w:val="24"/>
          <w:szCs w:val="24"/>
        </w:rPr>
        <w:t xml:space="preserve"> (</w:t>
      </w:r>
      <w:r w:rsidR="00A7762A" w:rsidRPr="00A7762A">
        <w:rPr>
          <w:rFonts w:ascii="Garamond" w:eastAsiaTheme="minorHAnsi" w:hAnsi="Garamond" w:cstheme="minorBidi"/>
          <w:b/>
          <w:sz w:val="24"/>
          <w:szCs w:val="24"/>
        </w:rPr>
        <w:t>5.</w:t>
      </w:r>
      <w:r w:rsidR="00A7762A">
        <w:rPr>
          <w:rFonts w:ascii="Garamond" w:eastAsiaTheme="minorHAnsi" w:hAnsi="Garamond" w:cstheme="minorBidi"/>
          <w:sz w:val="24"/>
          <w:szCs w:val="24"/>
        </w:rPr>
        <w:t xml:space="preserve"> krs.)</w:t>
      </w:r>
      <w:r w:rsidR="00FC7AD4" w:rsidRPr="00FC7AD4">
        <w:rPr>
          <w:rFonts w:ascii="Garamond" w:eastAsiaTheme="minorHAnsi" w:hAnsi="Garamond" w:cstheme="minorBidi"/>
          <w:sz w:val="24"/>
          <w:szCs w:val="24"/>
        </w:rPr>
        <w:t xml:space="preserve">. </w:t>
      </w:r>
    </w:p>
    <w:p w:rsidR="00167D87" w:rsidRPr="00632DC8" w:rsidRDefault="00167D87" w:rsidP="00C25755">
      <w:pPr>
        <w:rPr>
          <w:rFonts w:ascii="Garamond" w:eastAsiaTheme="minorHAnsi" w:hAnsi="Garamond" w:cstheme="minorBidi"/>
          <w:color w:val="000000" w:themeColor="text1"/>
          <w:sz w:val="24"/>
          <w:szCs w:val="24"/>
        </w:rPr>
      </w:pPr>
    </w:p>
    <w:p w:rsidR="005A0968" w:rsidRDefault="00167D87" w:rsidP="00C25755">
      <w:pPr>
        <w:jc w:val="center"/>
        <w:rPr>
          <w:rFonts w:ascii="Garamond" w:eastAsiaTheme="minorHAnsi" w:hAnsi="Garamond" w:cstheme="minorBidi"/>
          <w:color w:val="000000" w:themeColor="text1"/>
          <w:sz w:val="24"/>
          <w:szCs w:val="24"/>
        </w:rPr>
      </w:pPr>
      <w:proofErr w:type="gramStart"/>
      <w:r w:rsidRPr="00632DC8">
        <w:rPr>
          <w:rFonts w:ascii="Garamond" w:eastAsiaTheme="minorHAnsi" w:hAnsi="Garamond" w:cstheme="minorBidi"/>
          <w:color w:val="000000" w:themeColor="text1"/>
          <w:sz w:val="24"/>
          <w:szCs w:val="24"/>
        </w:rPr>
        <w:t>……………………………………………….</w:t>
      </w:r>
      <w:proofErr w:type="gramEnd"/>
    </w:p>
    <w:p w:rsidR="00827BB7" w:rsidRDefault="00827BB7" w:rsidP="008A4AFA">
      <w:pPr>
        <w:rPr>
          <w:rFonts w:ascii="Garamond" w:eastAsiaTheme="minorHAnsi" w:hAnsi="Garamond" w:cstheme="minorBidi"/>
          <w:b/>
          <w:color w:val="000000" w:themeColor="text1"/>
          <w:sz w:val="24"/>
          <w:szCs w:val="24"/>
        </w:rPr>
        <w:sectPr w:rsidR="00827BB7" w:rsidSect="000C0616">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pPr>
    </w:p>
    <w:p w:rsidR="008A4AFA" w:rsidRDefault="008A4AFA" w:rsidP="008A4AFA">
      <w:pPr>
        <w:rPr>
          <w:rFonts w:ascii="Garamond" w:eastAsiaTheme="minorHAnsi" w:hAnsi="Garamond" w:cstheme="minorBidi"/>
          <w:b/>
          <w:color w:val="000000" w:themeColor="text1"/>
          <w:sz w:val="24"/>
          <w:szCs w:val="24"/>
        </w:rPr>
      </w:pPr>
      <w:r w:rsidRPr="008A4AFA">
        <w:rPr>
          <w:rFonts w:ascii="Garamond" w:eastAsiaTheme="minorHAnsi" w:hAnsi="Garamond" w:cstheme="minorBidi"/>
          <w:b/>
          <w:color w:val="000000" w:themeColor="text1"/>
          <w:sz w:val="24"/>
          <w:szCs w:val="24"/>
        </w:rPr>
        <w:lastRenderedPageBreak/>
        <w:t>Liite1: Ehdotus mietinnön rakenteeksi</w:t>
      </w:r>
    </w:p>
    <w:p w:rsidR="008A4AFA" w:rsidRPr="008A4AFA" w:rsidRDefault="008A4AFA" w:rsidP="008A4AFA">
      <w:pPr>
        <w:ind w:left="9128" w:firstLine="1304"/>
        <w:rPr>
          <w:rFonts w:asciiTheme="minorHAnsi" w:eastAsiaTheme="minorHAnsi" w:hAnsiTheme="minorHAnsi" w:cstheme="minorBidi"/>
          <w:sz w:val="20"/>
          <w:szCs w:val="20"/>
        </w:rPr>
      </w:pPr>
      <w:r w:rsidRPr="008A4AFA">
        <w:rPr>
          <w:rFonts w:asciiTheme="minorHAnsi" w:eastAsiaTheme="minorHAnsi" w:hAnsiTheme="minorHAnsi" w:cstheme="minorBidi"/>
          <w:sz w:val="20"/>
          <w:szCs w:val="20"/>
        </w:rPr>
        <w:t xml:space="preserve">Groop / </w:t>
      </w:r>
      <w:proofErr w:type="gramStart"/>
      <w:r w:rsidRPr="008A4AFA">
        <w:rPr>
          <w:rFonts w:asciiTheme="minorHAnsi" w:eastAsiaTheme="minorHAnsi" w:hAnsiTheme="minorHAnsi" w:cstheme="minorBidi"/>
          <w:sz w:val="20"/>
          <w:szCs w:val="20"/>
        </w:rPr>
        <w:t>07.08.2015</w:t>
      </w:r>
      <w:proofErr w:type="gramEnd"/>
    </w:p>
    <w:p w:rsidR="008A4AFA" w:rsidRPr="008A4AFA" w:rsidRDefault="008A4AFA" w:rsidP="008A4AFA">
      <w:pPr>
        <w:keepNext/>
        <w:keepLines/>
        <w:spacing w:before="480" w:after="0"/>
        <w:outlineLvl w:val="0"/>
        <w:rPr>
          <w:rFonts w:asciiTheme="majorHAnsi" w:eastAsiaTheme="majorEastAsia" w:hAnsiTheme="majorHAnsi" w:cstheme="majorBidi"/>
          <w:b/>
          <w:bCs/>
          <w:sz w:val="32"/>
          <w:szCs w:val="32"/>
        </w:rPr>
      </w:pPr>
      <w:proofErr w:type="gramStart"/>
      <w:r w:rsidRPr="008A4AFA">
        <w:rPr>
          <w:rFonts w:asciiTheme="majorHAnsi" w:eastAsiaTheme="majorEastAsia" w:hAnsiTheme="majorHAnsi" w:cstheme="majorBidi"/>
          <w:b/>
          <w:bCs/>
          <w:sz w:val="32"/>
          <w:szCs w:val="32"/>
        </w:rPr>
        <w:t>MIETINNÖN RAKENNE (LUONNOS) JA OLEMASSA OLEVA TAUSTAMATERIAALI</w:t>
      </w:r>
      <w:proofErr w:type="gramEnd"/>
      <w:r w:rsidRPr="008A4AFA">
        <w:rPr>
          <w:rFonts w:asciiTheme="majorHAnsi" w:eastAsiaTheme="majorEastAsia" w:hAnsiTheme="majorHAnsi" w:cstheme="majorBidi"/>
          <w:b/>
          <w:bCs/>
          <w:sz w:val="32"/>
          <w:szCs w:val="32"/>
        </w:rPr>
        <w:t xml:space="preserve"> </w:t>
      </w:r>
    </w:p>
    <w:p w:rsidR="008A4AFA" w:rsidRPr="008A4AFA" w:rsidRDefault="008A4AFA" w:rsidP="008A4AFA">
      <w:pPr>
        <w:rPr>
          <w:rFonts w:asciiTheme="minorHAnsi" w:eastAsiaTheme="minorHAnsi" w:hAnsiTheme="minorHAnsi" w:cstheme="minorBidi"/>
        </w:rPr>
      </w:pPr>
    </w:p>
    <w:tbl>
      <w:tblPr>
        <w:tblStyle w:val="TaulukkoRuudukko"/>
        <w:tblW w:w="0" w:type="auto"/>
        <w:tblLook w:val="04A0" w:firstRow="1" w:lastRow="0" w:firstColumn="1" w:lastColumn="0" w:noHBand="0" w:noVBand="1"/>
      </w:tblPr>
      <w:tblGrid>
        <w:gridCol w:w="3510"/>
        <w:gridCol w:w="5103"/>
        <w:gridCol w:w="5245"/>
      </w:tblGrid>
      <w:tr w:rsidR="008A4AFA" w:rsidRPr="008A4AFA" w:rsidTr="00F618F0">
        <w:tc>
          <w:tcPr>
            <w:tcW w:w="3510" w:type="dxa"/>
            <w:shd w:val="clear" w:color="auto" w:fill="BFBFBF" w:themeFill="background1" w:themeFillShade="BF"/>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Otsikot</w:t>
            </w:r>
          </w:p>
        </w:tc>
        <w:tc>
          <w:tcPr>
            <w:tcW w:w="5103" w:type="dxa"/>
            <w:shd w:val="clear" w:color="auto" w:fill="BFBFBF" w:themeFill="background1" w:themeFillShade="BF"/>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Alaotsikot</w:t>
            </w:r>
          </w:p>
        </w:tc>
        <w:tc>
          <w:tcPr>
            <w:tcW w:w="5245" w:type="dxa"/>
            <w:shd w:val="clear" w:color="auto" w:fill="BFBFBF" w:themeFill="background1" w:themeFillShade="BF"/>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Käytössä oleva materiaali</w:t>
            </w: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Kansi</w:t>
            </w:r>
          </w:p>
        </w:tc>
        <w:tc>
          <w:tcPr>
            <w:tcW w:w="5103" w:type="dxa"/>
          </w:tcPr>
          <w:p w:rsidR="008A4AFA" w:rsidRPr="008A4AFA" w:rsidRDefault="008A4AFA" w:rsidP="008A4AFA">
            <w:pPr>
              <w:rPr>
                <w:rFonts w:asciiTheme="minorHAnsi" w:eastAsiaTheme="minorHAnsi" w:hAnsiTheme="minorHAnsi"/>
                <w:b/>
                <w:sz w:val="24"/>
                <w:szCs w:val="24"/>
              </w:rPr>
            </w:pPr>
          </w:p>
        </w:tc>
        <w:tc>
          <w:tcPr>
            <w:tcW w:w="5245" w:type="dxa"/>
          </w:tcPr>
          <w:p w:rsidR="008A4AFA" w:rsidRPr="008A4AFA" w:rsidRDefault="008A4AFA" w:rsidP="008A4AFA">
            <w:pPr>
              <w:rPr>
                <w:rFonts w:asciiTheme="minorHAnsi" w:eastAsiaTheme="minorHAnsi" w:hAnsiTheme="minorHAnsi"/>
                <w:b/>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Kuvailulehti (ml. tiivistelmä)</w:t>
            </w:r>
          </w:p>
        </w:tc>
        <w:tc>
          <w:tcPr>
            <w:tcW w:w="5103" w:type="dxa"/>
          </w:tcPr>
          <w:p w:rsidR="008A4AFA" w:rsidRPr="008A4AFA" w:rsidRDefault="008A4AFA" w:rsidP="008A4AFA">
            <w:pPr>
              <w:rPr>
                <w:rFonts w:asciiTheme="minorHAnsi" w:eastAsiaTheme="minorHAnsi" w:hAnsiTheme="minorHAnsi"/>
                <w:b/>
                <w:sz w:val="24"/>
                <w:szCs w:val="24"/>
              </w:rPr>
            </w:pPr>
          </w:p>
        </w:tc>
        <w:tc>
          <w:tcPr>
            <w:tcW w:w="5245" w:type="dxa"/>
          </w:tcPr>
          <w:p w:rsidR="008A4AFA" w:rsidRPr="008A4AFA" w:rsidRDefault="008A4AFA" w:rsidP="008A4AFA">
            <w:pPr>
              <w:rPr>
                <w:rFonts w:asciiTheme="minorHAnsi" w:eastAsiaTheme="minorHAnsi" w:hAnsiTheme="minorHAnsi"/>
                <w:b/>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Sisällysluettelo</w:t>
            </w:r>
          </w:p>
        </w:tc>
        <w:tc>
          <w:tcPr>
            <w:tcW w:w="5103" w:type="dxa"/>
          </w:tcPr>
          <w:p w:rsidR="008A4AFA" w:rsidRPr="008A4AFA" w:rsidRDefault="008A4AFA" w:rsidP="008A4AFA">
            <w:pPr>
              <w:rPr>
                <w:rFonts w:asciiTheme="minorHAnsi" w:eastAsiaTheme="minorHAnsi" w:hAnsiTheme="minorHAnsi"/>
                <w:b/>
                <w:sz w:val="24"/>
                <w:szCs w:val="24"/>
              </w:rPr>
            </w:pPr>
          </w:p>
        </w:tc>
        <w:tc>
          <w:tcPr>
            <w:tcW w:w="5245" w:type="dxa"/>
          </w:tcPr>
          <w:p w:rsidR="008A4AFA" w:rsidRPr="008A4AFA" w:rsidRDefault="008A4AFA" w:rsidP="008A4AFA">
            <w:pPr>
              <w:rPr>
                <w:rFonts w:asciiTheme="minorHAnsi" w:eastAsiaTheme="minorHAnsi" w:hAnsiTheme="minorHAnsi"/>
                <w:b/>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Johdanto</w:t>
            </w:r>
          </w:p>
        </w:tc>
        <w:tc>
          <w:tcPr>
            <w:tcW w:w="5103" w:type="dxa"/>
          </w:tcPr>
          <w:p w:rsidR="008A4AFA" w:rsidRPr="008A4AFA" w:rsidRDefault="008A4AFA" w:rsidP="008A4AFA">
            <w:pPr>
              <w:numPr>
                <w:ilvl w:val="0"/>
                <w:numId w:val="28"/>
              </w:numPr>
              <w:spacing w:after="0" w:line="240" w:lineRule="auto"/>
              <w:ind w:left="317" w:hanging="317"/>
              <w:contextualSpacing/>
              <w:rPr>
                <w:rFonts w:asciiTheme="minorHAnsi" w:eastAsiaTheme="minorHAnsi" w:hAnsiTheme="minorHAnsi"/>
                <w:b/>
                <w:sz w:val="24"/>
                <w:szCs w:val="24"/>
              </w:rPr>
            </w:pPr>
            <w:r w:rsidRPr="008A4AFA">
              <w:rPr>
                <w:rFonts w:asciiTheme="minorHAnsi" w:eastAsiaTheme="minorHAnsi" w:hAnsiTheme="minorHAnsi"/>
                <w:b/>
                <w:sz w:val="24"/>
                <w:szCs w:val="24"/>
              </w:rPr>
              <w:t>Keskeisten käsitteiden määrittely</w:t>
            </w:r>
          </w:p>
          <w:p w:rsidR="008A4AFA" w:rsidRPr="008A4AFA" w:rsidRDefault="008A4AFA" w:rsidP="008A4AFA">
            <w:pPr>
              <w:numPr>
                <w:ilvl w:val="0"/>
                <w:numId w:val="26"/>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ilmoittaja ja ilmoittaminen (sisäinen, ulkoinen)</w:t>
            </w:r>
          </w:p>
          <w:p w:rsidR="008A4AFA" w:rsidRPr="008A4AFA" w:rsidRDefault="008A4AFA" w:rsidP="008A4AFA">
            <w:pPr>
              <w:numPr>
                <w:ilvl w:val="0"/>
                <w:numId w:val="26"/>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korruptio</w:t>
            </w:r>
          </w:p>
          <w:p w:rsidR="008A4AFA" w:rsidRPr="008A4AFA" w:rsidRDefault="008A4AFA" w:rsidP="008A4AFA">
            <w:pPr>
              <w:numPr>
                <w:ilvl w:val="0"/>
                <w:numId w:val="26"/>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vastatoimet</w:t>
            </w:r>
          </w:p>
          <w:p w:rsidR="008A4AFA" w:rsidRPr="008A4AFA" w:rsidRDefault="008A4AFA" w:rsidP="008A4AFA">
            <w:pPr>
              <w:numPr>
                <w:ilvl w:val="0"/>
                <w:numId w:val="26"/>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suojelu</w:t>
            </w:r>
          </w:p>
          <w:p w:rsidR="008A4AFA" w:rsidRPr="008A4AFA" w:rsidRDefault="008A4AFA" w:rsidP="008A4AFA">
            <w:pPr>
              <w:numPr>
                <w:ilvl w:val="0"/>
                <w:numId w:val="26"/>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w:t>
            </w:r>
          </w:p>
          <w:p w:rsidR="008A4AFA" w:rsidRPr="008A4AFA" w:rsidRDefault="008A4AFA" w:rsidP="008A4AFA">
            <w:pPr>
              <w:ind w:left="317"/>
              <w:contextualSpacing/>
              <w:rPr>
                <w:rFonts w:asciiTheme="minorHAnsi" w:eastAsiaTheme="minorHAnsi" w:hAnsiTheme="minorHAnsi"/>
                <w:b/>
                <w:sz w:val="24"/>
                <w:szCs w:val="24"/>
              </w:rPr>
            </w:pPr>
          </w:p>
        </w:tc>
        <w:tc>
          <w:tcPr>
            <w:tcW w:w="5245"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sz w:val="24"/>
                <w:szCs w:val="24"/>
              </w:rPr>
              <w:t xml:space="preserve">Arviomuistio (Groop), </w:t>
            </w:r>
            <w:proofErr w:type="spellStart"/>
            <w:r w:rsidRPr="008A4AFA">
              <w:rPr>
                <w:rFonts w:asciiTheme="minorHAnsi" w:eastAsiaTheme="minorHAnsi" w:hAnsiTheme="minorHAnsi"/>
                <w:sz w:val="24"/>
                <w:szCs w:val="24"/>
              </w:rPr>
              <w:t>TI:n</w:t>
            </w:r>
            <w:proofErr w:type="spellEnd"/>
            <w:r w:rsidRPr="008A4AFA">
              <w:rPr>
                <w:rFonts w:asciiTheme="minorHAnsi" w:eastAsiaTheme="minorHAnsi" w:hAnsiTheme="minorHAnsi"/>
                <w:sz w:val="24"/>
                <w:szCs w:val="24"/>
              </w:rPr>
              <w:t xml:space="preserve"> raportti, Salmisen raportti, Mark </w:t>
            </w:r>
            <w:proofErr w:type="spellStart"/>
            <w:r w:rsidRPr="008A4AFA">
              <w:rPr>
                <w:rFonts w:asciiTheme="minorHAnsi" w:eastAsiaTheme="minorHAnsi" w:hAnsiTheme="minorHAnsi"/>
                <w:sz w:val="24"/>
                <w:szCs w:val="24"/>
              </w:rPr>
              <w:t>Worth:in</w:t>
            </w:r>
            <w:proofErr w:type="spellEnd"/>
            <w:r w:rsidRPr="008A4AFA">
              <w:rPr>
                <w:rFonts w:asciiTheme="minorHAnsi" w:eastAsiaTheme="minorHAnsi" w:hAnsiTheme="minorHAnsi"/>
                <w:sz w:val="24"/>
                <w:szCs w:val="24"/>
              </w:rPr>
              <w:t xml:space="preserve"> raportit</w:t>
            </w: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28"/>
              </w:numPr>
              <w:spacing w:after="0" w:line="240" w:lineRule="auto"/>
              <w:ind w:left="317" w:hanging="284"/>
              <w:contextualSpacing/>
              <w:rPr>
                <w:rFonts w:asciiTheme="minorHAnsi" w:eastAsiaTheme="minorHAnsi" w:hAnsiTheme="minorHAnsi"/>
                <w:b/>
                <w:sz w:val="24"/>
                <w:szCs w:val="24"/>
              </w:rPr>
            </w:pPr>
            <w:proofErr w:type="spellStart"/>
            <w:r w:rsidRPr="008A4AFA">
              <w:rPr>
                <w:rFonts w:asciiTheme="minorHAnsi" w:eastAsiaTheme="minorHAnsi" w:hAnsiTheme="minorHAnsi"/>
                <w:b/>
                <w:sz w:val="24"/>
                <w:szCs w:val="24"/>
              </w:rPr>
              <w:t>Kv-velvoitteet</w:t>
            </w:r>
            <w:proofErr w:type="spellEnd"/>
            <w:r w:rsidRPr="008A4AFA">
              <w:rPr>
                <w:rFonts w:asciiTheme="minorHAnsi" w:eastAsiaTheme="minorHAnsi" w:hAnsiTheme="minorHAnsi"/>
                <w:b/>
                <w:sz w:val="24"/>
                <w:szCs w:val="24"/>
              </w:rPr>
              <w:t xml:space="preserve"> ja suositukset </w:t>
            </w:r>
          </w:p>
          <w:p w:rsidR="008A4AFA" w:rsidRPr="008A4AFA" w:rsidRDefault="008A4AFA" w:rsidP="008A4AFA">
            <w:pPr>
              <w:numPr>
                <w:ilvl w:val="0"/>
                <w:numId w:val="29"/>
              </w:numPr>
              <w:spacing w:after="0" w:line="240" w:lineRule="auto"/>
              <w:contextualSpacing/>
              <w:rPr>
                <w:rFonts w:asciiTheme="minorHAnsi" w:eastAsiaTheme="minorHAnsi" w:hAnsiTheme="minorHAnsi"/>
                <w:sz w:val="24"/>
                <w:szCs w:val="24"/>
              </w:rPr>
            </w:pPr>
            <w:r w:rsidRPr="008A4AFA">
              <w:rPr>
                <w:rFonts w:asciiTheme="minorHAnsi" w:eastAsiaTheme="minorHAnsi" w:hAnsiTheme="minorHAnsi"/>
                <w:sz w:val="24"/>
                <w:szCs w:val="24"/>
              </w:rPr>
              <w:t>velvoitteet (OECD, YK, EN)</w:t>
            </w:r>
          </w:p>
          <w:p w:rsidR="008A4AFA" w:rsidRPr="008A4AFA" w:rsidRDefault="008A4AFA" w:rsidP="008A4AFA">
            <w:pPr>
              <w:numPr>
                <w:ilvl w:val="0"/>
                <w:numId w:val="29"/>
              </w:numPr>
              <w:spacing w:after="0" w:line="240" w:lineRule="auto"/>
              <w:contextualSpacing/>
              <w:rPr>
                <w:rFonts w:asciiTheme="minorHAnsi" w:eastAsiaTheme="minorHAnsi" w:hAnsiTheme="minorHAnsi"/>
                <w:sz w:val="24"/>
                <w:szCs w:val="24"/>
              </w:rPr>
            </w:pPr>
            <w:r w:rsidRPr="008A4AFA">
              <w:rPr>
                <w:rFonts w:asciiTheme="minorHAnsi" w:eastAsiaTheme="minorHAnsi" w:hAnsiTheme="minorHAnsi"/>
                <w:sz w:val="24"/>
                <w:szCs w:val="24"/>
              </w:rPr>
              <w:t>suositukset (EN 2014, TI…)</w:t>
            </w:r>
          </w:p>
        </w:tc>
        <w:tc>
          <w:tcPr>
            <w:tcW w:w="5245" w:type="dxa"/>
          </w:tcPr>
          <w:p w:rsidR="008A4AFA" w:rsidRPr="008A4AFA" w:rsidRDefault="008A4AFA"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 xml:space="preserve">Arviomuistio (Groop), + </w:t>
            </w:r>
            <w:proofErr w:type="spellStart"/>
            <w:r w:rsidRPr="008A4AFA">
              <w:rPr>
                <w:rFonts w:asciiTheme="minorHAnsi" w:eastAsiaTheme="minorHAnsi" w:hAnsiTheme="minorHAnsi"/>
                <w:sz w:val="24"/>
                <w:szCs w:val="24"/>
              </w:rPr>
              <w:t>kv-sopimukset</w:t>
            </w:r>
            <w:proofErr w:type="spellEnd"/>
            <w:r w:rsidRPr="008A4AFA">
              <w:rPr>
                <w:rFonts w:asciiTheme="minorHAnsi" w:eastAsiaTheme="minorHAnsi" w:hAnsiTheme="minorHAnsi"/>
                <w:sz w:val="24"/>
                <w:szCs w:val="24"/>
              </w:rPr>
              <w:t>, järjestöjen raportit.</w:t>
            </w:r>
          </w:p>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sz w:val="24"/>
                <w:szCs w:val="24"/>
              </w:rPr>
              <w:t xml:space="preserve">Arviomuistio (Groop), </w:t>
            </w:r>
            <w:proofErr w:type="spellStart"/>
            <w:r w:rsidRPr="008A4AFA">
              <w:rPr>
                <w:rFonts w:asciiTheme="minorHAnsi" w:eastAsiaTheme="minorHAnsi" w:hAnsiTheme="minorHAnsi"/>
                <w:sz w:val="24"/>
                <w:szCs w:val="24"/>
              </w:rPr>
              <w:t>EN:n</w:t>
            </w:r>
            <w:proofErr w:type="spellEnd"/>
            <w:r w:rsidRPr="008A4AFA">
              <w:rPr>
                <w:rFonts w:asciiTheme="minorHAnsi" w:eastAsiaTheme="minorHAnsi" w:hAnsiTheme="minorHAnsi"/>
                <w:sz w:val="24"/>
                <w:szCs w:val="24"/>
              </w:rPr>
              <w:t xml:space="preserve"> (yms.) suositus, </w:t>
            </w:r>
            <w:proofErr w:type="spellStart"/>
            <w:r w:rsidRPr="008A4AFA">
              <w:rPr>
                <w:rFonts w:asciiTheme="minorHAnsi" w:eastAsiaTheme="minorHAnsi" w:hAnsiTheme="minorHAnsi"/>
                <w:sz w:val="24"/>
                <w:szCs w:val="24"/>
              </w:rPr>
              <w:t>TI:n</w:t>
            </w:r>
            <w:proofErr w:type="spellEnd"/>
            <w:r w:rsidRPr="008A4AFA">
              <w:rPr>
                <w:rFonts w:asciiTheme="minorHAnsi" w:eastAsiaTheme="minorHAnsi" w:hAnsiTheme="minorHAnsi"/>
                <w:sz w:val="24"/>
                <w:szCs w:val="24"/>
              </w:rPr>
              <w:t xml:space="preserve"> raportti</w:t>
            </w:r>
          </w:p>
        </w:tc>
      </w:tr>
      <w:tr w:rsidR="008A4AFA" w:rsidRPr="008A4AFA" w:rsidTr="00F618F0">
        <w:tc>
          <w:tcPr>
            <w:tcW w:w="3510" w:type="dxa"/>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b/>
                <w:sz w:val="24"/>
                <w:szCs w:val="24"/>
              </w:rPr>
              <w:lastRenderedPageBreak/>
              <w:t xml:space="preserve">Ilmoittajien suojelua selvittävä työryhmä </w:t>
            </w:r>
          </w:p>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18"/>
              </w:numPr>
              <w:spacing w:after="0" w:line="240" w:lineRule="auto"/>
              <w:ind w:left="459" w:hanging="425"/>
              <w:contextualSpacing/>
              <w:rPr>
                <w:rFonts w:asciiTheme="minorHAnsi" w:eastAsiaTheme="minorHAnsi" w:hAnsiTheme="minorHAnsi"/>
                <w:b/>
                <w:sz w:val="24"/>
                <w:szCs w:val="24"/>
              </w:rPr>
            </w:pPr>
            <w:proofErr w:type="gramStart"/>
            <w:r w:rsidRPr="008A4AFA">
              <w:rPr>
                <w:rFonts w:asciiTheme="minorHAnsi" w:eastAsiaTheme="minorHAnsi" w:hAnsiTheme="minorHAnsi"/>
                <w:b/>
                <w:sz w:val="24"/>
                <w:szCs w:val="24"/>
              </w:rPr>
              <w:t>Miksi perustettu (</w:t>
            </w:r>
            <w:proofErr w:type="spellStart"/>
            <w:r w:rsidRPr="008A4AFA">
              <w:rPr>
                <w:rFonts w:asciiTheme="minorHAnsi" w:eastAsiaTheme="minorHAnsi" w:hAnsiTheme="minorHAnsi"/>
                <w:b/>
                <w:sz w:val="24"/>
                <w:szCs w:val="24"/>
              </w:rPr>
              <w:t>kv-velvoitteet</w:t>
            </w:r>
            <w:proofErr w:type="spellEnd"/>
            <w:r w:rsidRPr="008A4AFA">
              <w:rPr>
                <w:rFonts w:asciiTheme="minorHAnsi" w:eastAsiaTheme="minorHAnsi" w:hAnsiTheme="minorHAnsi"/>
                <w:b/>
                <w:sz w:val="24"/>
                <w:szCs w:val="24"/>
              </w:rPr>
              <w:t>…)</w:t>
            </w:r>
            <w:proofErr w:type="gramEnd"/>
            <w:r w:rsidRPr="008A4AFA">
              <w:rPr>
                <w:rFonts w:asciiTheme="minorHAnsi" w:eastAsiaTheme="minorHAnsi" w:hAnsiTheme="minorHAnsi"/>
                <w:b/>
                <w:sz w:val="24"/>
                <w:szCs w:val="24"/>
              </w:rPr>
              <w:t xml:space="preserve"> </w:t>
            </w:r>
          </w:p>
          <w:p w:rsidR="008A4AFA" w:rsidRPr="008A4AFA" w:rsidRDefault="008A4AFA" w:rsidP="008A4AFA">
            <w:pPr>
              <w:numPr>
                <w:ilvl w:val="0"/>
                <w:numId w:val="18"/>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Tavoitteet ja tehtävät</w:t>
            </w:r>
          </w:p>
          <w:p w:rsidR="008A4AFA" w:rsidRPr="008A4AFA" w:rsidRDefault="008A4AFA" w:rsidP="008A4AFA">
            <w:pPr>
              <w:numPr>
                <w:ilvl w:val="0"/>
                <w:numId w:val="18"/>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Jäsenet</w:t>
            </w:r>
          </w:p>
          <w:p w:rsidR="008A4AFA" w:rsidRPr="008A4AFA" w:rsidRDefault="008A4AFA" w:rsidP="008A4AFA">
            <w:pPr>
              <w:numPr>
                <w:ilvl w:val="0"/>
                <w:numId w:val="18"/>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w:t>
            </w:r>
          </w:p>
          <w:p w:rsidR="008A4AFA" w:rsidRPr="008A4AFA" w:rsidRDefault="008A4AFA" w:rsidP="008A4AFA">
            <w:pPr>
              <w:rPr>
                <w:rFonts w:asciiTheme="minorHAnsi" w:eastAsiaTheme="minorHAnsi" w:hAnsiTheme="minorHAnsi"/>
                <w:b/>
                <w:sz w:val="24"/>
                <w:szCs w:val="24"/>
              </w:rPr>
            </w:pPr>
          </w:p>
        </w:tc>
        <w:tc>
          <w:tcPr>
            <w:tcW w:w="5245"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sz w:val="24"/>
                <w:szCs w:val="24"/>
              </w:rPr>
              <w:t>Työryhmän asettamispäätös</w:t>
            </w: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Ilmoittamiseen ja ilmoittajien suojeluun liittyvä lainsäädäntötilanne Euroopassa</w:t>
            </w:r>
          </w:p>
        </w:tc>
        <w:tc>
          <w:tcPr>
            <w:tcW w:w="5103" w:type="dxa"/>
          </w:tcPr>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Ruotsi</w:t>
            </w:r>
          </w:p>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Norja</w:t>
            </w:r>
          </w:p>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Iso-Britannia</w:t>
            </w:r>
          </w:p>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Romania</w:t>
            </w:r>
          </w:p>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Luxembourg</w:t>
            </w:r>
          </w:p>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Alankomaat</w:t>
            </w:r>
          </w:p>
          <w:p w:rsidR="008A4AFA" w:rsidRPr="008A4AFA" w:rsidRDefault="008A4AFA" w:rsidP="008A4AFA">
            <w:pPr>
              <w:numPr>
                <w:ilvl w:val="0"/>
                <w:numId w:val="2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sz w:val="24"/>
                <w:szCs w:val="24"/>
              </w:rPr>
              <w:t>Slovenia</w:t>
            </w:r>
          </w:p>
        </w:tc>
        <w:tc>
          <w:tcPr>
            <w:tcW w:w="5245"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sz w:val="24"/>
                <w:szCs w:val="24"/>
              </w:rPr>
              <w:t>Tausta muistiot (Groop) ”Ruotsin malli” ja ”Ilmoittaminen ulkopuoliselle toimijalle – eri maiden ratkaisut”. Arviomuistio (Groop).</w:t>
            </w: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Ilmoittamiseen ja ilmoittajien suojeluun liittyvä lainsäädäntötilanne Suomessa</w:t>
            </w:r>
          </w:p>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Perustuslaki (sananvapaus…</w:t>
            </w:r>
            <w:proofErr w:type="gramStart"/>
            <w:r w:rsidRPr="008A4AFA">
              <w:rPr>
                <w:rFonts w:asciiTheme="minorHAnsi" w:eastAsiaTheme="minorHAnsi" w:hAnsiTheme="minorHAnsi"/>
                <w:b/>
                <w:sz w:val="24"/>
                <w:szCs w:val="24"/>
              </w:rPr>
              <w:t>) ?</w:t>
            </w:r>
            <w:proofErr w:type="gramEnd"/>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 xml:space="preserve">Virkamieslaki </w:t>
            </w:r>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 xml:space="preserve">Työsopimuslaki </w:t>
            </w:r>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Yhdenvertaisuuslaki?</w:t>
            </w:r>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 xml:space="preserve">Tietosuoja… Laki yksityisyyden suojasta työelämässä, henkilötietolaki… </w:t>
            </w:r>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Luottolaitoslaki?</w:t>
            </w:r>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r w:rsidRPr="008A4AFA">
              <w:rPr>
                <w:rFonts w:asciiTheme="minorHAnsi" w:eastAsiaTheme="minorHAnsi" w:hAnsiTheme="minorHAnsi"/>
                <w:b/>
                <w:sz w:val="24"/>
                <w:szCs w:val="24"/>
              </w:rPr>
              <w:t>Finanssivalvontalaki?</w:t>
            </w:r>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b/>
                <w:sz w:val="24"/>
                <w:szCs w:val="24"/>
              </w:rPr>
            </w:pPr>
            <w:proofErr w:type="gramStart"/>
            <w:r w:rsidRPr="008A4AFA">
              <w:rPr>
                <w:rFonts w:asciiTheme="minorHAnsi" w:eastAsiaTheme="minorHAnsi" w:hAnsiTheme="minorHAnsi"/>
                <w:b/>
                <w:sz w:val="24"/>
                <w:szCs w:val="24"/>
              </w:rPr>
              <w:t>Laki valtiontalouden tarkastusvirastosta?</w:t>
            </w:r>
            <w:proofErr w:type="gramEnd"/>
          </w:p>
          <w:p w:rsidR="008A4AFA" w:rsidRPr="008A4AFA" w:rsidRDefault="008A4AFA" w:rsidP="008A4AFA">
            <w:pPr>
              <w:numPr>
                <w:ilvl w:val="0"/>
                <w:numId w:val="17"/>
              </w:numPr>
              <w:spacing w:after="0" w:line="240" w:lineRule="auto"/>
              <w:ind w:left="459" w:hanging="425"/>
              <w:contextualSpacing/>
              <w:rPr>
                <w:rFonts w:asciiTheme="minorHAnsi" w:eastAsiaTheme="minorHAnsi" w:hAnsiTheme="minorHAnsi"/>
                <w:sz w:val="24"/>
                <w:szCs w:val="24"/>
              </w:rPr>
            </w:pPr>
            <w:r w:rsidRPr="008A4AFA">
              <w:rPr>
                <w:rFonts w:asciiTheme="minorHAnsi" w:eastAsiaTheme="minorHAnsi" w:hAnsiTheme="minorHAnsi"/>
                <w:b/>
                <w:sz w:val="24"/>
                <w:szCs w:val="24"/>
              </w:rPr>
              <w:t>…</w:t>
            </w:r>
          </w:p>
        </w:tc>
        <w:tc>
          <w:tcPr>
            <w:tcW w:w="5245" w:type="dxa"/>
          </w:tcPr>
          <w:p w:rsidR="008A4AFA" w:rsidRPr="008A4AFA" w:rsidRDefault="008A4AFA"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proofErr w:type="spellStart"/>
            <w:r w:rsidRPr="008A4AFA">
              <w:rPr>
                <w:rFonts w:asciiTheme="minorHAnsi" w:eastAsiaTheme="minorHAnsi" w:hAnsiTheme="minorHAnsi"/>
                <w:sz w:val="24"/>
                <w:szCs w:val="24"/>
              </w:rPr>
              <w:t>Orkolan</w:t>
            </w:r>
            <w:proofErr w:type="spellEnd"/>
            <w:r w:rsidRPr="008A4AFA">
              <w:rPr>
                <w:rFonts w:asciiTheme="minorHAnsi" w:eastAsiaTheme="minorHAnsi" w:hAnsiTheme="minorHAnsi"/>
                <w:sz w:val="24"/>
                <w:szCs w:val="24"/>
              </w:rPr>
              <w:t xml:space="preserve"> laatima taustamuistio</w:t>
            </w:r>
          </w:p>
          <w:p w:rsidR="008A4AFA" w:rsidRPr="008A4AFA" w:rsidRDefault="008A4AFA" w:rsidP="008A4AFA">
            <w:pPr>
              <w:rPr>
                <w:rFonts w:asciiTheme="minorHAnsi" w:eastAsiaTheme="minorHAnsi" w:hAnsiTheme="minorHAnsi"/>
                <w:sz w:val="24"/>
                <w:szCs w:val="24"/>
              </w:rPr>
            </w:pPr>
            <w:proofErr w:type="spellStart"/>
            <w:r w:rsidRPr="008A4AFA">
              <w:rPr>
                <w:rFonts w:asciiTheme="minorHAnsi" w:eastAsiaTheme="minorHAnsi" w:hAnsiTheme="minorHAnsi"/>
                <w:sz w:val="24"/>
                <w:szCs w:val="24"/>
              </w:rPr>
              <w:t>Hjeltin</w:t>
            </w:r>
            <w:proofErr w:type="spellEnd"/>
            <w:r w:rsidRPr="008A4AFA">
              <w:rPr>
                <w:rFonts w:asciiTheme="minorHAnsi" w:eastAsiaTheme="minorHAnsi" w:hAnsiTheme="minorHAnsi"/>
                <w:sz w:val="24"/>
                <w:szCs w:val="24"/>
              </w:rPr>
              <w:t xml:space="preserve"> laatima taustamuistio</w:t>
            </w:r>
          </w:p>
          <w:p w:rsidR="008A4AFA" w:rsidRPr="008A4AFA" w:rsidRDefault="008A4AFA"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proofErr w:type="gramStart"/>
            <w:r w:rsidRPr="008A4AFA">
              <w:rPr>
                <w:rFonts w:asciiTheme="minorHAnsi" w:eastAsiaTheme="minorHAnsi" w:hAnsiTheme="minorHAnsi"/>
                <w:sz w:val="24"/>
                <w:szCs w:val="24"/>
              </w:rPr>
              <w:t>Tietosuojavaltuutetun toimiston laatima raportti.</w:t>
            </w:r>
            <w:proofErr w:type="gramEnd"/>
          </w:p>
        </w:tc>
      </w:tr>
      <w:tr w:rsidR="008A4AFA" w:rsidRPr="008A4AFA" w:rsidTr="00F618F0">
        <w:tc>
          <w:tcPr>
            <w:tcW w:w="3510" w:type="dxa"/>
            <w:vMerge w:val="restart"/>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Ilmoittamisen ja ilmoittajien suojelun nykykäytännöt Suomessa</w:t>
            </w:r>
          </w:p>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19"/>
              </w:numPr>
              <w:spacing w:after="0" w:line="240" w:lineRule="auto"/>
              <w:ind w:left="459" w:hanging="459"/>
              <w:contextualSpacing/>
              <w:rPr>
                <w:rFonts w:asciiTheme="minorHAnsi" w:eastAsiaTheme="minorHAnsi" w:hAnsiTheme="minorHAnsi"/>
                <w:b/>
                <w:sz w:val="24"/>
                <w:szCs w:val="24"/>
              </w:rPr>
            </w:pPr>
            <w:r w:rsidRPr="008A4AFA">
              <w:rPr>
                <w:rFonts w:asciiTheme="minorHAnsi" w:eastAsiaTheme="minorHAnsi" w:hAnsiTheme="minorHAnsi"/>
                <w:b/>
                <w:sz w:val="24"/>
                <w:szCs w:val="24"/>
              </w:rPr>
              <w:t>Työpaikan sisäinen ilmoittaminen ja ilmoittajien suojelu</w:t>
            </w:r>
          </w:p>
          <w:p w:rsidR="008A4AFA" w:rsidRPr="008A4AFA" w:rsidRDefault="008A4AFA" w:rsidP="008A4AFA">
            <w:pPr>
              <w:ind w:left="819"/>
              <w:contextualSpacing/>
              <w:rPr>
                <w:rFonts w:asciiTheme="minorHAnsi" w:eastAsiaTheme="minorHAnsi" w:hAnsiTheme="minorHAnsi"/>
                <w:sz w:val="24"/>
                <w:szCs w:val="24"/>
              </w:rPr>
            </w:pPr>
          </w:p>
          <w:p w:rsidR="008A4AFA" w:rsidRPr="008A4AFA" w:rsidRDefault="008A4AFA" w:rsidP="008A4AFA">
            <w:pPr>
              <w:numPr>
                <w:ilvl w:val="0"/>
                <w:numId w:val="30"/>
              </w:numPr>
              <w:spacing w:after="0" w:line="240" w:lineRule="auto"/>
              <w:contextualSpacing/>
              <w:rPr>
                <w:rFonts w:asciiTheme="minorHAnsi" w:eastAsiaTheme="minorHAnsi" w:hAnsiTheme="minorHAnsi"/>
                <w:sz w:val="24"/>
                <w:szCs w:val="24"/>
              </w:rPr>
            </w:pPr>
            <w:r w:rsidRPr="008A4AFA">
              <w:rPr>
                <w:rFonts w:asciiTheme="minorHAnsi" w:eastAsiaTheme="minorHAnsi" w:hAnsiTheme="minorHAnsi"/>
                <w:sz w:val="24"/>
                <w:szCs w:val="24"/>
              </w:rPr>
              <w:t xml:space="preserve">Yksityinen sektori (Suuremmat yritykset, pienemmät yritykset) </w:t>
            </w:r>
          </w:p>
        </w:tc>
        <w:tc>
          <w:tcPr>
            <w:tcW w:w="5245" w:type="dxa"/>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KPMG:n selvitys, Kati Lahtisen gradu, taustamuistio (Groop) suomalaisyrityksistä, kuulemistilaisuudet: Nokia &amp; Stora Enso, Suomen Yrittäjät ry</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10348" w:type="dxa"/>
            <w:gridSpan w:val="2"/>
          </w:tcPr>
          <w:p w:rsidR="008A4AFA" w:rsidRPr="008A4AFA" w:rsidRDefault="008A4AFA" w:rsidP="008A4AFA">
            <w:pPr>
              <w:numPr>
                <w:ilvl w:val="0"/>
                <w:numId w:val="22"/>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Suuryritykset </w:t>
            </w: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KPMG:n Suomen 50 liikevaihdoltaan suurimpiä yhtiötä kattavan selvityksen mukaan vajaat puolet </w:t>
            </w:r>
            <w:r w:rsidRPr="008A4AFA">
              <w:rPr>
                <w:rFonts w:asciiTheme="minorHAnsi" w:eastAsiaTheme="minorHAnsi" w:hAnsiTheme="minorHAnsi"/>
                <w:sz w:val="24"/>
                <w:szCs w:val="24"/>
              </w:rPr>
              <w:lastRenderedPageBreak/>
              <w:t>näistä mahdollistaa sisäisen ilmoittamisen väärinkäytösepäilyistä. Näissä yrityksissä ilmoitusten vastaanottajat (useimmiten esimies tai sisäisen tarkastuksen yksikkö) on määritelty suhteellisen selkeästi ja monessa yrityksessä väärinkäytösepäilyistä voidaan raportoida sähköisesti erilaisten ilmoitusjärjestelmien kautta. Puolet tutkituista yrityksistä mahdollistaa nimettömän raportoinnin. Monelta suomalaiselta suuryritykseltä puuttuu kuitenkin erillinen ilmoituskanava tai ohjeet siitä, kenelle väärinkäytösepäilyistä voisi ilmoittaa, miten ilmoituksia pitäisi käsitellä ja miten ilmoittajaa voisi suojella.</w:t>
            </w:r>
            <w:r w:rsidRPr="008A4AFA">
              <w:rPr>
                <w:rFonts w:asciiTheme="minorHAnsi" w:eastAsiaTheme="minorHAnsi" w:hAnsiTheme="minorHAnsi"/>
                <w:sz w:val="24"/>
                <w:szCs w:val="24"/>
                <w:vertAlign w:val="superscript"/>
              </w:rPr>
              <w:footnoteReference w:id="1"/>
            </w:r>
            <w:r w:rsidRPr="008A4AFA">
              <w:rPr>
                <w:rFonts w:asciiTheme="minorHAnsi" w:eastAsiaTheme="minorHAnsi" w:hAnsiTheme="minorHAnsi"/>
                <w:sz w:val="24"/>
                <w:szCs w:val="24"/>
              </w:rPr>
              <w:t xml:space="preserve"> </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Myös Lahtinen, jonka tutkimus kattaa 20 suomalaista suuryritystä ja näiden väärinkäytösten raportointiin tarkoitettuja järjestelmiä toteaa, että ns. ilmoitusjärjestelmät ovat suuryrityksissä suhteellisen tavallisia. Osa tutkimuksessa mukana olleista yrityksistä mahdollistaa nimettömän raportoinnin. Tutkimuksen mukaan kaikki suuryritykset eivät kuitenkaan mahdollista nimetöntä ilmoittamista ja osa kokee nimettömän ilmoittamisen vieraaksi korostaen, ettei se toisi lisäarvoa. </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Lahtisen tutkimus osoittaa, että lainsäädäntö, maine ja kulttuurisidonnaiset tekijät vaikuttavat siihen, ottavatko suomalaiset suuryritykset ilmoitusjärjestelmän käyttöön vai ei. Lahtisen mukaan moni suomalainen suuryritys mahdollistaa väärinkäytösepäilyistä ilmoittamisen koska toimii sellaisissa maissa, joilla on ilmoittamiseen/ilmiantoon ja ilmoituskanaviin liittyvää lainsäädäntöä /sääntöjä kuten mm. </w:t>
            </w:r>
            <w:proofErr w:type="spellStart"/>
            <w:r w:rsidRPr="008A4AFA">
              <w:rPr>
                <w:rFonts w:asciiTheme="minorHAnsi" w:eastAsiaTheme="minorHAnsi" w:hAnsiTheme="minorHAnsi"/>
                <w:sz w:val="24"/>
                <w:szCs w:val="24"/>
              </w:rPr>
              <w:t>Sarbanes-Oxley-laki</w:t>
            </w:r>
            <w:proofErr w:type="spellEnd"/>
            <w:r w:rsidRPr="008A4AFA">
              <w:rPr>
                <w:rFonts w:asciiTheme="minorHAnsi" w:eastAsiaTheme="minorHAnsi" w:hAnsiTheme="minorHAnsi"/>
                <w:sz w:val="24"/>
                <w:szCs w:val="24"/>
              </w:rPr>
              <w:t xml:space="preserve"> ja Ison-Britannian lahjonnanvastainen laki. Suuryritykset ovat myös perustaneet väärinkäytösten raportointiin tarkoitettuja järjestelmiä sen vuoksi, että muilla yhtiöillä on ilmiantojärjestelmä eivätkä ne halua erottua joukosta. Osa suuryrityksistä kokee myös, että järjestelmän käyttöön ottaminen (tai eettisten sääntöjen laatiminen) olisi hyväksi yhtiön maineelle ja </w:t>
            </w:r>
            <w:r w:rsidRPr="008A4AFA">
              <w:rPr>
                <w:rFonts w:asciiTheme="minorHAnsi" w:eastAsiaTheme="minorHAnsi" w:hAnsiTheme="minorHAnsi"/>
                <w:sz w:val="24"/>
                <w:szCs w:val="24"/>
              </w:rPr>
              <w:lastRenderedPageBreak/>
              <w:t>lisäisi heidän uskottavuuttaan. Kaikki suuryritykset eivät kuitenkaan suhtaudu myönteisesti väärinkäytösepäilyistä ilmoittamiseen tai ilmoituskanavien käyttöönottamiseen ja tietyt yritykset kokevat, että etenkin nimetön ilmoittaminen on ristiriidassa maan tavan kanssa korostaen, että asioista tulisi pystyä puhumaan avoimesti ja eri toimijoihin pitäisi pystyä luottamaan.</w:t>
            </w:r>
            <w:r w:rsidRPr="008A4AFA">
              <w:rPr>
                <w:rFonts w:asciiTheme="minorHAnsi" w:eastAsiaTheme="minorHAnsi" w:hAnsiTheme="minorHAnsi"/>
                <w:sz w:val="24"/>
                <w:szCs w:val="24"/>
                <w:vertAlign w:val="superscript"/>
              </w:rPr>
              <w:footnoteReference w:id="2"/>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Ilmoittajien suojelua selvittävän työryhmän järjestämät kuulemistilaisuudet vahvistavat, että monessa suuryrityksessä on pitkälle mietityt ilmoitusjärjestelmät ja henkilökuntaa, joiden tehtävänä on vastaanottaa ja käsitellä ilmoituksia. Joissakin suuryrityksissä on myös mietitty ilmoittajien suojelua a) mahdollistamalla nimetöntä ilmoittamista sekä b) varautumalla esim. irtisanomaan sellaiset henkilöt/toimijat, jotka ryhtyvät vastatoimiin ilmoittajaa vastaan. [lisättävä materiaalia Stora Enson kuulemisesta!]</w:t>
            </w:r>
          </w:p>
          <w:p w:rsidR="008A4AFA" w:rsidRPr="008A4AFA" w:rsidRDefault="008A4AFA" w:rsidP="008A4AFA">
            <w:pPr>
              <w:jc w:val="both"/>
              <w:rPr>
                <w:rFonts w:asciiTheme="minorHAnsi" w:eastAsiaTheme="minorHAnsi" w:hAnsiTheme="minorHAnsi"/>
                <w:b/>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b/>
                <w:sz w:val="24"/>
                <w:szCs w:val="24"/>
              </w:rPr>
              <w:t>Huomiota/havaintoja?</w:t>
            </w:r>
            <w:r w:rsidRPr="008A4AFA">
              <w:rPr>
                <w:rFonts w:asciiTheme="minorHAnsi" w:eastAsiaTheme="minorHAnsi" w:hAnsiTheme="minorHAnsi"/>
                <w:sz w:val="24"/>
                <w:szCs w:val="24"/>
              </w:rPr>
              <w:t xml:space="preserve">: </w:t>
            </w:r>
          </w:p>
          <w:p w:rsidR="008A4AFA" w:rsidRPr="008A4AFA" w:rsidRDefault="008A4AFA" w:rsidP="008A4AFA">
            <w:pPr>
              <w:numPr>
                <w:ilvl w:val="0"/>
                <w:numId w:val="20"/>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Joissakin suuryrityksissä on varsinaiset ilmoitusjärjestelmät, toisissa pystyy tekemään ilmoituksen korruptioepäilyistä muita kanavia käyttäen. Nimettömänä pystyy ilmoittamaan vain joissakin yrityksissä. Ilmoittajien suojelua on mietitty vain vähän</w:t>
            </w:r>
          </w:p>
          <w:p w:rsidR="008A4AFA" w:rsidRPr="008A4AFA" w:rsidRDefault="008A4AFA" w:rsidP="008A4AFA">
            <w:pPr>
              <w:numPr>
                <w:ilvl w:val="0"/>
                <w:numId w:val="20"/>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Uudistustarpeet (?): ilmoituskäytäntöjen selkeyttäminen ja niistä tiedottaminen yritysten sisällä, nimettömän tai luottamuksellisen ilmoittamisen mahdollistaminen, valmistautuminen ilmoittajien suojeluun ja suojelun täytäntöönpanoon.</w:t>
            </w:r>
          </w:p>
          <w:p w:rsidR="008A4AFA" w:rsidRPr="008A4AFA" w:rsidRDefault="008A4AFA" w:rsidP="008A4AFA">
            <w:pPr>
              <w:rPr>
                <w:rFonts w:asciiTheme="minorHAnsi" w:eastAsiaTheme="minorHAnsi" w:hAnsiTheme="minorHAnsi"/>
                <w:sz w:val="24"/>
                <w:szCs w:val="24"/>
              </w:rPr>
            </w:pPr>
          </w:p>
          <w:p w:rsidR="008A4AFA" w:rsidRPr="008A4AFA" w:rsidRDefault="008A4AFA" w:rsidP="008A4AFA">
            <w:pPr>
              <w:numPr>
                <w:ilvl w:val="0"/>
                <w:numId w:val="22"/>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Pienet ja keskisuuret yritykset</w:t>
            </w: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Pienemmillä suomalaisyrityksillä ei pääsääntöisesti ole erillisiä väärinkäytösilmoittamiseen tarkoitettuja järjestelmiä. Kuultavat korostivat, ettei kaikilla pienemmillä ja keskisuurilla yrityksillä ole resursseja ja </w:t>
            </w:r>
            <w:r w:rsidRPr="008A4AFA">
              <w:rPr>
                <w:rFonts w:asciiTheme="minorHAnsi" w:eastAsiaTheme="minorHAnsi" w:hAnsiTheme="minorHAnsi"/>
                <w:sz w:val="24"/>
                <w:szCs w:val="24"/>
              </w:rPr>
              <w:lastRenderedPageBreak/>
              <w:t xml:space="preserve">mahdollisuuksia perustaa ilmoituskanavia ja suojella ilmoittajia. Tässä yhteydessä on myös hyvä huomioida, että osa yrityksistä on yhden hengen yrityksiä, eikä työpaikan sisäisen ilmoitusjärjestelmän luominen/käyttöönotto siksi ole asianmukaista.  </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Kuultava korosti, etteivät pienempien yritysten ilmoittajat aina tiedä kenelle väärinkäytösilmoituksia voi tehdä. Hänen mielestään olisi hyvä, jos ilmoittamista harkitsevat henkilöt voisivat kääntyä jonkun tietyn tahon puoleen saadakseen tietoa oikeuksistaan tehdä ilmoituksia ja velvollisuuksistaan ilmoittamistilanteessa ja työnantajaa kohtaan.</w:t>
            </w:r>
          </w:p>
          <w:p w:rsidR="008A4AFA" w:rsidRPr="008A4AFA" w:rsidRDefault="008A4AFA" w:rsidP="008A4AFA">
            <w:pPr>
              <w:jc w:val="both"/>
              <w:rPr>
                <w:rFonts w:asciiTheme="minorHAnsi" w:eastAsiaTheme="minorHAnsi" w:hAnsiTheme="minorHAnsi"/>
                <w:b/>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b/>
                <w:sz w:val="24"/>
                <w:szCs w:val="24"/>
              </w:rPr>
              <w:t>Huomiota/havaintoja?</w:t>
            </w:r>
            <w:r w:rsidRPr="008A4AFA">
              <w:rPr>
                <w:rFonts w:asciiTheme="minorHAnsi" w:eastAsiaTheme="minorHAnsi" w:hAnsiTheme="minorHAnsi"/>
                <w:sz w:val="24"/>
                <w:szCs w:val="24"/>
              </w:rPr>
              <w:t>:</w:t>
            </w:r>
          </w:p>
          <w:p w:rsidR="008A4AFA" w:rsidRPr="008A4AFA" w:rsidRDefault="008A4AFA" w:rsidP="008A4AFA">
            <w:pPr>
              <w:numPr>
                <w:ilvl w:val="0"/>
                <w:numId w:val="25"/>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Pienillä ja keskisuurilla yrityksillä ei yleensä (?) ole väärinkäytösten ilmoittamiseen tarkoitettuja järjestelmiä tai vakiintuneita käytäntöjä. Yrityksillä ei yleensä (?) ole resurssit tällaisten järjestelmien perustamiseen ja ylläpitämiseen.</w:t>
            </w:r>
          </w:p>
          <w:p w:rsidR="008A4AFA" w:rsidRPr="008A4AFA" w:rsidRDefault="008A4AFA" w:rsidP="008A4AFA">
            <w:pPr>
              <w:numPr>
                <w:ilvl w:val="0"/>
                <w:numId w:val="25"/>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Ulkoinen ilmoittaminen saattaa olla paras (??) vaihtoehto tällaisissa tapauksissa? Tulisi varmistaa, että työntekijät voivat kääntyä tietyn ulkoisen ilmoituksia vastaanottavan ja neuvoa-antavan tahon puoleen?</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numPr>
                <w:ilvl w:val="0"/>
                <w:numId w:val="22"/>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Finanssiala</w:t>
            </w:r>
          </w:p>
          <w:p w:rsidR="00E91092" w:rsidRDefault="00E91092"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XXX</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30"/>
              </w:numPr>
              <w:spacing w:after="0" w:line="240" w:lineRule="auto"/>
              <w:contextualSpacing/>
              <w:rPr>
                <w:rFonts w:asciiTheme="minorHAnsi" w:eastAsiaTheme="minorHAnsi" w:hAnsiTheme="minorHAnsi"/>
                <w:sz w:val="24"/>
                <w:szCs w:val="24"/>
              </w:rPr>
            </w:pPr>
            <w:r w:rsidRPr="008A4AFA">
              <w:rPr>
                <w:rFonts w:asciiTheme="minorHAnsi" w:eastAsiaTheme="minorHAnsi" w:hAnsiTheme="minorHAnsi"/>
                <w:sz w:val="24"/>
                <w:szCs w:val="24"/>
              </w:rPr>
              <w:t>Julkinen sektori</w:t>
            </w:r>
          </w:p>
        </w:tc>
        <w:tc>
          <w:tcPr>
            <w:tcW w:w="5245" w:type="dxa"/>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Kuulemistilaisuudet: OM ja VTV</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10348" w:type="dxa"/>
            <w:gridSpan w:val="2"/>
          </w:tcPr>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Talousarviolain 24 b §:n mukaan viraston ja laitoksen on huolehdittava siitä, että sisäinen valvonta on asianmukaisesti järjestetty sen omassa toiminnassa sekä toiminnassa, josta virasto tai laitos vastaa. </w:t>
            </w:r>
            <w:r w:rsidRPr="008A4AFA">
              <w:rPr>
                <w:rFonts w:asciiTheme="minorHAnsi" w:eastAsiaTheme="minorHAnsi" w:hAnsiTheme="minorHAnsi"/>
                <w:sz w:val="24"/>
                <w:szCs w:val="24"/>
              </w:rPr>
              <w:lastRenderedPageBreak/>
              <w:t>Sisäisellä valvonnalla tarkoitetaan viraston ohjaus- ja toimintaprosesseihin sisältyviä menettelyitä, organisaatioratkaisuja ja toimintatapoja, joiden avulla voidaan saada kohtuullinen varmuus toiminnan lainmukaisuudesta; varojen turvaamisesta; toiminnan tuloksellisuudesta sekä taloutta ja tuloksellisuutta koskevien oikeiden ja riittävien tietojen tuottamisesta.</w:t>
            </w:r>
            <w:r w:rsidRPr="008A4AFA">
              <w:rPr>
                <w:rFonts w:asciiTheme="minorHAnsi" w:eastAsiaTheme="minorHAnsi" w:hAnsiTheme="minorHAnsi"/>
                <w:sz w:val="24"/>
                <w:szCs w:val="24"/>
                <w:vertAlign w:val="superscript"/>
              </w:rPr>
              <w:footnoteReference w:id="3"/>
            </w:r>
            <w:r w:rsidRPr="008A4AFA">
              <w:rPr>
                <w:rFonts w:asciiTheme="minorHAnsi" w:eastAsiaTheme="minorHAnsi" w:hAnsiTheme="minorHAnsi"/>
                <w:sz w:val="24"/>
                <w:szCs w:val="24"/>
              </w:rPr>
              <w:t xml:space="preserve"> </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Ilmoittajien suojelua selvittävän työryhmän järjestämät kuulemistilaisuudet osoittavat, ettei virastoilla ja laitoksilla tunnu olevan (?) erillisiä väärinkäytösten raportointiin tarkoitettuja järjestelmiä vaan ilmoituksia on mahdollista tehdä esim. viraston sisäisen tarkastuksen yksikölle tai omalle esimiehelle. Ilmoitusvelvollisuudesta määrätään usein viraston taloussäännössä. Yksi kuultava korosti, ettei oman viraston talousääntö mene ilmoituskäytäntöjen yksityiskohtiin esim. nimettömän ilmoittamisen suhteen. Taloussäännöt tuntuvat myös keskittyvän taloudenhoidossa ilmenneisiin virheisiin tai väärinkäytöksiin, eikä kaikille siksi kuultavan mukaan ole selvää, että muuntyyppisistäkin väärinkäytöksistä ja </w:t>
            </w:r>
            <w:proofErr w:type="spellStart"/>
            <w:r w:rsidRPr="008A4AFA">
              <w:rPr>
                <w:rFonts w:asciiTheme="minorHAnsi" w:eastAsiaTheme="minorHAnsi" w:hAnsiTheme="minorHAnsi"/>
                <w:sz w:val="24"/>
                <w:szCs w:val="24"/>
              </w:rPr>
              <w:t>korruptiivisesta</w:t>
            </w:r>
            <w:proofErr w:type="spellEnd"/>
            <w:r w:rsidRPr="008A4AFA">
              <w:rPr>
                <w:rFonts w:asciiTheme="minorHAnsi" w:eastAsiaTheme="minorHAnsi" w:hAnsiTheme="minorHAnsi"/>
                <w:sz w:val="24"/>
                <w:szCs w:val="24"/>
              </w:rPr>
              <w:t xml:space="preserve"> toiminnasta voi ja tulee ilmoittaa. Virastojen taloussäännöt eivät myöskään (?) mene ilmoittamisen yksityiskohtiin kuten ilmoittajien suojeluun. Kuultavat korostivat, että eettisistä säännöistä ja hyvästä hallinnosta puhutaan valtionhallinnossa liian vähän eikä eettisyyteen liittyvää koulutusta ole paljon tarjolla. Tämä on varmasti osasyy siihen, että väärinkäytösilmoituksia tiettyjen virastojen sisällä tehdään aika vähän. </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Valtiontalouden tarkastusvirastosta (VTV) annetun lain 16 § mukaan ”</w:t>
            </w:r>
            <w:r w:rsidRPr="008A4AFA">
              <w:rPr>
                <w:rFonts w:asciiTheme="minorHAnsi" w:eastAsiaTheme="minorHAnsi" w:hAnsiTheme="minorHAnsi"/>
                <w:i/>
                <w:sz w:val="24"/>
                <w:szCs w:val="24"/>
              </w:rPr>
              <w:t>valtion viranomaisen, laitoksen, liikelaitoksen ja valtion rahaston on salassapitosäännösten estämättä ilmoitettava viipymättä toiminnassaan tehdystä, sen hoitamiin tai vastattavina oleviin varoihin tai omaisuuteen kohdistuneesta väärinkäytöksestä tarkastusvirastolle</w:t>
            </w:r>
            <w:r w:rsidRPr="008A4AFA">
              <w:rPr>
                <w:rFonts w:asciiTheme="minorHAnsi" w:eastAsiaTheme="minorHAnsi" w:hAnsiTheme="minorHAnsi"/>
                <w:sz w:val="24"/>
                <w:szCs w:val="24"/>
              </w:rPr>
              <w:t xml:space="preserve">”. Ilmoitusten pohjalta VTV seuraa ja käsittelee valtionhallinnossa tapahtuvia väärinkäytöksiä ja niiden aiheuttamia valtiontaloudellisia vaikutuksia sekä hallinnon </w:t>
            </w:r>
            <w:r w:rsidRPr="008A4AFA">
              <w:rPr>
                <w:rFonts w:asciiTheme="minorHAnsi" w:eastAsiaTheme="minorHAnsi" w:hAnsiTheme="minorHAnsi"/>
                <w:sz w:val="24"/>
                <w:szCs w:val="24"/>
              </w:rPr>
              <w:lastRenderedPageBreak/>
              <w:t xml:space="preserve">toimenpiteitä väärinkäytösten torjunnassa. Kuultava kertoi, että virastot ja laitokset (?) tekevät </w:t>
            </w:r>
            <w:proofErr w:type="spellStart"/>
            <w:r w:rsidRPr="008A4AFA">
              <w:rPr>
                <w:rFonts w:asciiTheme="minorHAnsi" w:eastAsiaTheme="minorHAnsi" w:hAnsiTheme="minorHAnsi"/>
                <w:sz w:val="24"/>
                <w:szCs w:val="24"/>
              </w:rPr>
              <w:t>VTV:lle</w:t>
            </w:r>
            <w:proofErr w:type="spellEnd"/>
            <w:r w:rsidRPr="008A4AFA">
              <w:rPr>
                <w:rFonts w:asciiTheme="minorHAnsi" w:eastAsiaTheme="minorHAnsi" w:hAnsiTheme="minorHAnsi"/>
                <w:sz w:val="24"/>
                <w:szCs w:val="24"/>
              </w:rPr>
              <w:t xml:space="preserve"> vain kymmenkunta väärinkäytösilmoitusta vuodessa mikä kuultavan mukaan saattaa johtua väärinkäytöskäsitteen epämääräisyydestä ja siitä, etteivät toimijat ole tietoisia ilmoitusvelvollisuudestaan. </w:t>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Myös yksityishenkilöillä on oikeus kannella väärinkäytöksistä tarkastusvirastolle. Tarkastusvirastolle voi tehdä kantelun:</w:t>
            </w:r>
          </w:p>
          <w:p w:rsidR="008A4AFA" w:rsidRPr="008A4AFA" w:rsidRDefault="008A4AFA" w:rsidP="008A4AFA">
            <w:pPr>
              <w:numPr>
                <w:ilvl w:val="0"/>
                <w:numId w:val="20"/>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valtion taloudenhoidon laillisuudesta tai valtion talousarvion noudattamisesta,</w:t>
            </w:r>
          </w:p>
          <w:p w:rsidR="008A4AFA" w:rsidRPr="008A4AFA" w:rsidRDefault="008A4AFA" w:rsidP="008A4AFA">
            <w:pPr>
              <w:numPr>
                <w:ilvl w:val="0"/>
                <w:numId w:val="20"/>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valtion määräysvallassa olevista yhtiöistä koskien valtion omistajaohjauksen ja omistajapolitiikan laillisuutta sekä muuta valtion taloudenhoidon laillisuutta yhtiöissä ja niiden ohjauksessa sekä valtion omistajavallan käyttöön liittyviä seikkoja, ja</w:t>
            </w:r>
          </w:p>
          <w:p w:rsidR="008A4AFA" w:rsidRPr="008A4AFA" w:rsidRDefault="008A4AFA" w:rsidP="008A4AFA">
            <w:pPr>
              <w:numPr>
                <w:ilvl w:val="0"/>
                <w:numId w:val="20"/>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vaali- ja puoluerahoitukseen liittyen seuraavissa asioissa:</w:t>
            </w:r>
          </w:p>
          <w:p w:rsidR="008A4AFA" w:rsidRPr="008A4AFA" w:rsidRDefault="008A4AFA" w:rsidP="008A4AFA">
            <w:pPr>
              <w:numPr>
                <w:ilvl w:val="0"/>
                <w:numId w:val="23"/>
              </w:numPr>
              <w:spacing w:after="0" w:line="240" w:lineRule="auto"/>
              <w:ind w:left="2268" w:hanging="283"/>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ehdokkaan vaalirahoitusta koskevassa asiassa ainoastaan siitä, että ilmoitusvelvollisen tarkastusvirastolle antama ilmoitus vaalirahoituksesta on olennaisilta kohdiltaan ilmeisen virheellinen tai puutteellinen</w:t>
            </w:r>
          </w:p>
          <w:p w:rsidR="008A4AFA" w:rsidRPr="008A4AFA" w:rsidRDefault="008A4AFA" w:rsidP="008A4AFA">
            <w:pPr>
              <w:numPr>
                <w:ilvl w:val="0"/>
                <w:numId w:val="23"/>
              </w:numPr>
              <w:spacing w:after="0" w:line="240" w:lineRule="auto"/>
              <w:ind w:left="2268" w:hanging="283"/>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puoluerahoitusta koskevassa asiassa, jos epäilee, että puoluelain tukea, vaalikampanjan kulujen ja rahoituksen ilmoittamista tai näihin liittyvien asiakirjojen ja tietojen laatimista tai toimittamista koskevien säännösten noudattamisessa on olennaisia virheitä tai puutteita.</w:t>
            </w:r>
            <w:r w:rsidRPr="008A4AFA">
              <w:rPr>
                <w:rFonts w:asciiTheme="minorHAnsi" w:eastAsiaTheme="minorHAnsi" w:hAnsiTheme="minorHAnsi"/>
                <w:sz w:val="24"/>
                <w:szCs w:val="24"/>
                <w:vertAlign w:val="superscript"/>
              </w:rPr>
              <w:footnoteReference w:id="4"/>
            </w:r>
          </w:p>
          <w:p w:rsidR="008A4AFA" w:rsidRPr="008A4AFA" w:rsidRDefault="008A4AFA" w:rsidP="008A4AFA">
            <w:pPr>
              <w:jc w:val="both"/>
              <w:rPr>
                <w:rFonts w:asciiTheme="minorHAnsi" w:eastAsiaTheme="minorHAnsi" w:hAnsiTheme="minorHAnsi"/>
                <w:sz w:val="24"/>
                <w:szCs w:val="24"/>
              </w:rPr>
            </w:pP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sz w:val="24"/>
                <w:szCs w:val="24"/>
              </w:rPr>
              <w:t>Tarkastusvirasto ei tutki nimetöntä kantelua, ellei siihen ole erityisiä syitä. Kanteluasiakirjoihin ja kantelun selvittämiseksi hankittuihin asiakirjoihin sovelletaan julkisuuslakia. Asiakirjat ovat pääsääntöisesti julkisia.</w:t>
            </w:r>
            <w:r w:rsidRPr="008A4AFA">
              <w:rPr>
                <w:rFonts w:asciiTheme="minorHAnsi" w:eastAsiaTheme="minorHAnsi" w:hAnsiTheme="minorHAnsi"/>
                <w:sz w:val="24"/>
                <w:szCs w:val="24"/>
                <w:vertAlign w:val="superscript"/>
              </w:rPr>
              <w:footnoteReference w:id="5"/>
            </w:r>
            <w:r w:rsidRPr="008A4AFA">
              <w:rPr>
                <w:rFonts w:asciiTheme="minorHAnsi" w:eastAsiaTheme="minorHAnsi" w:hAnsiTheme="minorHAnsi"/>
                <w:sz w:val="24"/>
                <w:szCs w:val="24"/>
              </w:rPr>
              <w:t xml:space="preserve"> [ilmoittajien suojelu?]</w:t>
            </w:r>
          </w:p>
          <w:p w:rsidR="008A4AFA" w:rsidRPr="008A4AFA" w:rsidRDefault="008A4AFA" w:rsidP="008A4AFA">
            <w:pPr>
              <w:jc w:val="both"/>
              <w:rPr>
                <w:rFonts w:asciiTheme="minorHAnsi" w:eastAsiaTheme="minorHAnsi" w:hAnsiTheme="minorHAnsi"/>
                <w:sz w:val="24"/>
                <w:szCs w:val="24"/>
              </w:rPr>
            </w:pPr>
            <w:r w:rsidRPr="008A4AFA">
              <w:rPr>
                <w:rFonts w:asciiTheme="minorHAnsi" w:eastAsiaTheme="minorHAnsi" w:hAnsiTheme="minorHAnsi"/>
                <w:b/>
                <w:sz w:val="24"/>
                <w:szCs w:val="24"/>
              </w:rPr>
              <w:lastRenderedPageBreak/>
              <w:t>Huomiota/havaintoja?</w:t>
            </w:r>
            <w:r w:rsidRPr="008A4AFA">
              <w:rPr>
                <w:rFonts w:asciiTheme="minorHAnsi" w:eastAsiaTheme="minorHAnsi" w:hAnsiTheme="minorHAnsi"/>
                <w:sz w:val="24"/>
                <w:szCs w:val="24"/>
              </w:rPr>
              <w:t xml:space="preserve">: </w:t>
            </w:r>
          </w:p>
          <w:p w:rsidR="008A4AFA" w:rsidRPr="008A4AFA" w:rsidRDefault="008A4AFA" w:rsidP="008A4AFA">
            <w:pPr>
              <w:numPr>
                <w:ilvl w:val="0"/>
                <w:numId w:val="24"/>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Virastojen ja laitosten sisällä on olemassa ilmoituskäytännöt (?)</w:t>
            </w:r>
          </w:p>
          <w:p w:rsidR="008A4AFA" w:rsidRPr="008A4AFA" w:rsidRDefault="008A4AFA" w:rsidP="008A4AFA">
            <w:pPr>
              <w:numPr>
                <w:ilvl w:val="0"/>
                <w:numId w:val="24"/>
              </w:numPr>
              <w:spacing w:after="0" w:line="240" w:lineRule="auto"/>
              <w:contextualSpacing/>
              <w:jc w:val="both"/>
              <w:rPr>
                <w:rFonts w:asciiTheme="minorHAnsi" w:eastAsiaTheme="minorHAnsi" w:hAnsiTheme="minorHAnsi"/>
                <w:sz w:val="24"/>
                <w:szCs w:val="24"/>
              </w:rPr>
            </w:pPr>
            <w:proofErr w:type="gramStart"/>
            <w:r w:rsidRPr="008A4AFA">
              <w:rPr>
                <w:rFonts w:asciiTheme="minorHAnsi" w:eastAsiaTheme="minorHAnsi" w:hAnsiTheme="minorHAnsi"/>
                <w:sz w:val="24"/>
                <w:szCs w:val="24"/>
              </w:rPr>
              <w:t>Ilmoitusmahdollisuuksista (velvoitteesta?) tulisi tiedottaa tehokkaammin väärinkäytöskäsitettä tulisi selventää ja henkilökunta kouluttaa.</w:t>
            </w:r>
            <w:proofErr w:type="gramEnd"/>
          </w:p>
          <w:p w:rsidR="008A4AFA" w:rsidRPr="008A4AFA" w:rsidRDefault="008A4AFA" w:rsidP="008A4AFA">
            <w:pPr>
              <w:numPr>
                <w:ilvl w:val="0"/>
                <w:numId w:val="24"/>
              </w:numPr>
              <w:spacing w:after="0" w:line="240" w:lineRule="auto"/>
              <w:contextualSpacing/>
              <w:jc w:val="both"/>
              <w:rPr>
                <w:rFonts w:asciiTheme="minorHAnsi" w:eastAsiaTheme="minorHAnsi" w:hAnsiTheme="minorHAnsi"/>
                <w:sz w:val="24"/>
                <w:szCs w:val="24"/>
              </w:rPr>
            </w:pPr>
            <w:r w:rsidRPr="008A4AFA">
              <w:rPr>
                <w:rFonts w:asciiTheme="minorHAnsi" w:eastAsiaTheme="minorHAnsi" w:hAnsiTheme="minorHAnsi"/>
                <w:sz w:val="24"/>
                <w:szCs w:val="24"/>
              </w:rPr>
              <w:t xml:space="preserve">Nimetöntä tai luottamuksellista ilmoittamista tulisi mahdollistaa ja muunlaiseen ilmoittajien suojeluun tulisi varautua. </w:t>
            </w:r>
          </w:p>
          <w:p w:rsidR="008A4AFA" w:rsidRPr="008A4AFA" w:rsidRDefault="008A4AFA" w:rsidP="008A4AFA">
            <w:pPr>
              <w:rPr>
                <w:rFonts w:asciiTheme="minorHAnsi" w:eastAsiaTheme="minorHAnsi" w:hAnsiTheme="minorHAnsi"/>
                <w:sz w:val="24"/>
                <w:szCs w:val="24"/>
              </w:rPr>
            </w:pP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30"/>
              </w:numPr>
              <w:spacing w:after="0" w:line="240" w:lineRule="auto"/>
              <w:ind w:left="318" w:hanging="284"/>
              <w:contextualSpacing/>
              <w:rPr>
                <w:rFonts w:asciiTheme="minorHAnsi" w:eastAsiaTheme="minorHAnsi" w:hAnsiTheme="minorHAnsi"/>
                <w:sz w:val="24"/>
                <w:szCs w:val="24"/>
              </w:rPr>
            </w:pPr>
            <w:r w:rsidRPr="008A4AFA">
              <w:rPr>
                <w:rFonts w:asciiTheme="minorHAnsi" w:eastAsiaTheme="minorHAnsi" w:hAnsiTheme="minorHAnsi"/>
                <w:sz w:val="24"/>
                <w:szCs w:val="24"/>
              </w:rPr>
              <w:t xml:space="preserve">Muut (säätiöt, yhdistykset, tilintarkastajat…) </w:t>
            </w:r>
          </w:p>
        </w:tc>
        <w:tc>
          <w:tcPr>
            <w:tcW w:w="5245" w:type="dxa"/>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Suomisen taustamuistiot (luottolaitosten + tilintarkastajien ilmoitusvelvollisuuksista)</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ind w:left="318" w:hanging="318"/>
              <w:rPr>
                <w:rFonts w:asciiTheme="minorHAnsi" w:eastAsiaTheme="minorHAnsi" w:hAnsiTheme="minorHAnsi"/>
                <w:sz w:val="24"/>
                <w:szCs w:val="24"/>
              </w:rPr>
            </w:pPr>
            <w:r w:rsidRPr="008A4AFA">
              <w:rPr>
                <w:rFonts w:asciiTheme="minorHAnsi" w:eastAsiaTheme="minorHAnsi" w:hAnsiTheme="minorHAnsi"/>
                <w:sz w:val="24"/>
                <w:szCs w:val="24"/>
              </w:rPr>
              <w:t xml:space="preserve">2. </w:t>
            </w:r>
            <w:proofErr w:type="gramStart"/>
            <w:r w:rsidRPr="008A4AFA">
              <w:rPr>
                <w:rFonts w:asciiTheme="minorHAnsi" w:eastAsiaTheme="minorHAnsi" w:hAnsiTheme="minorHAnsi"/>
                <w:b/>
                <w:sz w:val="24"/>
                <w:szCs w:val="24"/>
              </w:rPr>
              <w:t>Ilmoittaminen ulkopuoliselle taholle (olemassa olevat kanavat, kenelle tarkoitettu jne.) ja ilmoittajien suojelu</w:t>
            </w:r>
            <w:proofErr w:type="gramEnd"/>
          </w:p>
        </w:tc>
        <w:tc>
          <w:tcPr>
            <w:tcW w:w="5245" w:type="dxa"/>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 xml:space="preserve">Arviomuistio (Groop), taustamuistio (Groop) ulkoisista kanavista, </w:t>
            </w:r>
            <w:proofErr w:type="spellStart"/>
            <w:r w:rsidRPr="008A4AFA">
              <w:rPr>
                <w:rFonts w:asciiTheme="minorHAnsi" w:eastAsiaTheme="minorHAnsi" w:hAnsiTheme="minorHAnsi"/>
                <w:sz w:val="24"/>
                <w:szCs w:val="24"/>
              </w:rPr>
              <w:t>excel-taulukko</w:t>
            </w:r>
            <w:proofErr w:type="spellEnd"/>
            <w:r w:rsidRPr="008A4AFA">
              <w:rPr>
                <w:rFonts w:asciiTheme="minorHAnsi" w:eastAsiaTheme="minorHAnsi" w:hAnsiTheme="minorHAnsi"/>
                <w:sz w:val="24"/>
                <w:szCs w:val="24"/>
              </w:rPr>
              <w:t xml:space="preserve"> (Groop) ilmoituksia vastaanottavista tahoista, Laukkasen taustamuistio ilmoittajien kohtaamista ongelmista, kaikki kuulemistilaisuudet</w:t>
            </w:r>
            <w:proofErr w:type="gramStart"/>
            <w:r w:rsidRPr="008A4AFA">
              <w:rPr>
                <w:rFonts w:asciiTheme="minorHAnsi" w:eastAsiaTheme="minorHAnsi" w:hAnsiTheme="minorHAnsi"/>
                <w:sz w:val="24"/>
                <w:szCs w:val="24"/>
              </w:rPr>
              <w:t xml:space="preserve"> (erit.</w:t>
            </w:r>
            <w:proofErr w:type="gramEnd"/>
            <w:r w:rsidRPr="008A4AFA">
              <w:rPr>
                <w:rFonts w:asciiTheme="minorHAnsi" w:eastAsiaTheme="minorHAnsi" w:hAnsiTheme="minorHAnsi"/>
                <w:sz w:val="24"/>
                <w:szCs w:val="24"/>
              </w:rPr>
              <w:t xml:space="preserve"> KRP ja </w:t>
            </w:r>
            <w:proofErr w:type="spellStart"/>
            <w:r w:rsidRPr="008A4AFA">
              <w:rPr>
                <w:rFonts w:asciiTheme="minorHAnsi" w:eastAsiaTheme="minorHAnsi" w:hAnsiTheme="minorHAnsi"/>
                <w:sz w:val="24"/>
                <w:szCs w:val="24"/>
              </w:rPr>
              <w:t>Fira</w:t>
            </w:r>
            <w:proofErr w:type="spellEnd"/>
            <w:r w:rsidRPr="008A4AFA">
              <w:rPr>
                <w:rFonts w:asciiTheme="minorHAnsi" w:eastAsiaTheme="minorHAnsi" w:hAnsiTheme="minorHAnsi"/>
                <w:sz w:val="24"/>
                <w:szCs w:val="24"/>
              </w:rPr>
              <w:t xml:space="preserve"> Oy/Aho)</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10348" w:type="dxa"/>
            <w:gridSpan w:val="2"/>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Suomella ei ole erillistä…</w:t>
            </w:r>
          </w:p>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Tämä ei kuitenkaan tarkoita sitä, ettei Suomessa olisi tahoja, jotka vastaanottaisivat ilmoituksia korruptioepäilyistä (ks. liite XX).</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numPr>
                <w:ilvl w:val="0"/>
                <w:numId w:val="23"/>
              </w:numPr>
              <w:spacing w:after="0" w:line="240" w:lineRule="auto"/>
              <w:ind w:left="318" w:hanging="318"/>
              <w:contextualSpacing/>
              <w:rPr>
                <w:rFonts w:asciiTheme="minorHAnsi" w:eastAsiaTheme="minorHAnsi" w:hAnsiTheme="minorHAnsi"/>
                <w:b/>
                <w:sz w:val="24"/>
                <w:szCs w:val="24"/>
              </w:rPr>
            </w:pPr>
            <w:r w:rsidRPr="008A4AFA">
              <w:rPr>
                <w:rFonts w:asciiTheme="minorHAnsi" w:eastAsiaTheme="minorHAnsi" w:hAnsiTheme="minorHAnsi"/>
                <w:b/>
                <w:sz w:val="24"/>
                <w:szCs w:val="24"/>
              </w:rPr>
              <w:t>Tietoisuus ja neuvonta, suhtautuminen ilmoittamiseen ja ilmoittajiin</w:t>
            </w:r>
          </w:p>
        </w:tc>
        <w:tc>
          <w:tcPr>
            <w:tcW w:w="5245" w:type="dxa"/>
          </w:tcPr>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 xml:space="preserve">Kuulemistilaisuudet + </w:t>
            </w:r>
            <w:proofErr w:type="spellStart"/>
            <w:r w:rsidRPr="008A4AFA">
              <w:rPr>
                <w:rFonts w:asciiTheme="minorHAnsi" w:eastAsiaTheme="minorHAnsi" w:hAnsiTheme="minorHAnsi"/>
                <w:sz w:val="24"/>
                <w:szCs w:val="24"/>
              </w:rPr>
              <w:t>TI:n</w:t>
            </w:r>
            <w:proofErr w:type="spellEnd"/>
            <w:r w:rsidRPr="008A4AFA">
              <w:rPr>
                <w:rFonts w:asciiTheme="minorHAnsi" w:eastAsiaTheme="minorHAnsi" w:hAnsiTheme="minorHAnsi"/>
                <w:sz w:val="24"/>
                <w:szCs w:val="24"/>
              </w:rPr>
              <w:t xml:space="preserve"> </w:t>
            </w:r>
            <w:proofErr w:type="spellStart"/>
            <w:r w:rsidRPr="008A4AFA">
              <w:rPr>
                <w:rFonts w:asciiTheme="minorHAnsi" w:eastAsiaTheme="minorHAnsi" w:hAnsiTheme="minorHAnsi"/>
                <w:sz w:val="24"/>
                <w:szCs w:val="24"/>
              </w:rPr>
              <w:t>Global</w:t>
            </w:r>
            <w:proofErr w:type="spellEnd"/>
            <w:r w:rsidRPr="008A4AFA">
              <w:rPr>
                <w:rFonts w:asciiTheme="minorHAnsi" w:eastAsiaTheme="minorHAnsi" w:hAnsiTheme="minorHAnsi"/>
                <w:sz w:val="24"/>
                <w:szCs w:val="24"/>
              </w:rPr>
              <w:t xml:space="preserve"> </w:t>
            </w:r>
            <w:proofErr w:type="spellStart"/>
            <w:r w:rsidRPr="008A4AFA">
              <w:rPr>
                <w:rFonts w:asciiTheme="minorHAnsi" w:eastAsiaTheme="minorHAnsi" w:hAnsiTheme="minorHAnsi"/>
                <w:sz w:val="24"/>
                <w:szCs w:val="24"/>
              </w:rPr>
              <w:t>Corruption</w:t>
            </w:r>
            <w:proofErr w:type="spellEnd"/>
            <w:r w:rsidRPr="008A4AFA">
              <w:rPr>
                <w:rFonts w:asciiTheme="minorHAnsi" w:eastAsiaTheme="minorHAnsi" w:hAnsiTheme="minorHAnsi"/>
                <w:sz w:val="24"/>
                <w:szCs w:val="24"/>
              </w:rPr>
              <w:t xml:space="preserve"> </w:t>
            </w:r>
            <w:proofErr w:type="spellStart"/>
            <w:r w:rsidRPr="008A4AFA">
              <w:rPr>
                <w:rFonts w:asciiTheme="minorHAnsi" w:eastAsiaTheme="minorHAnsi" w:hAnsiTheme="minorHAnsi"/>
                <w:sz w:val="24"/>
                <w:szCs w:val="24"/>
              </w:rPr>
              <w:t>Barometer</w:t>
            </w:r>
            <w:proofErr w:type="spellEnd"/>
            <w:r w:rsidRPr="008A4AFA">
              <w:rPr>
                <w:rFonts w:asciiTheme="minorHAnsi" w:eastAsiaTheme="minorHAnsi" w:hAnsiTheme="minorHAnsi"/>
                <w:sz w:val="24"/>
                <w:szCs w:val="24"/>
              </w:rPr>
              <w:t xml:space="preserve"> ja </w:t>
            </w:r>
            <w:proofErr w:type="spellStart"/>
            <w:r w:rsidRPr="008A4AFA">
              <w:rPr>
                <w:rFonts w:asciiTheme="minorHAnsi" w:eastAsiaTheme="minorHAnsi" w:hAnsiTheme="minorHAnsi"/>
                <w:sz w:val="24"/>
                <w:szCs w:val="24"/>
              </w:rPr>
              <w:t>Special</w:t>
            </w:r>
            <w:proofErr w:type="spellEnd"/>
            <w:r w:rsidRPr="008A4AFA">
              <w:rPr>
                <w:rFonts w:asciiTheme="minorHAnsi" w:eastAsiaTheme="minorHAnsi" w:hAnsiTheme="minorHAnsi"/>
                <w:sz w:val="24"/>
                <w:szCs w:val="24"/>
              </w:rPr>
              <w:t xml:space="preserve"> </w:t>
            </w:r>
            <w:proofErr w:type="spellStart"/>
            <w:r w:rsidRPr="008A4AFA">
              <w:rPr>
                <w:rFonts w:asciiTheme="minorHAnsi" w:eastAsiaTheme="minorHAnsi" w:hAnsiTheme="minorHAnsi"/>
                <w:sz w:val="24"/>
                <w:szCs w:val="24"/>
              </w:rPr>
              <w:t>Eurobarometer</w:t>
            </w:r>
            <w:proofErr w:type="spellEnd"/>
            <w:r w:rsidRPr="008A4AFA">
              <w:rPr>
                <w:rFonts w:asciiTheme="minorHAnsi" w:eastAsiaTheme="minorHAnsi" w:hAnsiTheme="minorHAnsi"/>
                <w:sz w:val="24"/>
                <w:szCs w:val="24"/>
              </w:rPr>
              <w:t xml:space="preserve"> 397</w:t>
            </w:r>
          </w:p>
        </w:tc>
      </w:tr>
      <w:tr w:rsidR="008A4AFA" w:rsidRPr="008A4AFA" w:rsidTr="00F618F0">
        <w:tc>
          <w:tcPr>
            <w:tcW w:w="3510" w:type="dxa"/>
            <w:vMerge/>
          </w:tcPr>
          <w:p w:rsidR="008A4AFA" w:rsidRPr="008A4AFA" w:rsidRDefault="008A4AFA" w:rsidP="008A4AFA">
            <w:pPr>
              <w:rPr>
                <w:rFonts w:asciiTheme="minorHAnsi" w:eastAsiaTheme="minorHAnsi" w:hAnsiTheme="minorHAnsi"/>
                <w:b/>
                <w:sz w:val="24"/>
                <w:szCs w:val="24"/>
              </w:rPr>
            </w:pPr>
          </w:p>
        </w:tc>
        <w:tc>
          <w:tcPr>
            <w:tcW w:w="10348" w:type="dxa"/>
            <w:gridSpan w:val="2"/>
          </w:tcPr>
          <w:p w:rsidR="008A4AFA" w:rsidRPr="008A4AFA" w:rsidRDefault="008A4AFA" w:rsidP="008A4AFA">
            <w:pPr>
              <w:rPr>
                <w:rFonts w:asciiTheme="minorHAnsi" w:eastAsiaTheme="minorHAnsi" w:hAnsiTheme="minorHAnsi"/>
                <w:sz w:val="24"/>
                <w:szCs w:val="24"/>
              </w:rPr>
            </w:pPr>
            <w:proofErr w:type="spellStart"/>
            <w:r w:rsidRPr="008A4AFA">
              <w:rPr>
                <w:rFonts w:asciiTheme="minorHAnsi" w:eastAsiaTheme="minorHAnsi" w:hAnsiTheme="minorHAnsi"/>
                <w:sz w:val="24"/>
                <w:szCs w:val="24"/>
              </w:rPr>
              <w:t>Transparency</w:t>
            </w:r>
            <w:proofErr w:type="spellEnd"/>
            <w:r w:rsidRPr="008A4AFA">
              <w:rPr>
                <w:rFonts w:asciiTheme="minorHAnsi" w:eastAsiaTheme="minorHAnsi" w:hAnsiTheme="minorHAnsi"/>
                <w:sz w:val="24"/>
                <w:szCs w:val="24"/>
              </w:rPr>
              <w:t xml:space="preserve"> </w:t>
            </w:r>
            <w:proofErr w:type="spellStart"/>
            <w:r w:rsidRPr="008A4AFA">
              <w:rPr>
                <w:rFonts w:asciiTheme="minorHAnsi" w:eastAsiaTheme="minorHAnsi" w:hAnsiTheme="minorHAnsi"/>
                <w:sz w:val="24"/>
                <w:szCs w:val="24"/>
              </w:rPr>
              <w:t>Internationalin</w:t>
            </w:r>
            <w:proofErr w:type="spellEnd"/>
            <w:r w:rsidRPr="008A4AFA">
              <w:rPr>
                <w:rFonts w:asciiTheme="minorHAnsi" w:eastAsiaTheme="minorHAnsi" w:hAnsiTheme="minorHAnsi"/>
                <w:sz w:val="24"/>
                <w:szCs w:val="24"/>
              </w:rPr>
              <w:t xml:space="preserve"> vuonna 2013 laatiman </w:t>
            </w:r>
            <w:proofErr w:type="spellStart"/>
            <w:r w:rsidRPr="008A4AFA">
              <w:rPr>
                <w:rFonts w:asciiTheme="minorHAnsi" w:eastAsiaTheme="minorHAnsi" w:hAnsiTheme="minorHAnsi"/>
                <w:i/>
                <w:sz w:val="24"/>
                <w:szCs w:val="24"/>
              </w:rPr>
              <w:t>Global</w:t>
            </w:r>
            <w:proofErr w:type="spellEnd"/>
            <w:r w:rsidRPr="008A4AFA">
              <w:rPr>
                <w:rFonts w:asciiTheme="minorHAnsi" w:eastAsiaTheme="minorHAnsi" w:hAnsiTheme="minorHAnsi"/>
                <w:i/>
                <w:sz w:val="24"/>
                <w:szCs w:val="24"/>
              </w:rPr>
              <w:t xml:space="preserve"> </w:t>
            </w:r>
            <w:proofErr w:type="spellStart"/>
            <w:r w:rsidRPr="008A4AFA">
              <w:rPr>
                <w:rFonts w:asciiTheme="minorHAnsi" w:eastAsiaTheme="minorHAnsi" w:hAnsiTheme="minorHAnsi"/>
                <w:i/>
                <w:sz w:val="24"/>
                <w:szCs w:val="24"/>
              </w:rPr>
              <w:t>Corruption</w:t>
            </w:r>
            <w:proofErr w:type="spellEnd"/>
            <w:r w:rsidRPr="008A4AFA">
              <w:rPr>
                <w:rFonts w:asciiTheme="minorHAnsi" w:eastAsiaTheme="minorHAnsi" w:hAnsiTheme="minorHAnsi"/>
                <w:i/>
                <w:sz w:val="24"/>
                <w:szCs w:val="24"/>
              </w:rPr>
              <w:t xml:space="preserve"> </w:t>
            </w:r>
            <w:proofErr w:type="spellStart"/>
            <w:r w:rsidRPr="008A4AFA">
              <w:rPr>
                <w:rFonts w:asciiTheme="minorHAnsi" w:eastAsiaTheme="minorHAnsi" w:hAnsiTheme="minorHAnsi"/>
                <w:i/>
                <w:sz w:val="24"/>
                <w:szCs w:val="24"/>
              </w:rPr>
              <w:t>Barometer</w:t>
            </w:r>
            <w:r w:rsidRPr="008A4AFA">
              <w:rPr>
                <w:rFonts w:asciiTheme="minorHAnsi" w:eastAsiaTheme="minorHAnsi" w:hAnsiTheme="minorHAnsi"/>
                <w:sz w:val="24"/>
                <w:szCs w:val="24"/>
              </w:rPr>
              <w:t>in</w:t>
            </w:r>
            <w:proofErr w:type="spellEnd"/>
            <w:r w:rsidRPr="008A4AFA">
              <w:rPr>
                <w:rFonts w:asciiTheme="minorHAnsi" w:eastAsiaTheme="minorHAnsi" w:hAnsiTheme="minorHAnsi"/>
                <w:sz w:val="24"/>
                <w:szCs w:val="24"/>
              </w:rPr>
              <w:t xml:space="preserve"> mukaan </w:t>
            </w:r>
            <w:proofErr w:type="gramStart"/>
            <w:r w:rsidRPr="008A4AFA">
              <w:rPr>
                <w:rFonts w:asciiTheme="minorHAnsi" w:eastAsiaTheme="minorHAnsi" w:hAnsiTheme="minorHAnsi"/>
                <w:sz w:val="24"/>
                <w:szCs w:val="24"/>
              </w:rPr>
              <w:t>44%</w:t>
            </w:r>
            <w:proofErr w:type="gramEnd"/>
            <w:r w:rsidRPr="008A4AFA">
              <w:rPr>
                <w:rFonts w:asciiTheme="minorHAnsi" w:eastAsiaTheme="minorHAnsi" w:hAnsiTheme="minorHAnsi"/>
                <w:sz w:val="24"/>
                <w:szCs w:val="24"/>
              </w:rPr>
              <w:t xml:space="preserve"> suomalaisista  koki, että korruptio lisääntyi maassamme vuosien 2011 ja 2013 välillä kun taas 45% koki, että korruptiota esiintyi yhtä paljon kuin aikaisemmin. Tästä huolimatta </w:t>
            </w:r>
            <w:proofErr w:type="gramStart"/>
            <w:r w:rsidRPr="008A4AFA">
              <w:rPr>
                <w:rFonts w:asciiTheme="minorHAnsi" w:eastAsiaTheme="minorHAnsi" w:hAnsiTheme="minorHAnsi"/>
                <w:sz w:val="24"/>
                <w:szCs w:val="24"/>
              </w:rPr>
              <w:t>35%</w:t>
            </w:r>
            <w:proofErr w:type="gramEnd"/>
            <w:r w:rsidRPr="008A4AFA">
              <w:rPr>
                <w:rFonts w:asciiTheme="minorHAnsi" w:eastAsiaTheme="minorHAnsi" w:hAnsiTheme="minorHAnsi"/>
                <w:sz w:val="24"/>
                <w:szCs w:val="24"/>
              </w:rPr>
              <w:t xml:space="preserve"> suomalaisista ei ilmoittaisi havaitsemistaan korruptiotapauksista kenellekään. </w:t>
            </w:r>
            <w:proofErr w:type="gramStart"/>
            <w:r w:rsidRPr="008A4AFA">
              <w:rPr>
                <w:rFonts w:asciiTheme="minorHAnsi" w:eastAsiaTheme="minorHAnsi" w:hAnsiTheme="minorHAnsi"/>
                <w:sz w:val="24"/>
                <w:szCs w:val="24"/>
              </w:rPr>
              <w:t>29%</w:t>
            </w:r>
            <w:proofErr w:type="gramEnd"/>
            <w:r w:rsidRPr="008A4AFA">
              <w:rPr>
                <w:rFonts w:asciiTheme="minorHAnsi" w:eastAsiaTheme="minorHAnsi" w:hAnsiTheme="minorHAnsi"/>
                <w:sz w:val="24"/>
                <w:szCs w:val="24"/>
              </w:rPr>
              <w:t xml:space="preserve"> ilmoittamista karttavista jättäisi ilmoituksen tekemättä koska ei tiedä minne korruptiotapauksista voi ilmoittaa, 15% koska pelkää vastatoimia ja </w:t>
            </w:r>
            <w:r w:rsidRPr="008A4AFA">
              <w:rPr>
                <w:rFonts w:asciiTheme="minorHAnsi" w:eastAsiaTheme="minorHAnsi" w:hAnsiTheme="minorHAnsi"/>
                <w:sz w:val="24"/>
                <w:szCs w:val="24"/>
              </w:rPr>
              <w:lastRenderedPageBreak/>
              <w:t>37% koska kokee, ettei ilmoittamisella ole merkitystä. Mieluiten suomalaisvastaajat ilmoittaisivat korruptioepäilyistä sille viranomaiselle, jossa epäkohtia esiintyy tai vihjelinjan (</w:t>
            </w:r>
            <w:proofErr w:type="spellStart"/>
            <w:r w:rsidRPr="008A4AFA">
              <w:rPr>
                <w:rFonts w:asciiTheme="minorHAnsi" w:eastAsiaTheme="minorHAnsi" w:hAnsiTheme="minorHAnsi"/>
                <w:i/>
                <w:sz w:val="24"/>
                <w:szCs w:val="24"/>
              </w:rPr>
              <w:t>hotline</w:t>
            </w:r>
            <w:proofErr w:type="spellEnd"/>
            <w:r w:rsidRPr="008A4AFA">
              <w:rPr>
                <w:rFonts w:asciiTheme="minorHAnsi" w:eastAsiaTheme="minorHAnsi" w:hAnsiTheme="minorHAnsi"/>
                <w:sz w:val="24"/>
                <w:szCs w:val="24"/>
              </w:rPr>
              <w:t xml:space="preserve">) kautta.  </w:t>
            </w:r>
          </w:p>
          <w:p w:rsidR="008A4AFA" w:rsidRPr="008A4AFA" w:rsidRDefault="008A4AFA"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 xml:space="preserve">Myös vuonna 2014 ilmestyneen </w:t>
            </w:r>
            <w:proofErr w:type="spellStart"/>
            <w:r w:rsidRPr="008A4AFA">
              <w:rPr>
                <w:rFonts w:asciiTheme="minorHAnsi" w:eastAsiaTheme="minorHAnsi" w:hAnsiTheme="minorHAnsi"/>
                <w:i/>
                <w:sz w:val="24"/>
                <w:szCs w:val="24"/>
              </w:rPr>
              <w:t>Eurobarometer</w:t>
            </w:r>
            <w:r w:rsidRPr="008A4AFA">
              <w:rPr>
                <w:rFonts w:asciiTheme="minorHAnsi" w:eastAsiaTheme="minorHAnsi" w:hAnsiTheme="minorHAnsi"/>
                <w:sz w:val="24"/>
                <w:szCs w:val="24"/>
              </w:rPr>
              <w:t>-kyselytutkimuksen</w:t>
            </w:r>
            <w:proofErr w:type="spellEnd"/>
            <w:r w:rsidRPr="008A4AFA">
              <w:rPr>
                <w:rFonts w:asciiTheme="minorHAnsi" w:eastAsiaTheme="minorHAnsi" w:hAnsiTheme="minorHAnsi"/>
                <w:sz w:val="24"/>
                <w:szCs w:val="24"/>
              </w:rPr>
              <w:t xml:space="preserve"> tulokset ovat samansuuntaiset. Eurobarometrin mukaan </w:t>
            </w:r>
            <w:proofErr w:type="gramStart"/>
            <w:r w:rsidRPr="008A4AFA">
              <w:rPr>
                <w:rFonts w:asciiTheme="minorHAnsi" w:eastAsiaTheme="minorHAnsi" w:hAnsiTheme="minorHAnsi"/>
                <w:sz w:val="24"/>
                <w:szCs w:val="24"/>
              </w:rPr>
              <w:t>38%</w:t>
            </w:r>
            <w:proofErr w:type="gramEnd"/>
            <w:r w:rsidRPr="008A4AFA">
              <w:rPr>
                <w:rFonts w:asciiTheme="minorHAnsi" w:eastAsiaTheme="minorHAnsi" w:hAnsiTheme="minorHAnsi"/>
                <w:sz w:val="24"/>
                <w:szCs w:val="24"/>
              </w:rPr>
              <w:t xml:space="preserve"> suomalaisista ei tiedä minne korruptiotapauksia voi ilmoittaa. Kyselytutkimuksen mukaan </w:t>
            </w:r>
            <w:proofErr w:type="gramStart"/>
            <w:r w:rsidRPr="008A4AFA">
              <w:rPr>
                <w:rFonts w:asciiTheme="minorHAnsi" w:eastAsiaTheme="minorHAnsi" w:hAnsiTheme="minorHAnsi"/>
                <w:sz w:val="24"/>
                <w:szCs w:val="24"/>
              </w:rPr>
              <w:t>63%</w:t>
            </w:r>
            <w:proofErr w:type="gramEnd"/>
            <w:r w:rsidRPr="008A4AFA">
              <w:rPr>
                <w:rFonts w:asciiTheme="minorHAnsi" w:eastAsiaTheme="minorHAnsi" w:hAnsiTheme="minorHAnsi"/>
                <w:sz w:val="24"/>
                <w:szCs w:val="24"/>
              </w:rPr>
              <w:t xml:space="preserve"> suomalaisvastaajista karttaa ilmoittamista koska kokee, että </w:t>
            </w:r>
            <w:proofErr w:type="spellStart"/>
            <w:r w:rsidRPr="008A4AFA">
              <w:rPr>
                <w:rFonts w:asciiTheme="minorHAnsi" w:eastAsiaTheme="minorHAnsi" w:hAnsiTheme="minorHAnsi"/>
                <w:sz w:val="24"/>
                <w:szCs w:val="24"/>
              </w:rPr>
              <w:t>korruptiivista</w:t>
            </w:r>
            <w:proofErr w:type="spellEnd"/>
            <w:r w:rsidRPr="008A4AFA">
              <w:rPr>
                <w:rFonts w:asciiTheme="minorHAnsi" w:eastAsiaTheme="minorHAnsi" w:hAnsiTheme="minorHAnsi"/>
                <w:sz w:val="24"/>
                <w:szCs w:val="24"/>
              </w:rPr>
              <w:t xml:space="preserve"> toimintaa on vaikea todistaa, ja 30% koska kokee, ettei </w:t>
            </w:r>
            <w:proofErr w:type="spellStart"/>
            <w:r w:rsidRPr="008A4AFA">
              <w:rPr>
                <w:rFonts w:asciiTheme="minorHAnsi" w:eastAsiaTheme="minorHAnsi" w:hAnsiTheme="minorHAnsi"/>
                <w:sz w:val="24"/>
                <w:szCs w:val="24"/>
              </w:rPr>
              <w:t>korruptiivisesti</w:t>
            </w:r>
            <w:proofErr w:type="spellEnd"/>
            <w:r w:rsidRPr="008A4AFA">
              <w:rPr>
                <w:rFonts w:asciiTheme="minorHAnsi" w:eastAsiaTheme="minorHAnsi" w:hAnsiTheme="minorHAnsi"/>
                <w:sz w:val="24"/>
                <w:szCs w:val="24"/>
              </w:rPr>
              <w:t xml:space="preserve"> toimineita rangaista. </w:t>
            </w:r>
            <w:proofErr w:type="gramStart"/>
            <w:r w:rsidRPr="008A4AFA">
              <w:rPr>
                <w:rFonts w:asciiTheme="minorHAnsi" w:eastAsiaTheme="minorHAnsi" w:hAnsiTheme="minorHAnsi"/>
                <w:sz w:val="24"/>
                <w:szCs w:val="24"/>
              </w:rPr>
              <w:t>15%</w:t>
            </w:r>
            <w:proofErr w:type="gramEnd"/>
            <w:r w:rsidRPr="008A4AFA">
              <w:rPr>
                <w:rFonts w:asciiTheme="minorHAnsi" w:eastAsiaTheme="minorHAnsi" w:hAnsiTheme="minorHAnsi"/>
                <w:sz w:val="24"/>
                <w:szCs w:val="24"/>
              </w:rPr>
              <w:t xml:space="preserve"> vastaajista ei ilmoittaisi korruptioepäilyistä koska kokee, ettei ilmoittajia suojella. </w:t>
            </w:r>
            <w:proofErr w:type="gramStart"/>
            <w:r w:rsidRPr="008A4AFA">
              <w:rPr>
                <w:rFonts w:asciiTheme="minorHAnsi" w:eastAsiaTheme="minorHAnsi" w:hAnsiTheme="minorHAnsi"/>
                <w:sz w:val="24"/>
                <w:szCs w:val="24"/>
              </w:rPr>
              <w:t>80%</w:t>
            </w:r>
            <w:proofErr w:type="gramEnd"/>
            <w:r w:rsidRPr="008A4AFA">
              <w:rPr>
                <w:rFonts w:asciiTheme="minorHAnsi" w:eastAsiaTheme="minorHAnsi" w:hAnsiTheme="minorHAnsi"/>
                <w:sz w:val="24"/>
                <w:szCs w:val="24"/>
              </w:rPr>
              <w:t xml:space="preserve"> vastaajista kokee, että poliisi on paras taho vastaanottamaan ja käsittelemään ilmoituksia korruptioepäilyistä.  </w:t>
            </w:r>
          </w:p>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sz w:val="24"/>
                <w:szCs w:val="24"/>
              </w:rPr>
              <w:t>[suhtautuminen ilmoittamiseen ja ilmoittajiin?]</w:t>
            </w:r>
          </w:p>
          <w:p w:rsidR="008A4AFA" w:rsidRPr="008A4AFA" w:rsidRDefault="008A4AFA" w:rsidP="008A4AFA">
            <w:pPr>
              <w:rPr>
                <w:rFonts w:asciiTheme="minorHAnsi" w:eastAsiaTheme="minorHAnsi" w:hAnsiTheme="minorHAnsi"/>
                <w:sz w:val="24"/>
                <w:szCs w:val="24"/>
              </w:rPr>
            </w:pPr>
          </w:p>
          <w:p w:rsidR="008A4AFA" w:rsidRPr="008A4AFA" w:rsidRDefault="008A4AFA" w:rsidP="008A4AFA">
            <w:pPr>
              <w:rPr>
                <w:rFonts w:asciiTheme="minorHAnsi" w:eastAsiaTheme="minorHAnsi" w:hAnsiTheme="minorHAnsi"/>
                <w:sz w:val="24"/>
                <w:szCs w:val="24"/>
              </w:rPr>
            </w:pPr>
            <w:r w:rsidRPr="008A4AFA">
              <w:rPr>
                <w:rFonts w:asciiTheme="minorHAnsi" w:eastAsiaTheme="minorHAnsi" w:hAnsiTheme="minorHAnsi"/>
                <w:b/>
                <w:sz w:val="24"/>
                <w:szCs w:val="24"/>
              </w:rPr>
              <w:t>Huomiota/havaintoja</w:t>
            </w:r>
            <w:r w:rsidRPr="008A4AFA">
              <w:rPr>
                <w:rFonts w:asciiTheme="minorHAnsi" w:eastAsiaTheme="minorHAnsi" w:hAnsiTheme="minorHAnsi"/>
                <w:sz w:val="24"/>
                <w:szCs w:val="24"/>
              </w:rPr>
              <w:t>?</w:t>
            </w:r>
          </w:p>
          <w:p w:rsidR="008A4AFA" w:rsidRPr="008A4AFA" w:rsidRDefault="008A4AFA" w:rsidP="008A4AFA">
            <w:pPr>
              <w:numPr>
                <w:ilvl w:val="0"/>
                <w:numId w:val="31"/>
              </w:numPr>
              <w:spacing w:after="0" w:line="240" w:lineRule="auto"/>
              <w:contextualSpacing/>
              <w:rPr>
                <w:rFonts w:asciiTheme="minorHAnsi" w:eastAsiaTheme="minorHAnsi" w:hAnsiTheme="minorHAnsi"/>
                <w:sz w:val="24"/>
                <w:szCs w:val="24"/>
              </w:rPr>
            </w:pPr>
            <w:r w:rsidRPr="008A4AFA">
              <w:rPr>
                <w:rFonts w:asciiTheme="minorHAnsi" w:eastAsiaTheme="minorHAnsi" w:hAnsiTheme="minorHAnsi"/>
                <w:sz w:val="24"/>
                <w:szCs w:val="24"/>
              </w:rPr>
              <w:t>Moni ei tiedä minne korruptioepäilystä ilmoitetaan: ilmoittamiskäytäntöjä tulee selkeyttää (?) ja/tai niistä tiedottaa tehokkaammin.</w:t>
            </w:r>
          </w:p>
          <w:p w:rsidR="008A4AFA" w:rsidRPr="008A4AFA" w:rsidRDefault="008A4AFA" w:rsidP="008A4AFA">
            <w:pPr>
              <w:numPr>
                <w:ilvl w:val="0"/>
                <w:numId w:val="31"/>
              </w:numPr>
              <w:spacing w:after="0" w:line="240" w:lineRule="auto"/>
              <w:contextualSpacing/>
              <w:rPr>
                <w:rFonts w:asciiTheme="minorHAnsi" w:eastAsiaTheme="minorHAnsi" w:hAnsiTheme="minorHAnsi"/>
                <w:sz w:val="24"/>
                <w:szCs w:val="24"/>
              </w:rPr>
            </w:pPr>
            <w:proofErr w:type="gramStart"/>
            <w:r w:rsidRPr="008A4AFA">
              <w:rPr>
                <w:rFonts w:asciiTheme="minorHAnsi" w:eastAsiaTheme="minorHAnsi" w:hAnsiTheme="minorHAnsi"/>
                <w:sz w:val="24"/>
                <w:szCs w:val="24"/>
              </w:rPr>
              <w:t>Moni karttaa ilmiottamista koska pelkää vastatoimia → ilmoittajien suojelua tulisi tehostaa?</w:t>
            </w:r>
            <w:proofErr w:type="gramEnd"/>
          </w:p>
          <w:p w:rsidR="008A4AFA" w:rsidRDefault="008A4AFA" w:rsidP="008A4AFA">
            <w:pPr>
              <w:numPr>
                <w:ilvl w:val="0"/>
                <w:numId w:val="31"/>
              </w:numPr>
              <w:spacing w:after="0" w:line="240" w:lineRule="auto"/>
              <w:contextualSpacing/>
              <w:rPr>
                <w:rFonts w:asciiTheme="minorHAnsi" w:eastAsiaTheme="minorHAnsi" w:hAnsiTheme="minorHAnsi"/>
                <w:sz w:val="24"/>
                <w:szCs w:val="24"/>
              </w:rPr>
            </w:pPr>
            <w:r w:rsidRPr="008A4AFA">
              <w:rPr>
                <w:rFonts w:asciiTheme="minorHAnsi" w:eastAsiaTheme="minorHAnsi" w:hAnsiTheme="minorHAnsi"/>
                <w:sz w:val="24"/>
                <w:szCs w:val="24"/>
              </w:rPr>
              <w:t>Ilmoittamista harkitseville tulisi tarjota neuvonantoa</w:t>
            </w:r>
          </w:p>
          <w:p w:rsidR="008A4AFA" w:rsidRPr="008A4AFA" w:rsidRDefault="008A4AFA" w:rsidP="008A4AFA">
            <w:pPr>
              <w:spacing w:after="0" w:line="240" w:lineRule="auto"/>
              <w:ind w:left="720"/>
              <w:contextualSpacing/>
              <w:rPr>
                <w:rFonts w:asciiTheme="minorHAnsi" w:eastAsiaTheme="minorHAnsi" w:hAnsiTheme="minorHAnsi"/>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proofErr w:type="gramStart"/>
            <w:r w:rsidRPr="008A4AFA">
              <w:rPr>
                <w:rFonts w:asciiTheme="minorHAnsi" w:eastAsiaTheme="minorHAnsi" w:hAnsiTheme="minorHAnsi"/>
                <w:b/>
                <w:sz w:val="24"/>
                <w:szCs w:val="24"/>
              </w:rPr>
              <w:lastRenderedPageBreak/>
              <w:t>Identifioidut ongelmakohdat ja heikkoudet sekä työryhmän ratkaisuehdotukset</w:t>
            </w:r>
            <w:proofErr w:type="gramEnd"/>
          </w:p>
        </w:tc>
        <w:tc>
          <w:tcPr>
            <w:tcW w:w="5103" w:type="dxa"/>
          </w:tcPr>
          <w:p w:rsidR="008A4AFA" w:rsidRPr="008A4AFA" w:rsidRDefault="008A4AFA" w:rsidP="008A4AFA">
            <w:pPr>
              <w:numPr>
                <w:ilvl w:val="0"/>
                <w:numId w:val="21"/>
              </w:numPr>
              <w:spacing w:after="0" w:line="240" w:lineRule="auto"/>
              <w:ind w:left="318" w:hanging="284"/>
              <w:contextualSpacing/>
              <w:rPr>
                <w:rFonts w:asciiTheme="minorHAnsi" w:eastAsiaTheme="minorHAnsi" w:hAnsiTheme="minorHAnsi"/>
                <w:b/>
                <w:sz w:val="24"/>
                <w:szCs w:val="24"/>
              </w:rPr>
            </w:pPr>
            <w:r w:rsidRPr="008A4AFA">
              <w:rPr>
                <w:rFonts w:asciiTheme="minorHAnsi" w:eastAsiaTheme="minorHAnsi" w:hAnsiTheme="minorHAnsi"/>
                <w:b/>
                <w:sz w:val="24"/>
                <w:szCs w:val="24"/>
              </w:rPr>
              <w:t>Työpaikan sisäinen ilmoittaminen</w:t>
            </w:r>
          </w:p>
          <w:p w:rsidR="008A4AFA" w:rsidRPr="008A4AFA" w:rsidRDefault="008A4AFA" w:rsidP="008A4AFA">
            <w:pPr>
              <w:numPr>
                <w:ilvl w:val="0"/>
                <w:numId w:val="21"/>
              </w:numPr>
              <w:spacing w:after="0" w:line="240" w:lineRule="auto"/>
              <w:ind w:left="318" w:hanging="284"/>
              <w:contextualSpacing/>
              <w:rPr>
                <w:rFonts w:asciiTheme="minorHAnsi" w:eastAsiaTheme="minorHAnsi" w:hAnsiTheme="minorHAnsi"/>
                <w:b/>
                <w:sz w:val="24"/>
                <w:szCs w:val="24"/>
              </w:rPr>
            </w:pPr>
            <w:r w:rsidRPr="008A4AFA">
              <w:rPr>
                <w:rFonts w:asciiTheme="minorHAnsi" w:eastAsiaTheme="minorHAnsi" w:hAnsiTheme="minorHAnsi"/>
                <w:b/>
                <w:sz w:val="24"/>
                <w:szCs w:val="24"/>
              </w:rPr>
              <w:t>Ilmoittaminen ulkopuoliselle taholle</w:t>
            </w:r>
          </w:p>
          <w:p w:rsidR="008A4AFA" w:rsidRPr="008A4AFA" w:rsidRDefault="008A4AFA" w:rsidP="008A4AFA">
            <w:pPr>
              <w:numPr>
                <w:ilvl w:val="0"/>
                <w:numId w:val="21"/>
              </w:numPr>
              <w:spacing w:after="0" w:line="240" w:lineRule="auto"/>
              <w:ind w:left="318" w:hanging="284"/>
              <w:contextualSpacing/>
              <w:rPr>
                <w:rFonts w:asciiTheme="minorHAnsi" w:eastAsiaTheme="minorHAnsi" w:hAnsiTheme="minorHAnsi"/>
                <w:b/>
                <w:sz w:val="24"/>
                <w:szCs w:val="24"/>
              </w:rPr>
            </w:pPr>
            <w:proofErr w:type="gramStart"/>
            <w:r w:rsidRPr="008A4AFA">
              <w:rPr>
                <w:rFonts w:asciiTheme="minorHAnsi" w:eastAsiaTheme="minorHAnsi" w:hAnsiTheme="minorHAnsi"/>
                <w:b/>
                <w:sz w:val="24"/>
                <w:szCs w:val="24"/>
              </w:rPr>
              <w:t>Neuvonanto ilmoittamista harkitseville tai ilmoituksen tehneille</w:t>
            </w:r>
            <w:proofErr w:type="gramEnd"/>
          </w:p>
          <w:p w:rsidR="008A4AFA" w:rsidRPr="008A4AFA" w:rsidRDefault="008A4AFA" w:rsidP="008A4AFA">
            <w:pPr>
              <w:numPr>
                <w:ilvl w:val="0"/>
                <w:numId w:val="21"/>
              </w:numPr>
              <w:spacing w:after="0" w:line="240" w:lineRule="auto"/>
              <w:ind w:left="318" w:hanging="284"/>
              <w:contextualSpacing/>
              <w:rPr>
                <w:rFonts w:asciiTheme="minorHAnsi" w:eastAsiaTheme="minorHAnsi" w:hAnsiTheme="minorHAnsi"/>
                <w:b/>
                <w:sz w:val="24"/>
                <w:szCs w:val="24"/>
              </w:rPr>
            </w:pPr>
            <w:r w:rsidRPr="008A4AFA">
              <w:rPr>
                <w:rFonts w:asciiTheme="minorHAnsi" w:eastAsiaTheme="minorHAnsi" w:hAnsiTheme="minorHAnsi"/>
                <w:b/>
                <w:sz w:val="24"/>
                <w:szCs w:val="24"/>
              </w:rPr>
              <w:t>Tietoisuus ja yleinen suhtautuminen ilmoittamiseen ja ilmoittajiin</w:t>
            </w:r>
          </w:p>
          <w:p w:rsidR="008A4AFA" w:rsidRPr="008A4AFA" w:rsidRDefault="008A4AFA" w:rsidP="008A4AFA">
            <w:pPr>
              <w:numPr>
                <w:ilvl w:val="0"/>
                <w:numId w:val="21"/>
              </w:numPr>
              <w:spacing w:after="0" w:line="240" w:lineRule="auto"/>
              <w:ind w:left="318" w:hanging="284"/>
              <w:contextualSpacing/>
              <w:rPr>
                <w:rFonts w:asciiTheme="minorHAnsi" w:eastAsiaTheme="minorHAnsi" w:hAnsiTheme="minorHAnsi"/>
                <w:b/>
                <w:sz w:val="24"/>
                <w:szCs w:val="24"/>
              </w:rPr>
            </w:pPr>
            <w:r w:rsidRPr="008A4AFA">
              <w:rPr>
                <w:rFonts w:asciiTheme="minorHAnsi" w:eastAsiaTheme="minorHAnsi" w:hAnsiTheme="minorHAnsi"/>
                <w:b/>
                <w:sz w:val="24"/>
                <w:szCs w:val="24"/>
              </w:rPr>
              <w:t>Ilmoittajien suojelu (raportointitilanteessa sekä raportoinnin jälkeen)</w:t>
            </w:r>
          </w:p>
          <w:p w:rsidR="008A4AFA" w:rsidRPr="008A4AFA" w:rsidRDefault="008A4AFA" w:rsidP="008A4AFA">
            <w:pPr>
              <w:numPr>
                <w:ilvl w:val="0"/>
                <w:numId w:val="21"/>
              </w:numPr>
              <w:spacing w:after="0" w:line="240" w:lineRule="auto"/>
              <w:ind w:left="318" w:hanging="284"/>
              <w:contextualSpacing/>
              <w:rPr>
                <w:rFonts w:asciiTheme="minorHAnsi" w:eastAsiaTheme="minorHAnsi" w:hAnsiTheme="minorHAnsi"/>
                <w:sz w:val="24"/>
                <w:szCs w:val="24"/>
              </w:rPr>
            </w:pPr>
            <w:r w:rsidRPr="008A4AFA">
              <w:rPr>
                <w:rFonts w:asciiTheme="minorHAnsi" w:eastAsiaTheme="minorHAnsi" w:hAnsiTheme="minorHAnsi"/>
                <w:b/>
                <w:sz w:val="24"/>
                <w:szCs w:val="24"/>
              </w:rPr>
              <w:lastRenderedPageBreak/>
              <w:t>…</w:t>
            </w:r>
          </w:p>
          <w:p w:rsidR="008A4AFA" w:rsidRPr="008A4AFA" w:rsidRDefault="008A4AFA" w:rsidP="008A4AFA">
            <w:pPr>
              <w:rPr>
                <w:rFonts w:asciiTheme="minorHAnsi" w:eastAsiaTheme="minorHAnsi" w:hAnsiTheme="minorHAnsi"/>
                <w:sz w:val="24"/>
                <w:szCs w:val="24"/>
              </w:rPr>
            </w:pPr>
          </w:p>
        </w:tc>
        <w:tc>
          <w:tcPr>
            <w:tcW w:w="5245" w:type="dxa"/>
          </w:tcPr>
          <w:p w:rsidR="008A4AFA" w:rsidRPr="008A4AFA" w:rsidRDefault="008A4AFA" w:rsidP="008A4AFA">
            <w:pPr>
              <w:rPr>
                <w:rFonts w:asciiTheme="minorHAnsi" w:eastAsiaTheme="minorHAnsi" w:hAnsiTheme="minorHAnsi"/>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lastRenderedPageBreak/>
              <w:t>Loppusanat</w:t>
            </w:r>
          </w:p>
        </w:tc>
        <w:tc>
          <w:tcPr>
            <w:tcW w:w="5103" w:type="dxa"/>
          </w:tcPr>
          <w:p w:rsidR="008A4AFA" w:rsidRPr="008A4AFA" w:rsidRDefault="008A4AFA" w:rsidP="008A4AFA">
            <w:pPr>
              <w:rPr>
                <w:rFonts w:asciiTheme="minorHAnsi" w:eastAsiaTheme="minorHAnsi" w:hAnsiTheme="minorHAnsi"/>
                <w:sz w:val="24"/>
                <w:szCs w:val="24"/>
              </w:rPr>
            </w:pPr>
          </w:p>
        </w:tc>
        <w:tc>
          <w:tcPr>
            <w:tcW w:w="5245" w:type="dxa"/>
          </w:tcPr>
          <w:p w:rsidR="008A4AFA" w:rsidRPr="008A4AFA" w:rsidRDefault="008A4AFA" w:rsidP="008A4AFA">
            <w:pPr>
              <w:rPr>
                <w:rFonts w:asciiTheme="minorHAnsi" w:eastAsiaTheme="minorHAnsi" w:hAnsiTheme="minorHAnsi"/>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Liitteet</w:t>
            </w:r>
          </w:p>
        </w:tc>
        <w:tc>
          <w:tcPr>
            <w:tcW w:w="5103" w:type="dxa"/>
          </w:tcPr>
          <w:p w:rsidR="008A4AFA" w:rsidRPr="008A4AFA" w:rsidRDefault="008A4AFA" w:rsidP="008A4AFA">
            <w:pPr>
              <w:numPr>
                <w:ilvl w:val="0"/>
                <w:numId w:val="32"/>
              </w:numPr>
              <w:spacing w:after="0" w:line="240" w:lineRule="auto"/>
              <w:ind w:left="318" w:hanging="284"/>
              <w:contextualSpacing/>
              <w:rPr>
                <w:rFonts w:asciiTheme="minorHAnsi" w:eastAsiaTheme="minorHAnsi" w:hAnsiTheme="minorHAnsi"/>
                <w:sz w:val="24"/>
                <w:szCs w:val="24"/>
              </w:rPr>
            </w:pPr>
            <w:r w:rsidRPr="008A4AFA">
              <w:rPr>
                <w:rFonts w:asciiTheme="minorHAnsi" w:eastAsiaTheme="minorHAnsi" w:hAnsiTheme="minorHAnsi"/>
                <w:sz w:val="24"/>
                <w:szCs w:val="24"/>
              </w:rPr>
              <w:t>kuultavat</w:t>
            </w:r>
          </w:p>
          <w:p w:rsidR="008A4AFA" w:rsidRPr="008A4AFA" w:rsidRDefault="008A4AFA" w:rsidP="008A4AFA">
            <w:pPr>
              <w:numPr>
                <w:ilvl w:val="0"/>
                <w:numId w:val="32"/>
              </w:numPr>
              <w:spacing w:after="0" w:line="240" w:lineRule="auto"/>
              <w:ind w:left="318" w:hanging="284"/>
              <w:contextualSpacing/>
              <w:rPr>
                <w:rFonts w:asciiTheme="minorHAnsi" w:eastAsiaTheme="minorHAnsi" w:hAnsiTheme="minorHAnsi"/>
                <w:sz w:val="24"/>
                <w:szCs w:val="24"/>
              </w:rPr>
            </w:pPr>
            <w:r w:rsidRPr="008A4AFA">
              <w:rPr>
                <w:rFonts w:asciiTheme="minorHAnsi" w:eastAsiaTheme="minorHAnsi" w:hAnsiTheme="minorHAnsi"/>
                <w:sz w:val="24"/>
                <w:szCs w:val="24"/>
              </w:rPr>
              <w:t>…</w:t>
            </w:r>
          </w:p>
        </w:tc>
        <w:tc>
          <w:tcPr>
            <w:tcW w:w="5245" w:type="dxa"/>
          </w:tcPr>
          <w:p w:rsidR="008A4AFA" w:rsidRPr="008A4AFA" w:rsidRDefault="008A4AFA" w:rsidP="008A4AFA">
            <w:pPr>
              <w:rPr>
                <w:rFonts w:asciiTheme="minorHAnsi" w:eastAsiaTheme="minorHAnsi" w:hAnsiTheme="minorHAnsi"/>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r w:rsidRPr="008A4AFA">
              <w:rPr>
                <w:rFonts w:asciiTheme="minorHAnsi" w:eastAsiaTheme="minorHAnsi" w:hAnsiTheme="minorHAnsi"/>
                <w:b/>
                <w:sz w:val="24"/>
                <w:szCs w:val="24"/>
              </w:rPr>
              <w:t>Lähdeluettelo</w:t>
            </w:r>
          </w:p>
        </w:tc>
        <w:tc>
          <w:tcPr>
            <w:tcW w:w="5103" w:type="dxa"/>
          </w:tcPr>
          <w:p w:rsidR="008A4AFA" w:rsidRPr="008A4AFA" w:rsidRDefault="008A4AFA" w:rsidP="008A4AFA">
            <w:pPr>
              <w:rPr>
                <w:rFonts w:asciiTheme="minorHAnsi" w:eastAsiaTheme="minorHAnsi" w:hAnsiTheme="minorHAnsi"/>
                <w:sz w:val="24"/>
                <w:szCs w:val="24"/>
              </w:rPr>
            </w:pPr>
          </w:p>
        </w:tc>
        <w:tc>
          <w:tcPr>
            <w:tcW w:w="5245" w:type="dxa"/>
          </w:tcPr>
          <w:p w:rsidR="008A4AFA" w:rsidRPr="008A4AFA" w:rsidRDefault="008A4AFA" w:rsidP="008A4AFA">
            <w:pPr>
              <w:rPr>
                <w:rFonts w:asciiTheme="minorHAnsi" w:eastAsiaTheme="minorHAnsi" w:hAnsiTheme="minorHAnsi"/>
                <w:sz w:val="24"/>
                <w:szCs w:val="24"/>
              </w:rPr>
            </w:pPr>
          </w:p>
        </w:tc>
      </w:tr>
      <w:tr w:rsidR="008A4AFA" w:rsidRPr="008A4AFA" w:rsidTr="00F618F0">
        <w:tc>
          <w:tcPr>
            <w:tcW w:w="3510" w:type="dxa"/>
          </w:tcPr>
          <w:p w:rsidR="008A4AFA" w:rsidRPr="008A4AFA" w:rsidRDefault="008A4AFA" w:rsidP="008A4AFA">
            <w:pPr>
              <w:rPr>
                <w:rFonts w:asciiTheme="minorHAnsi" w:eastAsiaTheme="minorHAnsi" w:hAnsiTheme="minorHAnsi"/>
                <w:b/>
                <w:sz w:val="24"/>
                <w:szCs w:val="24"/>
              </w:rPr>
            </w:pPr>
          </w:p>
        </w:tc>
        <w:tc>
          <w:tcPr>
            <w:tcW w:w="5103" w:type="dxa"/>
          </w:tcPr>
          <w:p w:rsidR="008A4AFA" w:rsidRPr="008A4AFA" w:rsidRDefault="008A4AFA" w:rsidP="008A4AFA">
            <w:pPr>
              <w:rPr>
                <w:rFonts w:asciiTheme="minorHAnsi" w:eastAsiaTheme="minorHAnsi" w:hAnsiTheme="minorHAnsi"/>
                <w:sz w:val="24"/>
                <w:szCs w:val="24"/>
              </w:rPr>
            </w:pPr>
          </w:p>
        </w:tc>
        <w:tc>
          <w:tcPr>
            <w:tcW w:w="5245" w:type="dxa"/>
          </w:tcPr>
          <w:p w:rsidR="008A4AFA" w:rsidRPr="008A4AFA" w:rsidRDefault="008A4AFA" w:rsidP="008A4AFA">
            <w:pPr>
              <w:rPr>
                <w:rFonts w:asciiTheme="minorHAnsi" w:eastAsiaTheme="minorHAnsi" w:hAnsiTheme="minorHAnsi"/>
                <w:sz w:val="24"/>
                <w:szCs w:val="24"/>
              </w:rPr>
            </w:pPr>
          </w:p>
        </w:tc>
      </w:tr>
    </w:tbl>
    <w:p w:rsidR="008A4AFA" w:rsidRPr="008A4AFA" w:rsidRDefault="008A4AFA" w:rsidP="008A4AFA">
      <w:pPr>
        <w:rPr>
          <w:rFonts w:asciiTheme="minorHAnsi" w:eastAsiaTheme="minorHAnsi" w:hAnsiTheme="minorHAnsi" w:cstheme="minorBidi"/>
          <w:color w:val="FF0000"/>
        </w:rPr>
      </w:pPr>
    </w:p>
    <w:p w:rsidR="008A4AFA" w:rsidRPr="008A4AFA" w:rsidRDefault="008A4AFA" w:rsidP="008A4AFA">
      <w:pPr>
        <w:rPr>
          <w:rFonts w:ascii="Garamond" w:eastAsiaTheme="minorHAnsi" w:hAnsi="Garamond" w:cstheme="minorBidi"/>
          <w:b/>
          <w:color w:val="000000" w:themeColor="text1"/>
          <w:sz w:val="24"/>
          <w:szCs w:val="24"/>
        </w:rPr>
      </w:pPr>
    </w:p>
    <w:p w:rsidR="008A4AFA" w:rsidRPr="00632DC8" w:rsidRDefault="008A4AFA" w:rsidP="008A4AFA">
      <w:pPr>
        <w:rPr>
          <w:rStyle w:val="akpallekirjoittaja1c"/>
          <w:rFonts w:ascii="Garamond" w:eastAsiaTheme="minorHAnsi" w:hAnsi="Garamond" w:cstheme="minorBidi"/>
          <w:color w:val="000000" w:themeColor="text1"/>
          <w:szCs w:val="24"/>
        </w:rPr>
      </w:pPr>
    </w:p>
    <w:sectPr w:rsidR="008A4AFA" w:rsidRPr="00632DC8" w:rsidSect="00827BB7">
      <w:pgSz w:w="16838" w:h="11906" w:orient="landscape" w:code="9"/>
      <w:pgMar w:top="1134" w:right="567" w:bottom="907" w:left="567" w:header="567" w:footer="28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56" w:rsidRDefault="00E43F56">
      <w:r>
        <w:separator/>
      </w:r>
    </w:p>
  </w:endnote>
  <w:endnote w:type="continuationSeparator" w:id="0">
    <w:p w:rsidR="00E43F56" w:rsidRDefault="00E4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rPr>
        <w:rFonts w:ascii="Times New Roman" w:hAnsi="Times New Roman"/>
        <w:sz w:val="20"/>
        <w:szCs w:val="20"/>
      </w:rPr>
    </w:sdtEndPr>
    <w:sdtContent>
      <w:p w:rsidR="000C0616" w:rsidRPr="000C0616" w:rsidRDefault="000C0616">
        <w:pPr>
          <w:pStyle w:val="Alatunniste"/>
          <w:jc w:val="right"/>
          <w:rPr>
            <w:rFonts w:ascii="Times New Roman" w:hAnsi="Times New Roman"/>
            <w:sz w:val="20"/>
            <w:szCs w:val="20"/>
          </w:rPr>
        </w:pPr>
        <w:r w:rsidRPr="000C0616">
          <w:rPr>
            <w:rFonts w:ascii="Times New Roman" w:hAnsi="Times New Roman"/>
            <w:sz w:val="20"/>
            <w:szCs w:val="20"/>
          </w:rPr>
          <w:t xml:space="preserve">Sivu </w:t>
        </w:r>
        <w:r w:rsidRPr="000C0616">
          <w:rPr>
            <w:rFonts w:ascii="Times New Roman" w:hAnsi="Times New Roman"/>
            <w:bCs/>
            <w:sz w:val="20"/>
            <w:szCs w:val="20"/>
          </w:rPr>
          <w:fldChar w:fldCharType="begin"/>
        </w:r>
        <w:r w:rsidRPr="000C0616">
          <w:rPr>
            <w:rFonts w:ascii="Times New Roman" w:hAnsi="Times New Roman"/>
            <w:bCs/>
            <w:sz w:val="20"/>
            <w:szCs w:val="20"/>
          </w:rPr>
          <w:instrText>PAGE</w:instrText>
        </w:r>
        <w:r w:rsidRPr="000C0616">
          <w:rPr>
            <w:rFonts w:ascii="Times New Roman" w:hAnsi="Times New Roman"/>
            <w:bCs/>
            <w:sz w:val="20"/>
            <w:szCs w:val="20"/>
          </w:rPr>
          <w:fldChar w:fldCharType="separate"/>
        </w:r>
        <w:r w:rsidR="001458AB">
          <w:rPr>
            <w:rFonts w:ascii="Times New Roman" w:hAnsi="Times New Roman"/>
            <w:bCs/>
            <w:noProof/>
            <w:sz w:val="20"/>
            <w:szCs w:val="20"/>
          </w:rPr>
          <w:t>12</w:t>
        </w:r>
        <w:r w:rsidRPr="000C0616">
          <w:rPr>
            <w:rFonts w:ascii="Times New Roman" w:hAnsi="Times New Roman"/>
            <w:bCs/>
            <w:sz w:val="20"/>
            <w:szCs w:val="20"/>
          </w:rPr>
          <w:fldChar w:fldCharType="end"/>
        </w:r>
        <w:r w:rsidRPr="000C0616">
          <w:rPr>
            <w:rFonts w:ascii="Times New Roman" w:hAnsi="Times New Roman"/>
            <w:sz w:val="20"/>
            <w:szCs w:val="20"/>
          </w:rPr>
          <w:t xml:space="preserve"> / </w:t>
        </w:r>
        <w:r w:rsidRPr="000C0616">
          <w:rPr>
            <w:rFonts w:ascii="Times New Roman" w:hAnsi="Times New Roman"/>
            <w:bCs/>
            <w:sz w:val="20"/>
            <w:szCs w:val="20"/>
          </w:rPr>
          <w:fldChar w:fldCharType="begin"/>
        </w:r>
        <w:r w:rsidRPr="000C0616">
          <w:rPr>
            <w:rFonts w:ascii="Times New Roman" w:hAnsi="Times New Roman"/>
            <w:bCs/>
            <w:sz w:val="20"/>
            <w:szCs w:val="20"/>
          </w:rPr>
          <w:instrText>NUMPAGES</w:instrText>
        </w:r>
        <w:r w:rsidRPr="000C0616">
          <w:rPr>
            <w:rFonts w:ascii="Times New Roman" w:hAnsi="Times New Roman"/>
            <w:bCs/>
            <w:sz w:val="20"/>
            <w:szCs w:val="20"/>
          </w:rPr>
          <w:fldChar w:fldCharType="separate"/>
        </w:r>
        <w:r w:rsidR="001458AB">
          <w:rPr>
            <w:rFonts w:ascii="Times New Roman" w:hAnsi="Times New Roman"/>
            <w:bCs/>
            <w:noProof/>
            <w:sz w:val="20"/>
            <w:szCs w:val="20"/>
          </w:rPr>
          <w:t>12</w:t>
        </w:r>
        <w:r w:rsidRPr="000C0616">
          <w:rPr>
            <w:rFonts w:ascii="Times New Roman" w:hAnsi="Times New Roman"/>
            <w:bCs/>
            <w:sz w:val="20"/>
            <w:szCs w:val="20"/>
          </w:rPr>
          <w:fldChar w:fldCharType="end"/>
        </w:r>
      </w:p>
    </w:sdtContent>
  </w:sdt>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rsidP="000C0616">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Sähköpostiosoite</w:t>
          </w:r>
          <w:proofErr w:type="spellEnd"/>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proofErr w:type="spellStart"/>
          <w:r>
            <w:rPr>
              <w:sz w:val="18"/>
              <w:szCs w:val="18"/>
              <w:lang w:val="sv-SE"/>
            </w:rPr>
            <w:t>Mannerheimintie</w:t>
          </w:r>
          <w:proofErr w:type="spellEnd"/>
          <w:r>
            <w:rPr>
              <w:sz w:val="18"/>
              <w:szCs w:val="18"/>
              <w:lang w:val="sv-SE"/>
            </w:rPr>
            <w:t xml:space="preserve"> 4</w:t>
          </w:r>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oikeusministerio@om.fi</w:t>
          </w:r>
        </w:p>
      </w:tc>
    </w:tr>
    <w:tr w:rsidR="00441D89" w:rsidRPr="009B04E6" w:rsidTr="00285B02">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HELSINKI</w:t>
          </w:r>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c>
        <w:tcPr>
          <w:tcW w:w="1701" w:type="dxa"/>
          <w:tcBorders>
            <w:left w:val="single" w:sz="4" w:space="0" w:color="auto"/>
            <w:righ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c>
        <w:tcPr>
          <w:tcW w:w="2126" w:type="dxa"/>
          <w:tcBorders>
            <w:lef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r>
  </w:tbl>
  <w:p w:rsidR="00441D89" w:rsidRPr="009B04E6" w:rsidRDefault="00441D89" w:rsidP="000C0616">
    <w:pPr>
      <w:pStyle w:val="Alatunniste"/>
      <w:spacing w:after="0" w:line="240" w:lineRule="auto"/>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56" w:rsidRDefault="00E43F56">
      <w:r>
        <w:separator/>
      </w:r>
    </w:p>
  </w:footnote>
  <w:footnote w:type="continuationSeparator" w:id="0">
    <w:p w:rsidR="00E43F56" w:rsidRDefault="00E43F56">
      <w:r>
        <w:continuationSeparator/>
      </w:r>
    </w:p>
  </w:footnote>
  <w:footnote w:id="1">
    <w:p w:rsidR="008A4AFA" w:rsidRDefault="008A4AFA" w:rsidP="008A4AFA">
      <w:pPr>
        <w:pStyle w:val="Alaviitteenteksti"/>
      </w:pPr>
      <w:r>
        <w:rPr>
          <w:rStyle w:val="Alaviitteenviite"/>
        </w:rPr>
        <w:footnoteRef/>
      </w:r>
      <w:r>
        <w:t xml:space="preserve"> KPMG (2011). </w:t>
      </w:r>
      <w:proofErr w:type="spellStart"/>
      <w:r w:rsidRPr="00594D23">
        <w:rPr>
          <w:i/>
        </w:rPr>
        <w:t>Whistleblowingjärjestelmät</w:t>
      </w:r>
      <w:proofErr w:type="spellEnd"/>
      <w:r w:rsidRPr="00594D23">
        <w:rPr>
          <w:i/>
        </w:rPr>
        <w:t xml:space="preserve"> suomalaisyhtiöissä</w:t>
      </w:r>
      <w:r>
        <w:t xml:space="preserve">. Lähde: </w:t>
      </w:r>
      <w:hyperlink r:id="rId1" w:history="1">
        <w:r w:rsidRPr="00233CF0">
          <w:rPr>
            <w:rStyle w:val="Hyperlinkki"/>
          </w:rPr>
          <w:t>https://www.kpmg.com/FI/fi/Ajankohtaista/Uutisia-ja-julkaisuja/Neuvontapalvelut/Documents/KPMG_Whistleblowing_esite_2011.indd.pdf</w:t>
        </w:r>
      </w:hyperlink>
      <w:r>
        <w:t xml:space="preserve"> (22.6.2015). </w:t>
      </w:r>
    </w:p>
  </w:footnote>
  <w:footnote w:id="2">
    <w:p w:rsidR="008A4AFA" w:rsidRPr="00A53277" w:rsidRDefault="008A4AFA" w:rsidP="008A4AFA">
      <w:pPr>
        <w:pStyle w:val="Alaviitteenteksti"/>
      </w:pPr>
      <w:r>
        <w:rPr>
          <w:rStyle w:val="Alaviitteenviite"/>
        </w:rPr>
        <w:footnoteRef/>
      </w:r>
      <w:r w:rsidRPr="00DB47F9">
        <w:rPr>
          <w:lang w:val="en-US"/>
        </w:rPr>
        <w:t xml:space="preserve"> </w:t>
      </w:r>
      <w:proofErr w:type="spellStart"/>
      <w:r w:rsidRPr="00DB47F9">
        <w:rPr>
          <w:lang w:val="en-US"/>
        </w:rPr>
        <w:t>Lahtinen</w:t>
      </w:r>
      <w:proofErr w:type="spellEnd"/>
      <w:r w:rsidRPr="00DB47F9">
        <w:rPr>
          <w:lang w:val="en-US"/>
        </w:rPr>
        <w:t xml:space="preserve">, K. (2013). </w:t>
      </w:r>
      <w:proofErr w:type="gramStart"/>
      <w:r w:rsidRPr="00594D23">
        <w:rPr>
          <w:i/>
          <w:lang w:val="en-US"/>
        </w:rPr>
        <w:t>Whistle Blowing Schemes in 20 Biggest Finnish Companies</w:t>
      </w:r>
      <w:r w:rsidRPr="00DB47F9">
        <w:rPr>
          <w:lang w:val="en-US"/>
        </w:rPr>
        <w:t>.</w:t>
      </w:r>
      <w:proofErr w:type="gramEnd"/>
      <w:r w:rsidRPr="00DB47F9">
        <w:rPr>
          <w:lang w:val="en-US"/>
        </w:rPr>
        <w:t xml:space="preserve"> </w:t>
      </w:r>
      <w:proofErr w:type="spellStart"/>
      <w:r w:rsidRPr="00A53277">
        <w:t>Master’s</w:t>
      </w:r>
      <w:proofErr w:type="spellEnd"/>
      <w:r w:rsidRPr="00A53277">
        <w:t xml:space="preserve"> </w:t>
      </w:r>
      <w:proofErr w:type="spellStart"/>
      <w:r w:rsidRPr="00A53277">
        <w:t>Thesis</w:t>
      </w:r>
      <w:proofErr w:type="spellEnd"/>
      <w:r w:rsidRPr="00A53277">
        <w:t xml:space="preserve">. Aalto </w:t>
      </w:r>
      <w:proofErr w:type="spellStart"/>
      <w:r w:rsidRPr="00A53277">
        <w:t>University</w:t>
      </w:r>
      <w:proofErr w:type="spellEnd"/>
      <w:r w:rsidRPr="00A53277">
        <w:t xml:space="preserve">, School of Business. </w:t>
      </w:r>
    </w:p>
  </w:footnote>
  <w:footnote w:id="3">
    <w:p w:rsidR="008A4AFA" w:rsidRDefault="008A4AFA" w:rsidP="008A4AFA">
      <w:pPr>
        <w:pStyle w:val="Alaviitteenteksti"/>
      </w:pPr>
      <w:r>
        <w:rPr>
          <w:rStyle w:val="Alaviitteenviite"/>
        </w:rPr>
        <w:footnoteRef/>
      </w:r>
      <w:r>
        <w:t xml:space="preserve"> Valtiovarainministeriö (2015). </w:t>
      </w:r>
      <w:proofErr w:type="gramStart"/>
      <w:r w:rsidRPr="00594D23">
        <w:rPr>
          <w:i/>
        </w:rPr>
        <w:t>Viraston sisäisen valvonnan järjestäminen ja arviointi</w:t>
      </w:r>
      <w:r>
        <w:t>.</w:t>
      </w:r>
      <w:proofErr w:type="gramEnd"/>
      <w:r>
        <w:t xml:space="preserve"> Lähde: </w:t>
      </w:r>
      <w:hyperlink r:id="rId2" w:history="1">
        <w:r w:rsidRPr="00233CF0">
          <w:rPr>
            <w:rStyle w:val="Hyperlinkki"/>
          </w:rPr>
          <w:t>http://vm.fi/hallintopolitiikka/sisainen-valvonta-ja-riskienhallinta</w:t>
        </w:r>
      </w:hyperlink>
      <w:r>
        <w:t xml:space="preserve"> (</w:t>
      </w:r>
      <w:proofErr w:type="gramStart"/>
      <w:r>
        <w:t>22.06.2015</w:t>
      </w:r>
      <w:proofErr w:type="gramEnd"/>
      <w:r>
        <w:t xml:space="preserve">). </w:t>
      </w:r>
    </w:p>
  </w:footnote>
  <w:footnote w:id="4">
    <w:p w:rsidR="008A4AFA" w:rsidRDefault="008A4AFA" w:rsidP="008A4AFA">
      <w:pPr>
        <w:pStyle w:val="Alaviitteenteksti"/>
      </w:pPr>
      <w:r>
        <w:rPr>
          <w:rStyle w:val="Alaviitteenviite"/>
        </w:rPr>
        <w:footnoteRef/>
      </w:r>
      <w:r>
        <w:t xml:space="preserve"> Valtiontalouden Tarkastusvirasto (2015). </w:t>
      </w:r>
      <w:r w:rsidRPr="00D60613">
        <w:rPr>
          <w:i/>
        </w:rPr>
        <w:t>Kanteluohje</w:t>
      </w:r>
      <w:r>
        <w:t xml:space="preserve">. Lähde: </w:t>
      </w:r>
      <w:hyperlink r:id="rId3" w:history="1">
        <w:r w:rsidRPr="00233CF0">
          <w:rPr>
            <w:rStyle w:val="Hyperlinkki"/>
          </w:rPr>
          <w:t>http://www.vtv.fi/toiminta/kantelut_ja_vaarinkaytokset/kanteluohje</w:t>
        </w:r>
      </w:hyperlink>
      <w:r>
        <w:t xml:space="preserve"> (</w:t>
      </w:r>
      <w:proofErr w:type="gramStart"/>
      <w:r>
        <w:t>22.06.2015</w:t>
      </w:r>
      <w:proofErr w:type="gramEnd"/>
      <w:r>
        <w:t xml:space="preserve">). </w:t>
      </w:r>
    </w:p>
  </w:footnote>
  <w:footnote w:id="5">
    <w:p w:rsidR="008A4AFA" w:rsidRDefault="008A4AFA" w:rsidP="008A4AFA">
      <w:pPr>
        <w:pStyle w:val="Alaviitteenteksti"/>
      </w:pPr>
      <w:r>
        <w:rPr>
          <w:rStyle w:val="Alaviitteenviite"/>
        </w:rPr>
        <w:footnoteRef/>
      </w:r>
      <w:r>
        <w:t xml:space="preserve"> </w:t>
      </w:r>
      <w:r w:rsidRPr="00683C14">
        <w:t xml:space="preserve">Valtiontalouden Tarkastusvirasto (2015). Kanteluohje. Lähde: </w:t>
      </w:r>
      <w:hyperlink r:id="rId4" w:history="1">
        <w:r w:rsidRPr="00233CF0">
          <w:rPr>
            <w:rStyle w:val="Hyperlinkki"/>
          </w:rPr>
          <w:t>http://www.vtv.fi/toiminta/kantelut_ja_vaarinkaytokset/kanteluohje</w:t>
        </w:r>
      </w:hyperlink>
      <w:r>
        <w:t xml:space="preserve"> </w:t>
      </w:r>
      <w:r w:rsidRPr="00683C14">
        <w:t>(</w:t>
      </w:r>
      <w:proofErr w:type="gramStart"/>
      <w:r w:rsidRPr="00683C14">
        <w:t>22.06.2015</w:t>
      </w:r>
      <w:proofErr w:type="gramEnd"/>
      <w:r w:rsidRPr="00683C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5216"/>
      <w:gridCol w:w="56"/>
      <w:gridCol w:w="2608"/>
      <w:gridCol w:w="1805"/>
      <w:gridCol w:w="663"/>
    </w:tblGrid>
    <w:tr w:rsidR="00441D89" w:rsidRPr="0048319D" w:rsidTr="000C0616">
      <w:trPr>
        <w:cantSplit/>
        <w:trHeight w:hRule="exact" w:val="20"/>
      </w:trPr>
      <w:tc>
        <w:tcPr>
          <w:tcW w:w="5216" w:type="dxa"/>
        </w:tcPr>
        <w:p w:rsidR="00441D89" w:rsidRPr="0048319D" w:rsidRDefault="00441D89" w:rsidP="001954EF">
          <w:pPr>
            <w:pStyle w:val="akpylatunniste"/>
          </w:pPr>
        </w:p>
      </w:tc>
      <w:tc>
        <w:tcPr>
          <w:tcW w:w="56" w:type="dxa"/>
        </w:tcPr>
        <w:p w:rsidR="00441D89" w:rsidRPr="0048319D" w:rsidRDefault="00441D89" w:rsidP="001954EF">
          <w:pPr>
            <w:pStyle w:val="akpylatunniste"/>
          </w:pPr>
        </w:p>
      </w:tc>
      <w:tc>
        <w:tcPr>
          <w:tcW w:w="2608" w:type="dxa"/>
        </w:tcPr>
        <w:p w:rsidR="00441D89" w:rsidRPr="0048319D" w:rsidRDefault="00441D89" w:rsidP="001954EF">
          <w:pPr>
            <w:pStyle w:val="akpylatunniste"/>
          </w:pPr>
        </w:p>
      </w:tc>
      <w:tc>
        <w:tcPr>
          <w:tcW w:w="1805" w:type="dxa"/>
        </w:tcPr>
        <w:p w:rsidR="00441D89" w:rsidRPr="0048319D" w:rsidRDefault="00441D89" w:rsidP="001954EF">
          <w:pPr>
            <w:pStyle w:val="akpylatunniste"/>
          </w:pPr>
          <w:r w:rsidRPr="0048319D">
            <w:rPr>
              <w:rStyle w:val="akptunnus"/>
            </w:rPr>
            <w:t xml:space="preserve">  </w:t>
          </w:r>
        </w:p>
      </w:tc>
      <w:tc>
        <w:tcPr>
          <w:tcW w:w="663" w:type="dxa"/>
        </w:tcPr>
        <w:p w:rsidR="00441D89" w:rsidRPr="0048319D" w:rsidRDefault="00441D89" w:rsidP="001954EF">
          <w:pPr>
            <w:pStyle w:val="akpylatunniste"/>
          </w:pPr>
        </w:p>
      </w:tc>
    </w:tr>
  </w:tbl>
  <w:p w:rsidR="00441D89" w:rsidRDefault="00441D89" w:rsidP="000C061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1061"/>
      <w:gridCol w:w="25"/>
      <w:gridCol w:w="101"/>
    </w:tblGrid>
    <w:tr w:rsidR="00573FAB" w:rsidRPr="0048319D" w:rsidTr="000C0616">
      <w:trPr>
        <w:cantSplit/>
        <w:trHeight w:hRule="exact" w:val="57"/>
      </w:trPr>
      <w:tc>
        <w:tcPr>
          <w:tcW w:w="5165" w:type="dxa"/>
        </w:tcPr>
        <w:p w:rsidR="00573FAB" w:rsidRPr="0008094E" w:rsidRDefault="00573FAB" w:rsidP="001954EF">
          <w:pPr>
            <w:pStyle w:val="akpylatunniste"/>
          </w:pPr>
        </w:p>
      </w:tc>
      <w:tc>
        <w:tcPr>
          <w:tcW w:w="66" w:type="dxa"/>
          <w:gridSpan w:val="2"/>
        </w:tcPr>
        <w:p w:rsidR="00573FAB" w:rsidRPr="0008094E" w:rsidRDefault="00573FAB" w:rsidP="001954EF">
          <w:pPr>
            <w:pStyle w:val="akpylatunniste"/>
          </w:pPr>
        </w:p>
      </w:tc>
      <w:tc>
        <w:tcPr>
          <w:tcW w:w="2581" w:type="dxa"/>
          <w:vAlign w:val="bottom"/>
        </w:tcPr>
        <w:p w:rsidR="00573FAB" w:rsidRPr="0008094E" w:rsidRDefault="00573FAB" w:rsidP="001954EF">
          <w:pPr>
            <w:pStyle w:val="akpylatunniste"/>
          </w:pPr>
        </w:p>
      </w:tc>
      <w:tc>
        <w:tcPr>
          <w:tcW w:w="1364" w:type="dxa"/>
        </w:tcPr>
        <w:p w:rsidR="00573FAB" w:rsidRPr="0008094E" w:rsidRDefault="00573FAB" w:rsidP="001954EF">
          <w:pPr>
            <w:pStyle w:val="akpylatunniste"/>
          </w:pPr>
        </w:p>
      </w:tc>
      <w:tc>
        <w:tcPr>
          <w:tcW w:w="1187" w:type="dxa"/>
          <w:gridSpan w:val="3"/>
        </w:tcPr>
        <w:p w:rsidR="00573FAB" w:rsidRPr="0008094E" w:rsidRDefault="00573FAB" w:rsidP="001954EF">
          <w:pPr>
            <w:pStyle w:val="akpylatunniste"/>
          </w:pPr>
        </w:p>
      </w:tc>
    </w:tr>
    <w:tr w:rsidR="00AF3334" w:rsidRPr="00584D0B" w:rsidTr="000C0616">
      <w:trPr>
        <w:cantSplit/>
        <w:trHeight w:hRule="exact" w:val="936"/>
      </w:trPr>
      <w:tc>
        <w:tcPr>
          <w:tcW w:w="5201" w:type="dxa"/>
          <w:gridSpan w:val="2"/>
          <w:vMerge w:val="restart"/>
        </w:tcPr>
        <w:p w:rsidR="00AF3334" w:rsidRPr="00584D0B" w:rsidRDefault="000C0616" w:rsidP="001954EF">
          <w:pPr>
            <w:pStyle w:val="akpylatunniste"/>
            <w:rPr>
              <w:rFonts w:ascii="Calibri" w:hAnsi="Calibri"/>
              <w:sz w:val="26"/>
            </w:rPr>
          </w:pPr>
          <w:r w:rsidRPr="00584D0B">
            <w:rPr>
              <w:lang w:eastAsia="fi-FI"/>
            </w:rPr>
            <w:drawing>
              <wp:inline distT="0" distB="0" distL="0" distR="0" wp14:anchorId="386F2498" wp14:editId="1ADBA2A1">
                <wp:extent cx="2295525" cy="523875"/>
                <wp:effectExtent l="0" t="0" r="9525" b="9525"/>
                <wp:docPr id="2"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584D0B" w:rsidRDefault="00AF3334" w:rsidP="001954EF">
          <w:pPr>
            <w:pStyle w:val="akpylatunniste"/>
          </w:pPr>
        </w:p>
      </w:tc>
      <w:tc>
        <w:tcPr>
          <w:tcW w:w="2581" w:type="dxa"/>
          <w:vAlign w:val="bottom"/>
        </w:tcPr>
        <w:p w:rsidR="00AF3334" w:rsidRPr="00584D0B" w:rsidRDefault="00AF3334" w:rsidP="001954EF">
          <w:pPr>
            <w:pStyle w:val="akpylatunniste"/>
            <w:rPr>
              <w:rStyle w:val="akpatyyppi"/>
              <w:rFonts w:cs="Aharoni"/>
            </w:rPr>
          </w:pPr>
        </w:p>
      </w:tc>
      <w:tc>
        <w:tcPr>
          <w:tcW w:w="1364" w:type="dxa"/>
        </w:tcPr>
        <w:p w:rsidR="00AF3334" w:rsidRPr="00584D0B" w:rsidRDefault="000C0616" w:rsidP="001954EF">
          <w:pPr>
            <w:pStyle w:val="akpylatunniste"/>
          </w:pPr>
          <w:r w:rsidRPr="00584D0B">
            <w:rPr>
              <w:rStyle w:val="akptunnus"/>
              <w:rFonts w:cs="Aharoni"/>
            </w:rPr>
            <w:t xml:space="preserve"> </w:t>
          </w:r>
        </w:p>
      </w:tc>
      <w:tc>
        <w:tcPr>
          <w:tcW w:w="1187" w:type="dxa"/>
          <w:gridSpan w:val="3"/>
        </w:tcPr>
        <w:p w:rsidR="00AF3334" w:rsidRPr="00584D0B" w:rsidRDefault="00AF3334" w:rsidP="001954EF">
          <w:pPr>
            <w:pStyle w:val="akpylatunniste"/>
          </w:pPr>
        </w:p>
      </w:tc>
    </w:tr>
    <w:tr w:rsidR="00AF3334" w:rsidRPr="00584D0B" w:rsidTr="000C0616">
      <w:trPr>
        <w:cantSplit/>
        <w:trHeight w:val="369"/>
      </w:trPr>
      <w:tc>
        <w:tcPr>
          <w:tcW w:w="5201" w:type="dxa"/>
          <w:gridSpan w:val="2"/>
          <w:vMerge/>
        </w:tcPr>
        <w:p w:rsidR="00AF3334" w:rsidRPr="00584D0B" w:rsidRDefault="00AF3334" w:rsidP="001954EF">
          <w:pPr>
            <w:pStyle w:val="akpylatunniste"/>
          </w:pPr>
        </w:p>
      </w:tc>
      <w:tc>
        <w:tcPr>
          <w:tcW w:w="30" w:type="dxa"/>
        </w:tcPr>
        <w:p w:rsidR="00AF3334" w:rsidRPr="00584D0B" w:rsidRDefault="00AF3334" w:rsidP="001954EF">
          <w:pPr>
            <w:pStyle w:val="akpylatunniste"/>
          </w:pPr>
        </w:p>
      </w:tc>
      <w:tc>
        <w:tcPr>
          <w:tcW w:w="2581" w:type="dxa"/>
          <w:vAlign w:val="bottom"/>
        </w:tcPr>
        <w:p w:rsidR="00AF3334" w:rsidRPr="00E839EF" w:rsidRDefault="00167D87" w:rsidP="001954EF">
          <w:pPr>
            <w:pStyle w:val="akpylatunniste"/>
          </w:pPr>
          <w:r w:rsidRPr="00E839EF">
            <w:rPr>
              <w:rStyle w:val="akpatyyppi"/>
              <w:rFonts w:asciiTheme="minorHAnsi" w:hAnsiTheme="minorHAnsi"/>
              <w:sz w:val="20"/>
            </w:rPr>
            <w:t>KOKOUSMUISTIO</w:t>
          </w:r>
        </w:p>
      </w:tc>
      <w:tc>
        <w:tcPr>
          <w:tcW w:w="1364" w:type="dxa"/>
          <w:vAlign w:val="bottom"/>
        </w:tcPr>
        <w:p w:rsidR="00AF3334" w:rsidRPr="00167D87" w:rsidRDefault="00AF3334" w:rsidP="001954EF">
          <w:pPr>
            <w:pStyle w:val="akpylatunniste"/>
          </w:pPr>
        </w:p>
      </w:tc>
      <w:tc>
        <w:tcPr>
          <w:tcW w:w="1187" w:type="dxa"/>
          <w:gridSpan w:val="3"/>
          <w:vAlign w:val="bottom"/>
        </w:tcPr>
        <w:p w:rsidR="00AF3334" w:rsidRPr="00167D87" w:rsidRDefault="00AF3334" w:rsidP="001954EF">
          <w:pPr>
            <w:pStyle w:val="akpylatunniste"/>
          </w:pPr>
        </w:p>
      </w:tc>
    </w:tr>
    <w:tr w:rsidR="00AF3334" w:rsidRPr="00584D0B" w:rsidTr="000C0616">
      <w:trPr>
        <w:cantSplit/>
        <w:trHeight w:val="230"/>
      </w:trPr>
      <w:tc>
        <w:tcPr>
          <w:tcW w:w="5201" w:type="dxa"/>
          <w:gridSpan w:val="2"/>
          <w:vAlign w:val="bottom"/>
        </w:tcPr>
        <w:p w:rsidR="00AF3334" w:rsidRPr="001954EF" w:rsidRDefault="000C0616" w:rsidP="001954EF">
          <w:pPr>
            <w:pStyle w:val="akpylatunniste"/>
          </w:pPr>
          <w:r w:rsidRPr="001954EF">
            <w:t>Kriminaalipoliittinen osasto</w:t>
          </w:r>
        </w:p>
      </w:tc>
      <w:tc>
        <w:tcPr>
          <w:tcW w:w="30" w:type="dxa"/>
          <w:vAlign w:val="bottom"/>
        </w:tcPr>
        <w:p w:rsidR="00AF3334" w:rsidRPr="00584D0B" w:rsidRDefault="00AF3334" w:rsidP="001954EF">
          <w:pPr>
            <w:pStyle w:val="akpylatunniste"/>
          </w:pPr>
        </w:p>
      </w:tc>
      <w:tc>
        <w:tcPr>
          <w:tcW w:w="2581" w:type="dxa"/>
          <w:vAlign w:val="bottom"/>
        </w:tcPr>
        <w:p w:rsidR="00AF3334" w:rsidRPr="00167D87" w:rsidRDefault="000C0616" w:rsidP="001954EF">
          <w:pPr>
            <w:pStyle w:val="akpylatunniste"/>
            <w:rPr>
              <w:rStyle w:val="akppaivays"/>
              <w:rFonts w:asciiTheme="minorHAnsi" w:hAnsiTheme="minorHAnsi"/>
            </w:rPr>
          </w:pPr>
          <w:r w:rsidRPr="00167D87">
            <w:rPr>
              <w:rStyle w:val="akppaivays"/>
              <w:rFonts w:asciiTheme="minorHAnsi" w:hAnsiTheme="minorHAnsi"/>
            </w:rPr>
            <w:t xml:space="preserve"> </w:t>
          </w:r>
        </w:p>
      </w:tc>
      <w:tc>
        <w:tcPr>
          <w:tcW w:w="2450" w:type="dxa"/>
          <w:gridSpan w:val="3"/>
          <w:vAlign w:val="bottom"/>
        </w:tcPr>
        <w:p w:rsidR="00AF3334" w:rsidRPr="00167D87" w:rsidRDefault="000C0616" w:rsidP="001954EF">
          <w:pPr>
            <w:pStyle w:val="akpylatunniste"/>
            <w:rPr>
              <w:rStyle w:val="akptunniste"/>
              <w:rFonts w:asciiTheme="minorHAnsi" w:hAnsiTheme="minorHAnsi"/>
            </w:rPr>
          </w:pPr>
          <w:r w:rsidRPr="00167D87">
            <w:rPr>
              <w:rStyle w:val="akptunniste"/>
              <w:rFonts w:asciiTheme="minorHAnsi" w:hAnsiTheme="minorHAnsi"/>
            </w:rPr>
            <w:t xml:space="preserve"> </w:t>
          </w:r>
        </w:p>
      </w:tc>
      <w:tc>
        <w:tcPr>
          <w:tcW w:w="101" w:type="dxa"/>
        </w:tcPr>
        <w:p w:rsidR="00AF3334" w:rsidRPr="00584D0B" w:rsidRDefault="00AF3334" w:rsidP="001954EF">
          <w:pPr>
            <w:pStyle w:val="akpylatunniste"/>
          </w:pPr>
        </w:p>
      </w:tc>
    </w:tr>
    <w:tr w:rsidR="00AF3334" w:rsidRPr="00584D0B" w:rsidTr="008A4AFA">
      <w:trPr>
        <w:cantSplit/>
        <w:trHeight w:val="80"/>
      </w:trPr>
      <w:tc>
        <w:tcPr>
          <w:tcW w:w="5201" w:type="dxa"/>
          <w:gridSpan w:val="2"/>
        </w:tcPr>
        <w:p w:rsidR="00AF3334" w:rsidRPr="00167D87" w:rsidRDefault="000C0616" w:rsidP="000C0616">
          <w:pPr>
            <w:pStyle w:val="akpyksikko"/>
            <w:rPr>
              <w:rFonts w:asciiTheme="minorHAnsi" w:hAnsiTheme="minorHAnsi"/>
              <w:lang w:val="fi-FI"/>
            </w:rPr>
          </w:pPr>
          <w:r w:rsidRPr="00167D87">
            <w:rPr>
              <w:rFonts w:asciiTheme="minorHAnsi" w:hAnsiTheme="minorHAnsi"/>
              <w:lang w:val="fi-FI"/>
            </w:rPr>
            <w:t>Kriminaalipolitiikka- ja rikoksentorjuntayksikkö</w:t>
          </w:r>
        </w:p>
        <w:p w:rsidR="000C0616" w:rsidRPr="00167D87" w:rsidRDefault="000C0616" w:rsidP="000C0616">
          <w:pPr>
            <w:pStyle w:val="akpyksikko"/>
            <w:rPr>
              <w:rFonts w:asciiTheme="minorHAnsi" w:hAnsiTheme="minorHAnsi"/>
              <w:lang w:val="fi-FI"/>
            </w:rPr>
          </w:pPr>
          <w:r w:rsidRPr="00167D87">
            <w:rPr>
              <w:rFonts w:asciiTheme="minorHAnsi" w:hAnsiTheme="minorHAnsi"/>
              <w:lang w:val="fi-FI"/>
            </w:rPr>
            <w:t>Catharina Groop</w:t>
          </w:r>
        </w:p>
      </w:tc>
      <w:tc>
        <w:tcPr>
          <w:tcW w:w="30" w:type="dxa"/>
        </w:tcPr>
        <w:p w:rsidR="00AF3334" w:rsidRPr="00584D0B" w:rsidRDefault="00AF3334" w:rsidP="001954EF">
          <w:pPr>
            <w:pStyle w:val="akpylatunniste"/>
          </w:pPr>
        </w:p>
      </w:tc>
      <w:tc>
        <w:tcPr>
          <w:tcW w:w="2581" w:type="dxa"/>
        </w:tcPr>
        <w:p w:rsidR="00AF3334" w:rsidRPr="00167D87" w:rsidRDefault="00AA2069" w:rsidP="001954EF">
          <w:pPr>
            <w:pStyle w:val="akpylatunniste"/>
          </w:pPr>
          <w:r>
            <w:rPr>
              <w:rStyle w:val="akppaivays"/>
              <w:rFonts w:asciiTheme="minorHAnsi" w:hAnsiTheme="minorHAnsi"/>
            </w:rPr>
            <w:t>11.08</w:t>
          </w:r>
          <w:r w:rsidR="00167D87" w:rsidRPr="00167D87">
            <w:rPr>
              <w:rStyle w:val="akppaivays"/>
              <w:rFonts w:asciiTheme="minorHAnsi" w:hAnsiTheme="minorHAnsi"/>
            </w:rPr>
            <w:t>.2015</w:t>
          </w:r>
        </w:p>
      </w:tc>
      <w:tc>
        <w:tcPr>
          <w:tcW w:w="2425" w:type="dxa"/>
          <w:gridSpan w:val="2"/>
        </w:tcPr>
        <w:p w:rsidR="00AF3334" w:rsidRPr="00167D87" w:rsidRDefault="00167D87" w:rsidP="001954EF">
          <w:pPr>
            <w:pStyle w:val="akpylatunniste"/>
          </w:pPr>
          <w:r w:rsidRPr="00167D87">
            <w:t>Dno 10/69/2014</w:t>
          </w:r>
        </w:p>
      </w:tc>
      <w:tc>
        <w:tcPr>
          <w:tcW w:w="126" w:type="dxa"/>
          <w:gridSpan w:val="2"/>
        </w:tcPr>
        <w:p w:rsidR="00AF3334" w:rsidRPr="00584D0B" w:rsidRDefault="00AF3334" w:rsidP="001954EF">
          <w:pPr>
            <w:pStyle w:val="akpylatunniste"/>
          </w:pPr>
        </w:p>
      </w:tc>
    </w:tr>
  </w:tbl>
  <w:p w:rsidR="00441D89" w:rsidRPr="00584D0B" w:rsidRDefault="00441D89" w:rsidP="00167D87">
    <w:pPr>
      <w:pStyle w:val="Yltunniste"/>
      <w:rPr>
        <w:rFonts w:cs="Aharon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2CC75F6"/>
    <w:multiLevelType w:val="hybridMultilevel"/>
    <w:tmpl w:val="9024531C"/>
    <w:lvl w:ilvl="0" w:tplc="5C70C582">
      <w:start w:val="1"/>
      <w:numFmt w:val="lowerLetter"/>
      <w:lvlText w:val="%1)"/>
      <w:lvlJc w:val="left"/>
      <w:pPr>
        <w:ind w:left="819" w:hanging="360"/>
      </w:pPr>
      <w:rPr>
        <w:rFonts w:hint="default"/>
      </w:rPr>
    </w:lvl>
    <w:lvl w:ilvl="1" w:tplc="040B0019" w:tentative="1">
      <w:start w:val="1"/>
      <w:numFmt w:val="lowerLetter"/>
      <w:lvlText w:val="%2."/>
      <w:lvlJc w:val="left"/>
      <w:pPr>
        <w:ind w:left="1539" w:hanging="360"/>
      </w:pPr>
    </w:lvl>
    <w:lvl w:ilvl="2" w:tplc="040B001B" w:tentative="1">
      <w:start w:val="1"/>
      <w:numFmt w:val="lowerRoman"/>
      <w:lvlText w:val="%3."/>
      <w:lvlJc w:val="right"/>
      <w:pPr>
        <w:ind w:left="2259" w:hanging="180"/>
      </w:pPr>
    </w:lvl>
    <w:lvl w:ilvl="3" w:tplc="040B000F" w:tentative="1">
      <w:start w:val="1"/>
      <w:numFmt w:val="decimal"/>
      <w:lvlText w:val="%4."/>
      <w:lvlJc w:val="left"/>
      <w:pPr>
        <w:ind w:left="2979" w:hanging="360"/>
      </w:pPr>
    </w:lvl>
    <w:lvl w:ilvl="4" w:tplc="040B0019" w:tentative="1">
      <w:start w:val="1"/>
      <w:numFmt w:val="lowerLetter"/>
      <w:lvlText w:val="%5."/>
      <w:lvlJc w:val="left"/>
      <w:pPr>
        <w:ind w:left="3699" w:hanging="360"/>
      </w:pPr>
    </w:lvl>
    <w:lvl w:ilvl="5" w:tplc="040B001B" w:tentative="1">
      <w:start w:val="1"/>
      <w:numFmt w:val="lowerRoman"/>
      <w:lvlText w:val="%6."/>
      <w:lvlJc w:val="right"/>
      <w:pPr>
        <w:ind w:left="4419" w:hanging="180"/>
      </w:pPr>
    </w:lvl>
    <w:lvl w:ilvl="6" w:tplc="040B000F" w:tentative="1">
      <w:start w:val="1"/>
      <w:numFmt w:val="decimal"/>
      <w:lvlText w:val="%7."/>
      <w:lvlJc w:val="left"/>
      <w:pPr>
        <w:ind w:left="5139" w:hanging="360"/>
      </w:pPr>
    </w:lvl>
    <w:lvl w:ilvl="7" w:tplc="040B0019" w:tentative="1">
      <w:start w:val="1"/>
      <w:numFmt w:val="lowerLetter"/>
      <w:lvlText w:val="%8."/>
      <w:lvlJc w:val="left"/>
      <w:pPr>
        <w:ind w:left="5859" w:hanging="360"/>
      </w:pPr>
    </w:lvl>
    <w:lvl w:ilvl="8" w:tplc="040B001B" w:tentative="1">
      <w:start w:val="1"/>
      <w:numFmt w:val="lowerRoman"/>
      <w:lvlText w:val="%9."/>
      <w:lvlJc w:val="right"/>
      <w:pPr>
        <w:ind w:left="6579" w:hanging="180"/>
      </w:pPr>
    </w:lvl>
  </w:abstractNum>
  <w:abstractNum w:abstractNumId="2">
    <w:nsid w:val="0AB86E37"/>
    <w:multiLevelType w:val="hybridMultilevel"/>
    <w:tmpl w:val="064614EA"/>
    <w:lvl w:ilvl="0" w:tplc="923447B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4">
    <w:nsid w:val="14873D78"/>
    <w:multiLevelType w:val="hybridMultilevel"/>
    <w:tmpl w:val="B2E8DF3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5290892"/>
    <w:multiLevelType w:val="hybridMultilevel"/>
    <w:tmpl w:val="AD700DCA"/>
    <w:lvl w:ilvl="0" w:tplc="923447B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nsid w:val="1B7E5E0C"/>
    <w:multiLevelType w:val="hybridMultilevel"/>
    <w:tmpl w:val="447E0C5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1DF876AD"/>
    <w:multiLevelType w:val="hybridMultilevel"/>
    <w:tmpl w:val="9BF485B8"/>
    <w:lvl w:ilvl="0" w:tplc="11006E5E">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224556A7"/>
    <w:multiLevelType w:val="hybridMultilevel"/>
    <w:tmpl w:val="06EE3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4BE3E65"/>
    <w:multiLevelType w:val="hybridMultilevel"/>
    <w:tmpl w:val="E9AAA6B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11">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12">
    <w:nsid w:val="28712196"/>
    <w:multiLevelType w:val="hybridMultilevel"/>
    <w:tmpl w:val="6FE2A7E4"/>
    <w:lvl w:ilvl="0" w:tplc="2518646E">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1803C44"/>
    <w:multiLevelType w:val="hybridMultilevel"/>
    <w:tmpl w:val="7E724950"/>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15">
    <w:nsid w:val="37AC747E"/>
    <w:multiLevelType w:val="hybridMultilevel"/>
    <w:tmpl w:val="B1069F38"/>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D397965"/>
    <w:multiLevelType w:val="hybridMultilevel"/>
    <w:tmpl w:val="20B62E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3F1D00BB"/>
    <w:multiLevelType w:val="hybridMultilevel"/>
    <w:tmpl w:val="06EE3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19">
    <w:nsid w:val="5376206A"/>
    <w:multiLevelType w:val="hybridMultilevel"/>
    <w:tmpl w:val="82FA13BC"/>
    <w:lvl w:ilvl="0" w:tplc="923447B8">
      <w:start w:val="1"/>
      <w:numFmt w:val="bullet"/>
      <w:lvlText w:val=""/>
      <w:lvlJc w:val="left"/>
      <w:pPr>
        <w:ind w:left="393" w:hanging="360"/>
      </w:pPr>
      <w:rPr>
        <w:rFonts w:ascii="Symbol" w:hAnsi="Symbol" w:hint="default"/>
      </w:rPr>
    </w:lvl>
    <w:lvl w:ilvl="1" w:tplc="040B0003" w:tentative="1">
      <w:start w:val="1"/>
      <w:numFmt w:val="bullet"/>
      <w:lvlText w:val="o"/>
      <w:lvlJc w:val="left"/>
      <w:pPr>
        <w:ind w:left="1113" w:hanging="360"/>
      </w:pPr>
      <w:rPr>
        <w:rFonts w:ascii="Courier New" w:hAnsi="Courier New" w:cs="Courier New" w:hint="default"/>
      </w:rPr>
    </w:lvl>
    <w:lvl w:ilvl="2" w:tplc="040B0005" w:tentative="1">
      <w:start w:val="1"/>
      <w:numFmt w:val="bullet"/>
      <w:lvlText w:val=""/>
      <w:lvlJc w:val="left"/>
      <w:pPr>
        <w:ind w:left="1833" w:hanging="360"/>
      </w:pPr>
      <w:rPr>
        <w:rFonts w:ascii="Wingdings" w:hAnsi="Wingdings" w:hint="default"/>
      </w:rPr>
    </w:lvl>
    <w:lvl w:ilvl="3" w:tplc="040B0001" w:tentative="1">
      <w:start w:val="1"/>
      <w:numFmt w:val="bullet"/>
      <w:lvlText w:val=""/>
      <w:lvlJc w:val="left"/>
      <w:pPr>
        <w:ind w:left="2553" w:hanging="360"/>
      </w:pPr>
      <w:rPr>
        <w:rFonts w:ascii="Symbol" w:hAnsi="Symbol" w:hint="default"/>
      </w:rPr>
    </w:lvl>
    <w:lvl w:ilvl="4" w:tplc="040B0003" w:tentative="1">
      <w:start w:val="1"/>
      <w:numFmt w:val="bullet"/>
      <w:lvlText w:val="o"/>
      <w:lvlJc w:val="left"/>
      <w:pPr>
        <w:ind w:left="3273" w:hanging="360"/>
      </w:pPr>
      <w:rPr>
        <w:rFonts w:ascii="Courier New" w:hAnsi="Courier New" w:cs="Courier New" w:hint="default"/>
      </w:rPr>
    </w:lvl>
    <w:lvl w:ilvl="5" w:tplc="040B0005" w:tentative="1">
      <w:start w:val="1"/>
      <w:numFmt w:val="bullet"/>
      <w:lvlText w:val=""/>
      <w:lvlJc w:val="left"/>
      <w:pPr>
        <w:ind w:left="3993" w:hanging="360"/>
      </w:pPr>
      <w:rPr>
        <w:rFonts w:ascii="Wingdings" w:hAnsi="Wingdings" w:hint="default"/>
      </w:rPr>
    </w:lvl>
    <w:lvl w:ilvl="6" w:tplc="040B0001" w:tentative="1">
      <w:start w:val="1"/>
      <w:numFmt w:val="bullet"/>
      <w:lvlText w:val=""/>
      <w:lvlJc w:val="left"/>
      <w:pPr>
        <w:ind w:left="4713" w:hanging="360"/>
      </w:pPr>
      <w:rPr>
        <w:rFonts w:ascii="Symbol" w:hAnsi="Symbol" w:hint="default"/>
      </w:rPr>
    </w:lvl>
    <w:lvl w:ilvl="7" w:tplc="040B0003" w:tentative="1">
      <w:start w:val="1"/>
      <w:numFmt w:val="bullet"/>
      <w:lvlText w:val="o"/>
      <w:lvlJc w:val="left"/>
      <w:pPr>
        <w:ind w:left="5433" w:hanging="360"/>
      </w:pPr>
      <w:rPr>
        <w:rFonts w:ascii="Courier New" w:hAnsi="Courier New" w:cs="Courier New" w:hint="default"/>
      </w:rPr>
    </w:lvl>
    <w:lvl w:ilvl="8" w:tplc="040B0005" w:tentative="1">
      <w:start w:val="1"/>
      <w:numFmt w:val="bullet"/>
      <w:lvlText w:val=""/>
      <w:lvlJc w:val="left"/>
      <w:pPr>
        <w:ind w:left="6153" w:hanging="360"/>
      </w:pPr>
      <w:rPr>
        <w:rFonts w:ascii="Wingdings" w:hAnsi="Wingdings" w:hint="default"/>
      </w:rPr>
    </w:lvl>
  </w:abstractNum>
  <w:abstractNum w:abstractNumId="20">
    <w:nsid w:val="5E511475"/>
    <w:multiLevelType w:val="singleLevel"/>
    <w:tmpl w:val="FEACA306"/>
    <w:lvl w:ilvl="0">
      <w:start w:val="1"/>
      <w:numFmt w:val="decimal"/>
      <w:pStyle w:val="akpasiakirjat"/>
      <w:lvlText w:val="%1."/>
      <w:lvlJc w:val="left"/>
      <w:pPr>
        <w:tabs>
          <w:tab w:val="num" w:pos="360"/>
        </w:tabs>
        <w:ind w:left="340" w:hanging="340"/>
      </w:pPr>
    </w:lvl>
  </w:abstractNum>
  <w:abstractNum w:abstractNumId="21">
    <w:nsid w:val="65C62229"/>
    <w:multiLevelType w:val="hybridMultilevel"/>
    <w:tmpl w:val="8A08CE54"/>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69A65829"/>
    <w:multiLevelType w:val="hybridMultilevel"/>
    <w:tmpl w:val="D70CA1A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714F2FAF"/>
    <w:multiLevelType w:val="hybridMultilevel"/>
    <w:tmpl w:val="22404A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74775999"/>
    <w:multiLevelType w:val="hybridMultilevel"/>
    <w:tmpl w:val="3258E3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77CA42AF"/>
    <w:multiLevelType w:val="hybridMultilevel"/>
    <w:tmpl w:val="4B42AB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1"/>
  </w:num>
  <w:num w:numId="2">
    <w:abstractNumId w:val="10"/>
  </w:num>
  <w:num w:numId="3">
    <w:abstractNumId w:val="20"/>
  </w:num>
  <w:num w:numId="4">
    <w:abstractNumId w:val="3"/>
  </w:num>
  <w:num w:numId="5">
    <w:abstractNumId w:val="18"/>
  </w:num>
  <w:num w:numId="6">
    <w:abstractNumId w:val="1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4"/>
  </w:num>
  <w:num w:numId="17">
    <w:abstractNumId w:val="23"/>
  </w:num>
  <w:num w:numId="18">
    <w:abstractNumId w:val="16"/>
  </w:num>
  <w:num w:numId="19">
    <w:abstractNumId w:val="8"/>
  </w:num>
  <w:num w:numId="20">
    <w:abstractNumId w:val="2"/>
  </w:num>
  <w:num w:numId="21">
    <w:abstractNumId w:val="25"/>
  </w:num>
  <w:num w:numId="22">
    <w:abstractNumId w:val="6"/>
  </w:num>
  <w:num w:numId="23">
    <w:abstractNumId w:val="17"/>
  </w:num>
  <w:num w:numId="24">
    <w:abstractNumId w:val="9"/>
  </w:num>
  <w:num w:numId="25">
    <w:abstractNumId w:val="22"/>
  </w:num>
  <w:num w:numId="26">
    <w:abstractNumId w:val="5"/>
  </w:num>
  <w:num w:numId="27">
    <w:abstractNumId w:val="15"/>
  </w:num>
  <w:num w:numId="28">
    <w:abstractNumId w:val="7"/>
  </w:num>
  <w:num w:numId="29">
    <w:abstractNumId w:val="19"/>
  </w:num>
  <w:num w:numId="30">
    <w:abstractNumId w:val="1"/>
  </w:num>
  <w:num w:numId="31">
    <w:abstractNumId w:val="13"/>
  </w:num>
  <w:num w:numId="32">
    <w:abstractNumId w:val="12"/>
  </w:num>
  <w:num w:numId="33">
    <w:abstractNumId w:val="21"/>
  </w:num>
  <w:num w:numId="3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16"/>
    <w:rsid w:val="00011A44"/>
    <w:rsid w:val="000209D5"/>
    <w:rsid w:val="00023AB2"/>
    <w:rsid w:val="000306FF"/>
    <w:rsid w:val="0003277B"/>
    <w:rsid w:val="000419C5"/>
    <w:rsid w:val="00042F66"/>
    <w:rsid w:val="00053CD9"/>
    <w:rsid w:val="000576AA"/>
    <w:rsid w:val="000618A4"/>
    <w:rsid w:val="000626CE"/>
    <w:rsid w:val="00064AD4"/>
    <w:rsid w:val="0006660B"/>
    <w:rsid w:val="00071720"/>
    <w:rsid w:val="0008094E"/>
    <w:rsid w:val="00086985"/>
    <w:rsid w:val="000A04FB"/>
    <w:rsid w:val="000A2229"/>
    <w:rsid w:val="000A3BDA"/>
    <w:rsid w:val="000A65C7"/>
    <w:rsid w:val="000B44F9"/>
    <w:rsid w:val="000B6C59"/>
    <w:rsid w:val="000B7460"/>
    <w:rsid w:val="000C0234"/>
    <w:rsid w:val="000C0616"/>
    <w:rsid w:val="000C28E7"/>
    <w:rsid w:val="000D49A4"/>
    <w:rsid w:val="000D7EA4"/>
    <w:rsid w:val="000E1FAB"/>
    <w:rsid w:val="000E4DDC"/>
    <w:rsid w:val="000F6F05"/>
    <w:rsid w:val="00102B71"/>
    <w:rsid w:val="00103367"/>
    <w:rsid w:val="001060CE"/>
    <w:rsid w:val="00111590"/>
    <w:rsid w:val="00123F09"/>
    <w:rsid w:val="0014237F"/>
    <w:rsid w:val="00142DA2"/>
    <w:rsid w:val="00142F74"/>
    <w:rsid w:val="00143C5F"/>
    <w:rsid w:val="001458AB"/>
    <w:rsid w:val="00145CEF"/>
    <w:rsid w:val="00146607"/>
    <w:rsid w:val="00151DB3"/>
    <w:rsid w:val="0015461A"/>
    <w:rsid w:val="00160DFC"/>
    <w:rsid w:val="001627E8"/>
    <w:rsid w:val="00167D87"/>
    <w:rsid w:val="00172566"/>
    <w:rsid w:val="0017385E"/>
    <w:rsid w:val="0018063E"/>
    <w:rsid w:val="00181A6F"/>
    <w:rsid w:val="00192F8D"/>
    <w:rsid w:val="001954EF"/>
    <w:rsid w:val="00195C17"/>
    <w:rsid w:val="00196E84"/>
    <w:rsid w:val="001977B6"/>
    <w:rsid w:val="001A16EF"/>
    <w:rsid w:val="001A4995"/>
    <w:rsid w:val="001C1B5E"/>
    <w:rsid w:val="001C2B82"/>
    <w:rsid w:val="001D02B3"/>
    <w:rsid w:val="001D4741"/>
    <w:rsid w:val="001D6280"/>
    <w:rsid w:val="001D6795"/>
    <w:rsid w:val="001D679B"/>
    <w:rsid w:val="001E6625"/>
    <w:rsid w:val="001E798D"/>
    <w:rsid w:val="001F3280"/>
    <w:rsid w:val="00212836"/>
    <w:rsid w:val="00220BF5"/>
    <w:rsid w:val="00225981"/>
    <w:rsid w:val="00226FA5"/>
    <w:rsid w:val="00227DF0"/>
    <w:rsid w:val="00231B40"/>
    <w:rsid w:val="00236E93"/>
    <w:rsid w:val="0024248C"/>
    <w:rsid w:val="002465C1"/>
    <w:rsid w:val="00250AAC"/>
    <w:rsid w:val="00250BC8"/>
    <w:rsid w:val="002644B0"/>
    <w:rsid w:val="002668A8"/>
    <w:rsid w:val="0026784D"/>
    <w:rsid w:val="0027294E"/>
    <w:rsid w:val="00273116"/>
    <w:rsid w:val="002737ED"/>
    <w:rsid w:val="00273C54"/>
    <w:rsid w:val="00274E79"/>
    <w:rsid w:val="00275BAA"/>
    <w:rsid w:val="00285B02"/>
    <w:rsid w:val="00286811"/>
    <w:rsid w:val="00292824"/>
    <w:rsid w:val="002A2C94"/>
    <w:rsid w:val="002A39CB"/>
    <w:rsid w:val="002A4C74"/>
    <w:rsid w:val="002B5319"/>
    <w:rsid w:val="002B5677"/>
    <w:rsid w:val="002D44AE"/>
    <w:rsid w:val="002E4C59"/>
    <w:rsid w:val="002F152B"/>
    <w:rsid w:val="002F30B8"/>
    <w:rsid w:val="002F3A20"/>
    <w:rsid w:val="002F519A"/>
    <w:rsid w:val="003023CB"/>
    <w:rsid w:val="003025A0"/>
    <w:rsid w:val="00303725"/>
    <w:rsid w:val="0030477B"/>
    <w:rsid w:val="00311C09"/>
    <w:rsid w:val="00320834"/>
    <w:rsid w:val="00332E4D"/>
    <w:rsid w:val="00334024"/>
    <w:rsid w:val="00336990"/>
    <w:rsid w:val="00336C43"/>
    <w:rsid w:val="003469E6"/>
    <w:rsid w:val="00346B5F"/>
    <w:rsid w:val="003509F5"/>
    <w:rsid w:val="00353088"/>
    <w:rsid w:val="00353BE5"/>
    <w:rsid w:val="0035730C"/>
    <w:rsid w:val="00357A21"/>
    <w:rsid w:val="00361C1C"/>
    <w:rsid w:val="003663E3"/>
    <w:rsid w:val="00377E10"/>
    <w:rsid w:val="0038323F"/>
    <w:rsid w:val="003839C5"/>
    <w:rsid w:val="00386E57"/>
    <w:rsid w:val="00394B36"/>
    <w:rsid w:val="00394D2A"/>
    <w:rsid w:val="003963E3"/>
    <w:rsid w:val="00396839"/>
    <w:rsid w:val="003A572B"/>
    <w:rsid w:val="003B12B4"/>
    <w:rsid w:val="003B2856"/>
    <w:rsid w:val="003D47F9"/>
    <w:rsid w:val="003E255E"/>
    <w:rsid w:val="003E35C6"/>
    <w:rsid w:val="003E6937"/>
    <w:rsid w:val="003F2843"/>
    <w:rsid w:val="003F3458"/>
    <w:rsid w:val="003F3A6C"/>
    <w:rsid w:val="003F61D9"/>
    <w:rsid w:val="004060B0"/>
    <w:rsid w:val="00411733"/>
    <w:rsid w:val="004178E6"/>
    <w:rsid w:val="00421709"/>
    <w:rsid w:val="004235A1"/>
    <w:rsid w:val="004241A5"/>
    <w:rsid w:val="0042494B"/>
    <w:rsid w:val="00432218"/>
    <w:rsid w:val="00441D89"/>
    <w:rsid w:val="004434EF"/>
    <w:rsid w:val="0044670A"/>
    <w:rsid w:val="00450E93"/>
    <w:rsid w:val="00451A8A"/>
    <w:rsid w:val="0045504D"/>
    <w:rsid w:val="00457571"/>
    <w:rsid w:val="00471425"/>
    <w:rsid w:val="004721B2"/>
    <w:rsid w:val="00472F06"/>
    <w:rsid w:val="004757F6"/>
    <w:rsid w:val="00477F9E"/>
    <w:rsid w:val="00481035"/>
    <w:rsid w:val="00481319"/>
    <w:rsid w:val="00481DFD"/>
    <w:rsid w:val="0048319D"/>
    <w:rsid w:val="00483C2E"/>
    <w:rsid w:val="00490093"/>
    <w:rsid w:val="004917D2"/>
    <w:rsid w:val="00492A83"/>
    <w:rsid w:val="00493A8B"/>
    <w:rsid w:val="004A1482"/>
    <w:rsid w:val="004A2847"/>
    <w:rsid w:val="004A768A"/>
    <w:rsid w:val="004B05F8"/>
    <w:rsid w:val="004B0F09"/>
    <w:rsid w:val="004B4BE9"/>
    <w:rsid w:val="004C47C4"/>
    <w:rsid w:val="004C6883"/>
    <w:rsid w:val="004D0304"/>
    <w:rsid w:val="004E04B3"/>
    <w:rsid w:val="004E6469"/>
    <w:rsid w:val="005003CC"/>
    <w:rsid w:val="00501D4C"/>
    <w:rsid w:val="0051176D"/>
    <w:rsid w:val="005117F6"/>
    <w:rsid w:val="00512470"/>
    <w:rsid w:val="00514F29"/>
    <w:rsid w:val="00515F40"/>
    <w:rsid w:val="00524AFE"/>
    <w:rsid w:val="00526497"/>
    <w:rsid w:val="005268C7"/>
    <w:rsid w:val="005343BE"/>
    <w:rsid w:val="00534C75"/>
    <w:rsid w:val="00537379"/>
    <w:rsid w:val="00537B47"/>
    <w:rsid w:val="00537B82"/>
    <w:rsid w:val="00541832"/>
    <w:rsid w:val="00550B8A"/>
    <w:rsid w:val="00552FC6"/>
    <w:rsid w:val="005540F6"/>
    <w:rsid w:val="00554B56"/>
    <w:rsid w:val="005622B3"/>
    <w:rsid w:val="00562A2B"/>
    <w:rsid w:val="00562F86"/>
    <w:rsid w:val="00564E43"/>
    <w:rsid w:val="00567C9D"/>
    <w:rsid w:val="00570D2D"/>
    <w:rsid w:val="00573FAB"/>
    <w:rsid w:val="00574A58"/>
    <w:rsid w:val="00584404"/>
    <w:rsid w:val="00584D0B"/>
    <w:rsid w:val="00590195"/>
    <w:rsid w:val="00592D7C"/>
    <w:rsid w:val="005962A2"/>
    <w:rsid w:val="005A0968"/>
    <w:rsid w:val="005A1D73"/>
    <w:rsid w:val="005B37C6"/>
    <w:rsid w:val="005C3FD1"/>
    <w:rsid w:val="005E76F5"/>
    <w:rsid w:val="005F17E1"/>
    <w:rsid w:val="005F19BC"/>
    <w:rsid w:val="005F4128"/>
    <w:rsid w:val="005F5537"/>
    <w:rsid w:val="00616F08"/>
    <w:rsid w:val="00621DC3"/>
    <w:rsid w:val="00621EDD"/>
    <w:rsid w:val="006236B1"/>
    <w:rsid w:val="00632DC8"/>
    <w:rsid w:val="00636A61"/>
    <w:rsid w:val="0064008B"/>
    <w:rsid w:val="00644DA4"/>
    <w:rsid w:val="00650DAC"/>
    <w:rsid w:val="00662A04"/>
    <w:rsid w:val="0066333F"/>
    <w:rsid w:val="00670C15"/>
    <w:rsid w:val="00672122"/>
    <w:rsid w:val="006742FB"/>
    <w:rsid w:val="006742FE"/>
    <w:rsid w:val="00675972"/>
    <w:rsid w:val="00676842"/>
    <w:rsid w:val="00686305"/>
    <w:rsid w:val="006874CC"/>
    <w:rsid w:val="00691772"/>
    <w:rsid w:val="006965EC"/>
    <w:rsid w:val="00696750"/>
    <w:rsid w:val="006A0397"/>
    <w:rsid w:val="006A6E18"/>
    <w:rsid w:val="006A7127"/>
    <w:rsid w:val="006B1CC4"/>
    <w:rsid w:val="006B3186"/>
    <w:rsid w:val="006C2740"/>
    <w:rsid w:val="006D16EC"/>
    <w:rsid w:val="006E0973"/>
    <w:rsid w:val="006E09DA"/>
    <w:rsid w:val="006E1F4F"/>
    <w:rsid w:val="006F5C49"/>
    <w:rsid w:val="006F7119"/>
    <w:rsid w:val="006F7E1F"/>
    <w:rsid w:val="0070160F"/>
    <w:rsid w:val="00702ACB"/>
    <w:rsid w:val="00703F98"/>
    <w:rsid w:val="007111DC"/>
    <w:rsid w:val="00713416"/>
    <w:rsid w:val="00717BC3"/>
    <w:rsid w:val="00722459"/>
    <w:rsid w:val="00726155"/>
    <w:rsid w:val="00737CAC"/>
    <w:rsid w:val="00741E40"/>
    <w:rsid w:val="007442F1"/>
    <w:rsid w:val="00746A03"/>
    <w:rsid w:val="00755E75"/>
    <w:rsid w:val="00774A2B"/>
    <w:rsid w:val="00774FEC"/>
    <w:rsid w:val="00786DAC"/>
    <w:rsid w:val="007A0C10"/>
    <w:rsid w:val="007A6CE0"/>
    <w:rsid w:val="007B12B6"/>
    <w:rsid w:val="007B5BFB"/>
    <w:rsid w:val="007B65B0"/>
    <w:rsid w:val="007C4129"/>
    <w:rsid w:val="007C5288"/>
    <w:rsid w:val="007C57E2"/>
    <w:rsid w:val="007C6BED"/>
    <w:rsid w:val="007D0F6A"/>
    <w:rsid w:val="007D6635"/>
    <w:rsid w:val="007D6CCB"/>
    <w:rsid w:val="007E0714"/>
    <w:rsid w:val="007E4E23"/>
    <w:rsid w:val="007E50E5"/>
    <w:rsid w:val="007E6EE4"/>
    <w:rsid w:val="007F49A7"/>
    <w:rsid w:val="007F4C2F"/>
    <w:rsid w:val="00801AC5"/>
    <w:rsid w:val="0080235C"/>
    <w:rsid w:val="008024C5"/>
    <w:rsid w:val="00804D3C"/>
    <w:rsid w:val="0080534D"/>
    <w:rsid w:val="0080745C"/>
    <w:rsid w:val="0081235B"/>
    <w:rsid w:val="00812A83"/>
    <w:rsid w:val="00815EB3"/>
    <w:rsid w:val="00822B5F"/>
    <w:rsid w:val="00827BB7"/>
    <w:rsid w:val="0083238C"/>
    <w:rsid w:val="008335FE"/>
    <w:rsid w:val="00837B3B"/>
    <w:rsid w:val="0084045F"/>
    <w:rsid w:val="00845053"/>
    <w:rsid w:val="0084598F"/>
    <w:rsid w:val="00853C03"/>
    <w:rsid w:val="00854ADA"/>
    <w:rsid w:val="0088174A"/>
    <w:rsid w:val="00891BBA"/>
    <w:rsid w:val="00894C4F"/>
    <w:rsid w:val="008A346D"/>
    <w:rsid w:val="008A4AFA"/>
    <w:rsid w:val="008A523C"/>
    <w:rsid w:val="008A5F0E"/>
    <w:rsid w:val="008B6D76"/>
    <w:rsid w:val="008C0794"/>
    <w:rsid w:val="008C1776"/>
    <w:rsid w:val="008C2BED"/>
    <w:rsid w:val="008D0169"/>
    <w:rsid w:val="008D33EF"/>
    <w:rsid w:val="008D4A08"/>
    <w:rsid w:val="008E0422"/>
    <w:rsid w:val="008E185A"/>
    <w:rsid w:val="008E3342"/>
    <w:rsid w:val="00903F57"/>
    <w:rsid w:val="00907605"/>
    <w:rsid w:val="009164C8"/>
    <w:rsid w:val="00917EAD"/>
    <w:rsid w:val="00924B2A"/>
    <w:rsid w:val="00926123"/>
    <w:rsid w:val="00930617"/>
    <w:rsid w:val="00942D59"/>
    <w:rsid w:val="00943F34"/>
    <w:rsid w:val="00945F79"/>
    <w:rsid w:val="0095579D"/>
    <w:rsid w:val="00960C4E"/>
    <w:rsid w:val="009644D4"/>
    <w:rsid w:val="00965C69"/>
    <w:rsid w:val="009667F9"/>
    <w:rsid w:val="00992877"/>
    <w:rsid w:val="00993388"/>
    <w:rsid w:val="00994E3A"/>
    <w:rsid w:val="00995601"/>
    <w:rsid w:val="009A4A2B"/>
    <w:rsid w:val="009B04E6"/>
    <w:rsid w:val="009B2A3E"/>
    <w:rsid w:val="009B2DFF"/>
    <w:rsid w:val="009C62B9"/>
    <w:rsid w:val="009C698D"/>
    <w:rsid w:val="009D08E5"/>
    <w:rsid w:val="009D5BEE"/>
    <w:rsid w:val="009E60EA"/>
    <w:rsid w:val="009E6EEE"/>
    <w:rsid w:val="009F01CE"/>
    <w:rsid w:val="00A00BAD"/>
    <w:rsid w:val="00A0136D"/>
    <w:rsid w:val="00A02446"/>
    <w:rsid w:val="00A036AA"/>
    <w:rsid w:val="00A04943"/>
    <w:rsid w:val="00A063F8"/>
    <w:rsid w:val="00A078E7"/>
    <w:rsid w:val="00A07D8D"/>
    <w:rsid w:val="00A10B8F"/>
    <w:rsid w:val="00A2455E"/>
    <w:rsid w:val="00A25AF4"/>
    <w:rsid w:val="00A263D1"/>
    <w:rsid w:val="00A27076"/>
    <w:rsid w:val="00A31495"/>
    <w:rsid w:val="00A367C7"/>
    <w:rsid w:val="00A36E0D"/>
    <w:rsid w:val="00A401C7"/>
    <w:rsid w:val="00A415B8"/>
    <w:rsid w:val="00A52C5C"/>
    <w:rsid w:val="00A52E6C"/>
    <w:rsid w:val="00A557FD"/>
    <w:rsid w:val="00A632FC"/>
    <w:rsid w:val="00A70EA8"/>
    <w:rsid w:val="00A73975"/>
    <w:rsid w:val="00A7762A"/>
    <w:rsid w:val="00A8063A"/>
    <w:rsid w:val="00A82011"/>
    <w:rsid w:val="00A86597"/>
    <w:rsid w:val="00A8784C"/>
    <w:rsid w:val="00A9657D"/>
    <w:rsid w:val="00A97741"/>
    <w:rsid w:val="00AA2069"/>
    <w:rsid w:val="00AA4A89"/>
    <w:rsid w:val="00AA7E93"/>
    <w:rsid w:val="00AB3B34"/>
    <w:rsid w:val="00AD3FA6"/>
    <w:rsid w:val="00AD4DD6"/>
    <w:rsid w:val="00AD6288"/>
    <w:rsid w:val="00AF3334"/>
    <w:rsid w:val="00B002F6"/>
    <w:rsid w:val="00B0693C"/>
    <w:rsid w:val="00B07FC9"/>
    <w:rsid w:val="00B101CB"/>
    <w:rsid w:val="00B1533C"/>
    <w:rsid w:val="00B15A2E"/>
    <w:rsid w:val="00B17C87"/>
    <w:rsid w:val="00B24DA5"/>
    <w:rsid w:val="00B26C89"/>
    <w:rsid w:val="00B27866"/>
    <w:rsid w:val="00B32110"/>
    <w:rsid w:val="00B34FF8"/>
    <w:rsid w:val="00B37BF8"/>
    <w:rsid w:val="00B412F6"/>
    <w:rsid w:val="00B4160F"/>
    <w:rsid w:val="00B45791"/>
    <w:rsid w:val="00B47EF8"/>
    <w:rsid w:val="00B502A6"/>
    <w:rsid w:val="00B57488"/>
    <w:rsid w:val="00B61A25"/>
    <w:rsid w:val="00B61E47"/>
    <w:rsid w:val="00B702E4"/>
    <w:rsid w:val="00B76C2F"/>
    <w:rsid w:val="00B84089"/>
    <w:rsid w:val="00B86E38"/>
    <w:rsid w:val="00BA09B4"/>
    <w:rsid w:val="00BA3C65"/>
    <w:rsid w:val="00BA56D8"/>
    <w:rsid w:val="00BA57AE"/>
    <w:rsid w:val="00BA672D"/>
    <w:rsid w:val="00BA7766"/>
    <w:rsid w:val="00BB7F3C"/>
    <w:rsid w:val="00BC5C6F"/>
    <w:rsid w:val="00BD2B84"/>
    <w:rsid w:val="00BD56A1"/>
    <w:rsid w:val="00BD634C"/>
    <w:rsid w:val="00BE287E"/>
    <w:rsid w:val="00BE6857"/>
    <w:rsid w:val="00BF2CE8"/>
    <w:rsid w:val="00BF585F"/>
    <w:rsid w:val="00C03714"/>
    <w:rsid w:val="00C130C6"/>
    <w:rsid w:val="00C14819"/>
    <w:rsid w:val="00C16FDE"/>
    <w:rsid w:val="00C20FEE"/>
    <w:rsid w:val="00C219EE"/>
    <w:rsid w:val="00C23534"/>
    <w:rsid w:val="00C25755"/>
    <w:rsid w:val="00C30ED4"/>
    <w:rsid w:val="00C36873"/>
    <w:rsid w:val="00C513DC"/>
    <w:rsid w:val="00C56544"/>
    <w:rsid w:val="00C56B3F"/>
    <w:rsid w:val="00C666A5"/>
    <w:rsid w:val="00C8497D"/>
    <w:rsid w:val="00C8708E"/>
    <w:rsid w:val="00C92DA0"/>
    <w:rsid w:val="00CA1625"/>
    <w:rsid w:val="00CB0760"/>
    <w:rsid w:val="00CB1EAB"/>
    <w:rsid w:val="00CB380D"/>
    <w:rsid w:val="00CC2D99"/>
    <w:rsid w:val="00CD6719"/>
    <w:rsid w:val="00CE0DA4"/>
    <w:rsid w:val="00CE1940"/>
    <w:rsid w:val="00CF14EF"/>
    <w:rsid w:val="00CF4711"/>
    <w:rsid w:val="00CF4F8F"/>
    <w:rsid w:val="00D015D3"/>
    <w:rsid w:val="00D046BF"/>
    <w:rsid w:val="00D05BDD"/>
    <w:rsid w:val="00D116A1"/>
    <w:rsid w:val="00D26D27"/>
    <w:rsid w:val="00D30C65"/>
    <w:rsid w:val="00D32ECF"/>
    <w:rsid w:val="00D33BE0"/>
    <w:rsid w:val="00D4426D"/>
    <w:rsid w:val="00D477D2"/>
    <w:rsid w:val="00D528D4"/>
    <w:rsid w:val="00D52C95"/>
    <w:rsid w:val="00D5595C"/>
    <w:rsid w:val="00D57D6D"/>
    <w:rsid w:val="00D62CE2"/>
    <w:rsid w:val="00D62FDF"/>
    <w:rsid w:val="00D63441"/>
    <w:rsid w:val="00D6357C"/>
    <w:rsid w:val="00D638ED"/>
    <w:rsid w:val="00D66A2E"/>
    <w:rsid w:val="00D771DB"/>
    <w:rsid w:val="00D829B8"/>
    <w:rsid w:val="00D82F76"/>
    <w:rsid w:val="00D8503C"/>
    <w:rsid w:val="00D853F1"/>
    <w:rsid w:val="00D8711D"/>
    <w:rsid w:val="00D87657"/>
    <w:rsid w:val="00D91DAC"/>
    <w:rsid w:val="00D923E8"/>
    <w:rsid w:val="00D96046"/>
    <w:rsid w:val="00DA0B00"/>
    <w:rsid w:val="00DB2ABB"/>
    <w:rsid w:val="00DB611D"/>
    <w:rsid w:val="00DC0C3F"/>
    <w:rsid w:val="00DC1626"/>
    <w:rsid w:val="00DC34F7"/>
    <w:rsid w:val="00DC47E8"/>
    <w:rsid w:val="00DC5075"/>
    <w:rsid w:val="00DD0535"/>
    <w:rsid w:val="00DE382D"/>
    <w:rsid w:val="00DE5D09"/>
    <w:rsid w:val="00DF5E29"/>
    <w:rsid w:val="00E02BD4"/>
    <w:rsid w:val="00E0487D"/>
    <w:rsid w:val="00E05B0B"/>
    <w:rsid w:val="00E075EA"/>
    <w:rsid w:val="00E13F74"/>
    <w:rsid w:val="00E140FD"/>
    <w:rsid w:val="00E16D5D"/>
    <w:rsid w:val="00E177C7"/>
    <w:rsid w:val="00E21093"/>
    <w:rsid w:val="00E2124B"/>
    <w:rsid w:val="00E270D4"/>
    <w:rsid w:val="00E310B2"/>
    <w:rsid w:val="00E3536E"/>
    <w:rsid w:val="00E43F56"/>
    <w:rsid w:val="00E4548B"/>
    <w:rsid w:val="00E45D67"/>
    <w:rsid w:val="00E52FED"/>
    <w:rsid w:val="00E5375D"/>
    <w:rsid w:val="00E558A8"/>
    <w:rsid w:val="00E600E9"/>
    <w:rsid w:val="00E73024"/>
    <w:rsid w:val="00E75CC4"/>
    <w:rsid w:val="00E80504"/>
    <w:rsid w:val="00E81409"/>
    <w:rsid w:val="00E839EF"/>
    <w:rsid w:val="00E91092"/>
    <w:rsid w:val="00E93278"/>
    <w:rsid w:val="00E9526F"/>
    <w:rsid w:val="00EA0538"/>
    <w:rsid w:val="00EA20B1"/>
    <w:rsid w:val="00EA23C7"/>
    <w:rsid w:val="00EA4337"/>
    <w:rsid w:val="00EA74B5"/>
    <w:rsid w:val="00EB3799"/>
    <w:rsid w:val="00EB4699"/>
    <w:rsid w:val="00EB6759"/>
    <w:rsid w:val="00EC0BEA"/>
    <w:rsid w:val="00EC1593"/>
    <w:rsid w:val="00EC2A2D"/>
    <w:rsid w:val="00EC4B37"/>
    <w:rsid w:val="00ED298B"/>
    <w:rsid w:val="00EE0E76"/>
    <w:rsid w:val="00EE2F72"/>
    <w:rsid w:val="00F07E37"/>
    <w:rsid w:val="00F07EE3"/>
    <w:rsid w:val="00F121BB"/>
    <w:rsid w:val="00F12F81"/>
    <w:rsid w:val="00F15AB4"/>
    <w:rsid w:val="00F249BE"/>
    <w:rsid w:val="00F30FC7"/>
    <w:rsid w:val="00F418EB"/>
    <w:rsid w:val="00F43567"/>
    <w:rsid w:val="00F44ECC"/>
    <w:rsid w:val="00F529D8"/>
    <w:rsid w:val="00F62A3A"/>
    <w:rsid w:val="00F71FFD"/>
    <w:rsid w:val="00F721DE"/>
    <w:rsid w:val="00F809CF"/>
    <w:rsid w:val="00F81875"/>
    <w:rsid w:val="00F91652"/>
    <w:rsid w:val="00F93F92"/>
    <w:rsid w:val="00F946EE"/>
    <w:rsid w:val="00FA1F7D"/>
    <w:rsid w:val="00FA2549"/>
    <w:rsid w:val="00FA4942"/>
    <w:rsid w:val="00FA5A41"/>
    <w:rsid w:val="00FA6A38"/>
    <w:rsid w:val="00FB4E6B"/>
    <w:rsid w:val="00FC2C4A"/>
    <w:rsid w:val="00FC57CC"/>
    <w:rsid w:val="00FC6197"/>
    <w:rsid w:val="00FC7A7E"/>
    <w:rsid w:val="00FC7AD4"/>
    <w:rsid w:val="00FD0500"/>
    <w:rsid w:val="00FD5AFF"/>
    <w:rsid w:val="00FD6FF3"/>
    <w:rsid w:val="00FE197D"/>
    <w:rsid w:val="00FE1A9B"/>
    <w:rsid w:val="00FE4B3E"/>
    <w:rsid w:val="00FE5821"/>
    <w:rsid w:val="00FF52F4"/>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0616"/>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B4160F"/>
    <w:pPr>
      <w:keepNext/>
      <w:keepLines/>
      <w:numPr>
        <w:numId w:val="7"/>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8"/>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9"/>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0"/>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1"/>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2"/>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3"/>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14"/>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15"/>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link w:val="AlatunnisteChar"/>
    <w:uiPriority w:val="99"/>
    <w:rsid w:val="00B4160F"/>
    <w:pPr>
      <w:tabs>
        <w:tab w:val="center" w:pos="4819"/>
        <w:tab w:val="right" w:pos="9638"/>
      </w:tabs>
    </w:pPr>
  </w:style>
  <w:style w:type="paragraph" w:customStyle="1" w:styleId="akpylatunniste">
    <w:name w:val="akpylatunniste"/>
    <w:basedOn w:val="Normaali"/>
    <w:autoRedefine/>
    <w:rsid w:val="001954EF"/>
    <w:pPr>
      <w:tabs>
        <w:tab w:val="left" w:pos="1304"/>
        <w:tab w:val="left" w:pos="2608"/>
        <w:tab w:val="left" w:pos="3912"/>
        <w:tab w:val="left" w:pos="5216"/>
        <w:tab w:val="left" w:pos="6521"/>
        <w:tab w:val="left" w:pos="7825"/>
        <w:tab w:val="left" w:pos="9129"/>
      </w:tabs>
      <w:ind w:right="72"/>
    </w:pPr>
    <w:rPr>
      <w:rFonts w:asciiTheme="minorHAnsi" w:hAnsiTheme="minorHAnsi"/>
      <w:noProof/>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Luettelokappale">
    <w:name w:val="List Paragraph"/>
    <w:basedOn w:val="Normaali"/>
    <w:uiPriority w:val="34"/>
    <w:qFormat/>
    <w:rsid w:val="000C0616"/>
    <w:pPr>
      <w:ind w:left="720"/>
      <w:contextualSpacing/>
    </w:pPr>
  </w:style>
  <w:style w:type="paragraph" w:customStyle="1" w:styleId="Default">
    <w:name w:val="Default"/>
    <w:rsid w:val="000C0616"/>
    <w:pPr>
      <w:autoSpaceDE w:val="0"/>
      <w:autoSpaceDN w:val="0"/>
      <w:adjustRightInd w:val="0"/>
    </w:pPr>
    <w:rPr>
      <w:rFonts w:eastAsia="Calibri"/>
      <w:color w:val="000000"/>
      <w:sz w:val="24"/>
      <w:szCs w:val="24"/>
      <w:lang w:eastAsia="en-US"/>
    </w:rPr>
  </w:style>
  <w:style w:type="character" w:customStyle="1" w:styleId="AlatunnisteChar">
    <w:name w:val="Alatunniste Char"/>
    <w:link w:val="Alatunniste"/>
    <w:uiPriority w:val="99"/>
    <w:rsid w:val="000C0616"/>
    <w:rPr>
      <w:rFonts w:ascii="Calibri" w:eastAsia="Calibri" w:hAnsi="Calibri"/>
      <w:sz w:val="22"/>
      <w:szCs w:val="22"/>
      <w:lang w:eastAsia="en-US"/>
    </w:rPr>
  </w:style>
  <w:style w:type="paragraph" w:styleId="Seliteteksti">
    <w:name w:val="Balloon Text"/>
    <w:basedOn w:val="Normaali"/>
    <w:link w:val="SelitetekstiChar"/>
    <w:rsid w:val="00584D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584D0B"/>
    <w:rPr>
      <w:rFonts w:ascii="Tahoma" w:eastAsia="Calibri" w:hAnsi="Tahoma" w:cs="Tahoma"/>
      <w:sz w:val="16"/>
      <w:szCs w:val="16"/>
      <w:lang w:eastAsia="en-US"/>
    </w:rPr>
  </w:style>
  <w:style w:type="paragraph" w:styleId="Alaviitteenteksti">
    <w:name w:val="footnote text"/>
    <w:basedOn w:val="Normaali"/>
    <w:link w:val="AlaviitteentekstiChar"/>
    <w:rsid w:val="00E52FED"/>
    <w:pPr>
      <w:spacing w:after="0" w:line="240" w:lineRule="auto"/>
    </w:pPr>
    <w:rPr>
      <w:sz w:val="20"/>
      <w:szCs w:val="20"/>
    </w:rPr>
  </w:style>
  <w:style w:type="character" w:customStyle="1" w:styleId="AlaviitteentekstiChar">
    <w:name w:val="Alaviitteen teksti Char"/>
    <w:basedOn w:val="Kappaleenoletusfontti"/>
    <w:link w:val="Alaviitteenteksti"/>
    <w:rsid w:val="00E52FED"/>
    <w:rPr>
      <w:rFonts w:ascii="Calibri" w:eastAsia="Calibri" w:hAnsi="Calibri"/>
      <w:lang w:eastAsia="en-US"/>
    </w:rPr>
  </w:style>
  <w:style w:type="character" w:styleId="Alaviitteenviite">
    <w:name w:val="footnote reference"/>
    <w:basedOn w:val="Kappaleenoletusfontti"/>
    <w:uiPriority w:val="99"/>
    <w:rsid w:val="00E52FED"/>
    <w:rPr>
      <w:vertAlign w:val="superscript"/>
    </w:rPr>
  </w:style>
  <w:style w:type="character" w:styleId="Kommentinviite">
    <w:name w:val="annotation reference"/>
    <w:basedOn w:val="Kappaleenoletusfontti"/>
    <w:uiPriority w:val="99"/>
    <w:unhideWhenUsed/>
    <w:rsid w:val="008A4AFA"/>
    <w:rPr>
      <w:sz w:val="16"/>
      <w:szCs w:val="16"/>
    </w:rPr>
  </w:style>
  <w:style w:type="paragraph" w:styleId="Kommentinteksti">
    <w:name w:val="annotation text"/>
    <w:basedOn w:val="Normaali"/>
    <w:link w:val="KommentintekstiChar"/>
    <w:uiPriority w:val="99"/>
    <w:unhideWhenUsed/>
    <w:rsid w:val="008A4AFA"/>
    <w:pPr>
      <w:spacing w:line="240" w:lineRule="auto"/>
    </w:pPr>
    <w:rPr>
      <w:rFonts w:asciiTheme="minorHAnsi" w:eastAsiaTheme="minorHAnsi" w:hAnsiTheme="minorHAnsi" w:cstheme="minorBidi"/>
      <w:sz w:val="20"/>
      <w:szCs w:val="20"/>
    </w:rPr>
  </w:style>
  <w:style w:type="character" w:customStyle="1" w:styleId="KommentintekstiChar">
    <w:name w:val="Kommentin teksti Char"/>
    <w:basedOn w:val="Kappaleenoletusfontti"/>
    <w:link w:val="Kommentinteksti"/>
    <w:uiPriority w:val="99"/>
    <w:rsid w:val="008A4AFA"/>
    <w:rPr>
      <w:rFonts w:asciiTheme="minorHAnsi" w:eastAsiaTheme="minorHAnsi" w:hAnsiTheme="minorHAnsi" w:cstheme="minorBidi"/>
      <w:lang w:eastAsia="en-US"/>
    </w:rPr>
  </w:style>
  <w:style w:type="character" w:styleId="Hyperlinkki">
    <w:name w:val="Hyperlink"/>
    <w:basedOn w:val="Kappaleenoletusfontti"/>
    <w:uiPriority w:val="99"/>
    <w:unhideWhenUsed/>
    <w:rsid w:val="008A4AFA"/>
    <w:rPr>
      <w:color w:val="0000FF" w:themeColor="hyperlink"/>
      <w:u w:val="single"/>
    </w:rPr>
  </w:style>
  <w:style w:type="table" w:styleId="TaulukkoRuudukko">
    <w:name w:val="Table Grid"/>
    <w:basedOn w:val="Normaalitaulukko"/>
    <w:uiPriority w:val="59"/>
    <w:rsid w:val="008A4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0616"/>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B4160F"/>
    <w:pPr>
      <w:keepNext/>
      <w:keepLines/>
      <w:numPr>
        <w:numId w:val="7"/>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8"/>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9"/>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0"/>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1"/>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2"/>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3"/>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14"/>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15"/>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link w:val="AlatunnisteChar"/>
    <w:uiPriority w:val="99"/>
    <w:rsid w:val="00B4160F"/>
    <w:pPr>
      <w:tabs>
        <w:tab w:val="center" w:pos="4819"/>
        <w:tab w:val="right" w:pos="9638"/>
      </w:tabs>
    </w:pPr>
  </w:style>
  <w:style w:type="paragraph" w:customStyle="1" w:styleId="akpylatunniste">
    <w:name w:val="akpylatunniste"/>
    <w:basedOn w:val="Normaali"/>
    <w:autoRedefine/>
    <w:rsid w:val="001954EF"/>
    <w:pPr>
      <w:tabs>
        <w:tab w:val="left" w:pos="1304"/>
        <w:tab w:val="left" w:pos="2608"/>
        <w:tab w:val="left" w:pos="3912"/>
        <w:tab w:val="left" w:pos="5216"/>
        <w:tab w:val="left" w:pos="6521"/>
        <w:tab w:val="left" w:pos="7825"/>
        <w:tab w:val="left" w:pos="9129"/>
      </w:tabs>
      <w:ind w:right="72"/>
    </w:pPr>
    <w:rPr>
      <w:rFonts w:asciiTheme="minorHAnsi" w:hAnsiTheme="minorHAnsi"/>
      <w:noProof/>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Luettelokappale">
    <w:name w:val="List Paragraph"/>
    <w:basedOn w:val="Normaali"/>
    <w:uiPriority w:val="34"/>
    <w:qFormat/>
    <w:rsid w:val="000C0616"/>
    <w:pPr>
      <w:ind w:left="720"/>
      <w:contextualSpacing/>
    </w:pPr>
  </w:style>
  <w:style w:type="paragraph" w:customStyle="1" w:styleId="Default">
    <w:name w:val="Default"/>
    <w:rsid w:val="000C0616"/>
    <w:pPr>
      <w:autoSpaceDE w:val="0"/>
      <w:autoSpaceDN w:val="0"/>
      <w:adjustRightInd w:val="0"/>
    </w:pPr>
    <w:rPr>
      <w:rFonts w:eastAsia="Calibri"/>
      <w:color w:val="000000"/>
      <w:sz w:val="24"/>
      <w:szCs w:val="24"/>
      <w:lang w:eastAsia="en-US"/>
    </w:rPr>
  </w:style>
  <w:style w:type="character" w:customStyle="1" w:styleId="AlatunnisteChar">
    <w:name w:val="Alatunniste Char"/>
    <w:link w:val="Alatunniste"/>
    <w:uiPriority w:val="99"/>
    <w:rsid w:val="000C0616"/>
    <w:rPr>
      <w:rFonts w:ascii="Calibri" w:eastAsia="Calibri" w:hAnsi="Calibri"/>
      <w:sz w:val="22"/>
      <w:szCs w:val="22"/>
      <w:lang w:eastAsia="en-US"/>
    </w:rPr>
  </w:style>
  <w:style w:type="paragraph" w:styleId="Seliteteksti">
    <w:name w:val="Balloon Text"/>
    <w:basedOn w:val="Normaali"/>
    <w:link w:val="SelitetekstiChar"/>
    <w:rsid w:val="00584D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584D0B"/>
    <w:rPr>
      <w:rFonts w:ascii="Tahoma" w:eastAsia="Calibri" w:hAnsi="Tahoma" w:cs="Tahoma"/>
      <w:sz w:val="16"/>
      <w:szCs w:val="16"/>
      <w:lang w:eastAsia="en-US"/>
    </w:rPr>
  </w:style>
  <w:style w:type="paragraph" w:styleId="Alaviitteenteksti">
    <w:name w:val="footnote text"/>
    <w:basedOn w:val="Normaali"/>
    <w:link w:val="AlaviitteentekstiChar"/>
    <w:rsid w:val="00E52FED"/>
    <w:pPr>
      <w:spacing w:after="0" w:line="240" w:lineRule="auto"/>
    </w:pPr>
    <w:rPr>
      <w:sz w:val="20"/>
      <w:szCs w:val="20"/>
    </w:rPr>
  </w:style>
  <w:style w:type="character" w:customStyle="1" w:styleId="AlaviitteentekstiChar">
    <w:name w:val="Alaviitteen teksti Char"/>
    <w:basedOn w:val="Kappaleenoletusfontti"/>
    <w:link w:val="Alaviitteenteksti"/>
    <w:rsid w:val="00E52FED"/>
    <w:rPr>
      <w:rFonts w:ascii="Calibri" w:eastAsia="Calibri" w:hAnsi="Calibri"/>
      <w:lang w:eastAsia="en-US"/>
    </w:rPr>
  </w:style>
  <w:style w:type="character" w:styleId="Alaviitteenviite">
    <w:name w:val="footnote reference"/>
    <w:basedOn w:val="Kappaleenoletusfontti"/>
    <w:uiPriority w:val="99"/>
    <w:rsid w:val="00E52FED"/>
    <w:rPr>
      <w:vertAlign w:val="superscript"/>
    </w:rPr>
  </w:style>
  <w:style w:type="character" w:styleId="Kommentinviite">
    <w:name w:val="annotation reference"/>
    <w:basedOn w:val="Kappaleenoletusfontti"/>
    <w:uiPriority w:val="99"/>
    <w:unhideWhenUsed/>
    <w:rsid w:val="008A4AFA"/>
    <w:rPr>
      <w:sz w:val="16"/>
      <w:szCs w:val="16"/>
    </w:rPr>
  </w:style>
  <w:style w:type="paragraph" w:styleId="Kommentinteksti">
    <w:name w:val="annotation text"/>
    <w:basedOn w:val="Normaali"/>
    <w:link w:val="KommentintekstiChar"/>
    <w:uiPriority w:val="99"/>
    <w:unhideWhenUsed/>
    <w:rsid w:val="008A4AFA"/>
    <w:pPr>
      <w:spacing w:line="240" w:lineRule="auto"/>
    </w:pPr>
    <w:rPr>
      <w:rFonts w:asciiTheme="minorHAnsi" w:eastAsiaTheme="minorHAnsi" w:hAnsiTheme="minorHAnsi" w:cstheme="minorBidi"/>
      <w:sz w:val="20"/>
      <w:szCs w:val="20"/>
    </w:rPr>
  </w:style>
  <w:style w:type="character" w:customStyle="1" w:styleId="KommentintekstiChar">
    <w:name w:val="Kommentin teksti Char"/>
    <w:basedOn w:val="Kappaleenoletusfontti"/>
    <w:link w:val="Kommentinteksti"/>
    <w:uiPriority w:val="99"/>
    <w:rsid w:val="008A4AFA"/>
    <w:rPr>
      <w:rFonts w:asciiTheme="minorHAnsi" w:eastAsiaTheme="minorHAnsi" w:hAnsiTheme="minorHAnsi" w:cstheme="minorBidi"/>
      <w:lang w:eastAsia="en-US"/>
    </w:rPr>
  </w:style>
  <w:style w:type="character" w:styleId="Hyperlinkki">
    <w:name w:val="Hyperlink"/>
    <w:basedOn w:val="Kappaleenoletusfontti"/>
    <w:uiPriority w:val="99"/>
    <w:unhideWhenUsed/>
    <w:rsid w:val="008A4AFA"/>
    <w:rPr>
      <w:color w:val="0000FF" w:themeColor="hyperlink"/>
      <w:u w:val="single"/>
    </w:rPr>
  </w:style>
  <w:style w:type="table" w:styleId="TaulukkoRuudukko">
    <w:name w:val="Table Grid"/>
    <w:basedOn w:val="Normaalitaulukko"/>
    <w:uiPriority w:val="59"/>
    <w:rsid w:val="008A4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89520">
      <w:bodyDiv w:val="1"/>
      <w:marLeft w:val="0"/>
      <w:marRight w:val="0"/>
      <w:marTop w:val="0"/>
      <w:marBottom w:val="0"/>
      <w:divBdr>
        <w:top w:val="none" w:sz="0" w:space="0" w:color="auto"/>
        <w:left w:val="none" w:sz="0" w:space="0" w:color="auto"/>
        <w:bottom w:val="none" w:sz="0" w:space="0" w:color="auto"/>
        <w:right w:val="none" w:sz="0" w:space="0" w:color="auto"/>
      </w:divBdr>
    </w:div>
    <w:div w:id="15442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tv.fi/toiminta/kantelut_ja_vaarinkaytokset/kanteluohje" TargetMode="External"/><Relationship Id="rId2" Type="http://schemas.openxmlformats.org/officeDocument/2006/relationships/hyperlink" Target="http://vm.fi/hallintopolitiikka/sisainen-valvonta-ja-riskienhallinta" TargetMode="External"/><Relationship Id="rId1" Type="http://schemas.openxmlformats.org/officeDocument/2006/relationships/hyperlink" Target="https://www.kpmg.com/FI/fi/Ajankohtaista/Uutisia-ja-julkaisuja/Neuvontapalvelut/Documents/KPMG_Whistleblowing_esite_2011.indd.pdf" TargetMode="External"/><Relationship Id="rId4" Type="http://schemas.openxmlformats.org/officeDocument/2006/relationships/hyperlink" Target="http://www.vtv.fi/toiminta/kantelut_ja_vaarinkaytokset/kanteluoh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2B2A-4E1E-461C-89CD-69DAE998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1968</Words>
  <Characters>15945</Characters>
  <Application>Microsoft Office Word</Application>
  <DocSecurity>0</DocSecurity>
  <Lines>132</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Groop Catharina</dc:creator>
  <cp:lastModifiedBy>Kiviharju Katriina</cp:lastModifiedBy>
  <cp:revision>2</cp:revision>
  <cp:lastPrinted>2015-08-27T10:16:00Z</cp:lastPrinted>
  <dcterms:created xsi:type="dcterms:W3CDTF">2015-08-27T10:16:00Z</dcterms:created>
  <dcterms:modified xsi:type="dcterms:W3CDTF">2015-08-27T10:16:00Z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Kriminaalipolitiikka- ja rikoksentorjuntayksikkö</vt:lpwstr>
  </property>
  <property fmtid="{D5CDD505-2E9C-101B-9397-08002B2CF9AE}" pid="6" name="DC.X-DocumentType">
    <vt:lpwstr>PÖYTÄKIRJA</vt:lpwstr>
  </property>
  <property fmtid="{D5CDD505-2E9C-101B-9397-08002B2CF9AE}" pid="7" name="DC.Language">
    <vt:lpwstr>fi</vt:lpwstr>
  </property>
  <property fmtid="{D5CDD505-2E9C-101B-9397-08002B2CF9AE}" pid="8" name="DC.Date.Created">
    <vt:lpwstr>20140907</vt:lpwstr>
  </property>
  <property fmtid="{D5CDD505-2E9C-101B-9397-08002B2CF9AE}" pid="9" name="DC.Identifier">
    <vt:lpwstr>OM 4/69/2013</vt:lpwstr>
  </property>
  <property fmtid="{D5CDD505-2E9C-101B-9397-08002B2CF9AE}" pid="10" name="DC.Identifier.Type">
    <vt:lpwstr>Dnro</vt:lpwstr>
  </property>
  <property fmtid="{D5CDD505-2E9C-101B-9397-08002B2CF9AE}" pid="11" name="DC.Creator.PersonalName">
    <vt:lpwstr>Catharina Groop</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Catharina Groop</vt:lpwstr>
  </property>
  <property fmtid="{D5CDD505-2E9C-101B-9397-08002B2CF9AE}" pid="21" name="DC.Identifier.FilePath">
    <vt:lpwstr/>
  </property>
  <property fmtid="{D5CDD505-2E9C-101B-9397-08002B2CF9AE}" pid="22" name="DC.Title">
    <vt:lpwstr>Korr</vt:lpwstr>
  </property>
</Properties>
</file>