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2BA" w:rsidRDefault="002342BA" w:rsidP="00426F05">
      <w:pPr>
        <w:rPr>
          <w:sz w:val="22"/>
        </w:rPr>
      </w:pPr>
    </w:p>
    <w:p w:rsidR="002342BA" w:rsidRPr="00682804" w:rsidRDefault="002342BA" w:rsidP="00426F05">
      <w:pPr>
        <w:rPr>
          <w:rFonts w:ascii="Arial" w:hAnsi="Arial" w:cs="Arial"/>
          <w:sz w:val="22"/>
          <w:szCs w:val="22"/>
        </w:rPr>
      </w:pPr>
      <w:r w:rsidRPr="00682804">
        <w:rPr>
          <w:rFonts w:ascii="Arial" w:hAnsi="Arial" w:cs="Arial"/>
          <w:sz w:val="22"/>
          <w:szCs w:val="22"/>
        </w:rPr>
        <w:t>Sisäasiainministeriö</w:t>
      </w:r>
    </w:p>
    <w:p w:rsidR="002342BA" w:rsidRPr="00682804" w:rsidRDefault="002342BA" w:rsidP="00426F05">
      <w:pPr>
        <w:rPr>
          <w:rFonts w:ascii="Arial" w:hAnsi="Arial" w:cs="Arial"/>
          <w:sz w:val="22"/>
          <w:szCs w:val="22"/>
        </w:rPr>
      </w:pPr>
      <w:r w:rsidRPr="00682804">
        <w:rPr>
          <w:rFonts w:ascii="Arial" w:hAnsi="Arial" w:cs="Arial"/>
          <w:sz w:val="22"/>
          <w:szCs w:val="22"/>
        </w:rPr>
        <w:t>Poliisiosas</w:t>
      </w:r>
      <w:bookmarkStart w:id="0" w:name="_GoBack"/>
      <w:bookmarkEnd w:id="0"/>
      <w:r w:rsidRPr="00682804">
        <w:rPr>
          <w:rFonts w:ascii="Arial" w:hAnsi="Arial" w:cs="Arial"/>
          <w:sz w:val="22"/>
          <w:szCs w:val="22"/>
        </w:rPr>
        <w:t>to</w:t>
      </w:r>
    </w:p>
    <w:p w:rsidR="002342BA" w:rsidRPr="00682804" w:rsidRDefault="002342BA" w:rsidP="00426F05">
      <w:pPr>
        <w:rPr>
          <w:rFonts w:ascii="Arial" w:hAnsi="Arial" w:cs="Arial"/>
          <w:sz w:val="22"/>
          <w:szCs w:val="22"/>
        </w:rPr>
      </w:pPr>
      <w:r w:rsidRPr="00682804">
        <w:rPr>
          <w:rFonts w:ascii="Arial" w:hAnsi="Arial" w:cs="Arial"/>
          <w:sz w:val="22"/>
          <w:szCs w:val="22"/>
        </w:rPr>
        <w:t>Ylitarkastaja Timo Kerttula</w:t>
      </w:r>
    </w:p>
    <w:p w:rsidR="002342BA" w:rsidRPr="00682804" w:rsidRDefault="002342BA" w:rsidP="00426F05">
      <w:pPr>
        <w:rPr>
          <w:rFonts w:ascii="Arial" w:hAnsi="Arial" w:cs="Arial"/>
          <w:sz w:val="22"/>
          <w:szCs w:val="22"/>
        </w:rPr>
      </w:pPr>
      <w:r w:rsidRPr="00682804">
        <w:rPr>
          <w:rFonts w:ascii="Arial" w:hAnsi="Arial" w:cs="Arial"/>
          <w:sz w:val="22"/>
          <w:szCs w:val="22"/>
        </w:rPr>
        <w:t>Kirkkokatu 12, PL 26</w:t>
      </w:r>
    </w:p>
    <w:p w:rsidR="002342BA" w:rsidRPr="00682804" w:rsidRDefault="002342BA" w:rsidP="00426F05">
      <w:pPr>
        <w:rPr>
          <w:rFonts w:ascii="Arial" w:hAnsi="Arial" w:cs="Arial"/>
          <w:sz w:val="22"/>
          <w:szCs w:val="22"/>
        </w:rPr>
      </w:pPr>
    </w:p>
    <w:p w:rsidR="002342BA" w:rsidRPr="00682804" w:rsidRDefault="002342BA" w:rsidP="00426F05">
      <w:pPr>
        <w:rPr>
          <w:rFonts w:ascii="Arial" w:hAnsi="Arial" w:cs="Arial"/>
          <w:sz w:val="22"/>
          <w:szCs w:val="22"/>
        </w:rPr>
      </w:pPr>
      <w:r w:rsidRPr="00682804">
        <w:rPr>
          <w:rFonts w:ascii="Arial" w:hAnsi="Arial" w:cs="Arial"/>
          <w:sz w:val="22"/>
          <w:szCs w:val="22"/>
        </w:rPr>
        <w:t>00023 Valtioneuvosto</w:t>
      </w:r>
    </w:p>
    <w:p w:rsidR="002342BA" w:rsidRPr="00682804" w:rsidRDefault="002342BA" w:rsidP="00426F05">
      <w:pPr>
        <w:ind w:left="720"/>
        <w:rPr>
          <w:rFonts w:ascii="Arial" w:hAnsi="Arial" w:cs="Arial"/>
          <w:sz w:val="22"/>
          <w:szCs w:val="22"/>
        </w:rPr>
      </w:pPr>
    </w:p>
    <w:p w:rsidR="002342BA" w:rsidRPr="00682804" w:rsidRDefault="002342BA" w:rsidP="00426F05">
      <w:pPr>
        <w:pStyle w:val="Maintitle"/>
        <w:ind w:left="720"/>
        <w:rPr>
          <w:rFonts w:ascii="Arial" w:hAnsi="Arial" w:cs="Arial"/>
          <w:sz w:val="22"/>
          <w:szCs w:val="22"/>
        </w:rPr>
      </w:pPr>
    </w:p>
    <w:p w:rsidR="002342BA" w:rsidRPr="004F47E9" w:rsidRDefault="00682804" w:rsidP="00426F05">
      <w:pPr>
        <w:pStyle w:val="Maintitle"/>
        <w:rPr>
          <w:rFonts w:ascii="Arial" w:hAnsi="Arial" w:cs="Arial"/>
          <w:i w:val="0"/>
          <w:sz w:val="22"/>
          <w:szCs w:val="22"/>
        </w:rPr>
      </w:pPr>
      <w:proofErr w:type="gramStart"/>
      <w:r w:rsidRPr="004F47E9">
        <w:rPr>
          <w:rFonts w:ascii="Arial" w:hAnsi="Arial" w:cs="Arial"/>
          <w:i w:val="0"/>
          <w:sz w:val="22"/>
          <w:szCs w:val="22"/>
        </w:rPr>
        <w:t>LAUSUNTO LIITTYEN YKSITYISISTÄ TURVALLISUUSPALVELUISTA ANNETUN LAIN TÄ</w:t>
      </w:r>
      <w:r w:rsidRPr="004F47E9">
        <w:rPr>
          <w:rFonts w:ascii="Arial" w:hAnsi="Arial" w:cs="Arial"/>
          <w:i w:val="0"/>
          <w:sz w:val="22"/>
          <w:szCs w:val="22"/>
        </w:rPr>
        <w:t>S</w:t>
      </w:r>
      <w:r w:rsidRPr="004F47E9">
        <w:rPr>
          <w:rFonts w:ascii="Arial" w:hAnsi="Arial" w:cs="Arial"/>
          <w:i w:val="0"/>
          <w:sz w:val="22"/>
          <w:szCs w:val="22"/>
        </w:rPr>
        <w:t>MENTÄMISEEN</w:t>
      </w:r>
      <w:proofErr w:type="gramEnd"/>
    </w:p>
    <w:p w:rsidR="002342BA" w:rsidRPr="00682804" w:rsidRDefault="002342BA" w:rsidP="00426F05">
      <w:pPr>
        <w:pStyle w:val="Leipteksti"/>
        <w:ind w:left="2138" w:firstLine="22"/>
        <w:rPr>
          <w:rFonts w:ascii="Arial" w:hAnsi="Arial" w:cs="Arial"/>
          <w:szCs w:val="22"/>
          <w:lang w:val="fi-FI"/>
        </w:rPr>
      </w:pPr>
    </w:p>
    <w:p w:rsidR="002342BA" w:rsidRPr="00682804" w:rsidRDefault="002342BA" w:rsidP="00891427">
      <w:pPr>
        <w:pStyle w:val="Leipteksti"/>
        <w:ind w:left="1134"/>
        <w:rPr>
          <w:rFonts w:ascii="Arial" w:hAnsi="Arial" w:cs="Arial"/>
          <w:szCs w:val="22"/>
          <w:lang w:val="fi-FI"/>
        </w:rPr>
      </w:pPr>
      <w:r w:rsidRPr="00682804">
        <w:rPr>
          <w:rFonts w:ascii="Arial" w:hAnsi="Arial" w:cs="Arial"/>
          <w:szCs w:val="22"/>
          <w:lang w:val="fi-FI"/>
        </w:rPr>
        <w:t xml:space="preserve">KHT-yhdistys – </w:t>
      </w:r>
      <w:proofErr w:type="spellStart"/>
      <w:r w:rsidRPr="00682804">
        <w:rPr>
          <w:rFonts w:ascii="Arial" w:hAnsi="Arial" w:cs="Arial"/>
          <w:szCs w:val="22"/>
          <w:lang w:val="fi-FI"/>
        </w:rPr>
        <w:t>Föreningen</w:t>
      </w:r>
      <w:proofErr w:type="spellEnd"/>
      <w:r w:rsidRPr="00682804">
        <w:rPr>
          <w:rFonts w:ascii="Arial" w:hAnsi="Arial" w:cs="Arial"/>
          <w:szCs w:val="22"/>
          <w:lang w:val="fi-FI"/>
        </w:rPr>
        <w:t xml:space="preserve"> CGR ry kiittää ylitarkastaja Timo Kerttulan 22.2.2012 suull</w:t>
      </w:r>
      <w:r w:rsidRPr="00682804">
        <w:rPr>
          <w:rFonts w:ascii="Arial" w:hAnsi="Arial" w:cs="Arial"/>
          <w:szCs w:val="22"/>
          <w:lang w:val="fi-FI"/>
        </w:rPr>
        <w:t>i</w:t>
      </w:r>
      <w:r w:rsidRPr="00682804">
        <w:rPr>
          <w:rFonts w:ascii="Arial" w:hAnsi="Arial" w:cs="Arial"/>
          <w:szCs w:val="22"/>
          <w:lang w:val="fi-FI"/>
        </w:rPr>
        <w:t>sesti esittämästä lausuntopyynnöstä. KHT-yhdistys pyytää kunnioittaen ottamaan huom</w:t>
      </w:r>
      <w:r w:rsidRPr="00682804">
        <w:rPr>
          <w:rFonts w:ascii="Arial" w:hAnsi="Arial" w:cs="Arial"/>
          <w:szCs w:val="22"/>
          <w:lang w:val="fi-FI"/>
        </w:rPr>
        <w:t>i</w:t>
      </w:r>
      <w:r w:rsidRPr="00682804">
        <w:rPr>
          <w:rFonts w:ascii="Arial" w:hAnsi="Arial" w:cs="Arial"/>
          <w:szCs w:val="22"/>
          <w:lang w:val="fi-FI"/>
        </w:rPr>
        <w:t>oon tämän lausunnon yksityistä turvallisuusalaa koskevan kokonaisuusuudistushankkeen toisessa vaiheessa.</w:t>
      </w:r>
    </w:p>
    <w:p w:rsidR="002342BA" w:rsidRPr="00682804" w:rsidRDefault="002342BA" w:rsidP="00891427">
      <w:pPr>
        <w:pStyle w:val="Leipteksti"/>
        <w:ind w:left="1134"/>
        <w:rPr>
          <w:rFonts w:ascii="Arial" w:hAnsi="Arial" w:cs="Arial"/>
          <w:szCs w:val="22"/>
          <w:lang w:val="fi-FI"/>
        </w:rPr>
      </w:pPr>
      <w:r w:rsidRPr="00682804">
        <w:rPr>
          <w:rFonts w:ascii="Arial" w:hAnsi="Arial" w:cs="Arial"/>
          <w:szCs w:val="22"/>
          <w:lang w:val="fi-FI"/>
        </w:rPr>
        <w:t>Tämän lausunnon keskeisenä tarkoituksena on tuoda esiin seikkoja, joiden perusteella t</w:t>
      </w:r>
      <w:r w:rsidRPr="00682804">
        <w:rPr>
          <w:rFonts w:ascii="Arial" w:hAnsi="Arial" w:cs="Arial"/>
          <w:szCs w:val="22"/>
          <w:lang w:val="fi-FI"/>
        </w:rPr>
        <w:t>i</w:t>
      </w:r>
      <w:r w:rsidRPr="00682804">
        <w:rPr>
          <w:rFonts w:ascii="Arial" w:hAnsi="Arial" w:cs="Arial"/>
          <w:szCs w:val="22"/>
          <w:lang w:val="fi-FI"/>
        </w:rPr>
        <w:t>lintarkastusyhteisöt</w:t>
      </w:r>
      <w:r w:rsidR="0072362E">
        <w:rPr>
          <w:rFonts w:ascii="Arial" w:hAnsi="Arial" w:cs="Arial"/>
          <w:szCs w:val="22"/>
          <w:lang w:val="fi-FI"/>
        </w:rPr>
        <w:t xml:space="preserve"> (KHT- ja HTM-yhteisöt)</w:t>
      </w:r>
      <w:r w:rsidRPr="00682804">
        <w:rPr>
          <w:rFonts w:ascii="Arial" w:hAnsi="Arial" w:cs="Arial"/>
          <w:szCs w:val="22"/>
          <w:lang w:val="fi-FI"/>
        </w:rPr>
        <w:t xml:space="preserve"> tulee turvallisuusalaa koskevassa kokonai</w:t>
      </w:r>
      <w:r w:rsidRPr="00682804">
        <w:rPr>
          <w:rFonts w:ascii="Arial" w:hAnsi="Arial" w:cs="Arial"/>
          <w:szCs w:val="22"/>
          <w:lang w:val="fi-FI"/>
        </w:rPr>
        <w:t>s</w:t>
      </w:r>
      <w:r w:rsidRPr="00682804">
        <w:rPr>
          <w:rFonts w:ascii="Arial" w:hAnsi="Arial" w:cs="Arial"/>
          <w:szCs w:val="22"/>
          <w:lang w:val="fi-FI"/>
        </w:rPr>
        <w:t xml:space="preserve">uudistuksessa rinnastaa asianajotoimintaan verrattavaan muuhun toimintaan, joka ei ole vartioimisliiketoimintaa, </w:t>
      </w:r>
      <w:r w:rsidR="00F8732F">
        <w:rPr>
          <w:rFonts w:ascii="Arial" w:hAnsi="Arial" w:cs="Arial"/>
          <w:szCs w:val="22"/>
          <w:lang w:val="fi-FI"/>
        </w:rPr>
        <w:t>tilintarkastus</w:t>
      </w:r>
      <w:r w:rsidRPr="00682804">
        <w:rPr>
          <w:rFonts w:ascii="Arial" w:hAnsi="Arial" w:cs="Arial"/>
          <w:szCs w:val="22"/>
          <w:lang w:val="fi-FI"/>
        </w:rPr>
        <w:t>yhteisöjen harjoittaessa rikosten selvittämistoimenp</w:t>
      </w:r>
      <w:r w:rsidRPr="00682804">
        <w:rPr>
          <w:rFonts w:ascii="Arial" w:hAnsi="Arial" w:cs="Arial"/>
          <w:szCs w:val="22"/>
          <w:lang w:val="fi-FI"/>
        </w:rPr>
        <w:t>i</w:t>
      </w:r>
      <w:r w:rsidRPr="00682804">
        <w:rPr>
          <w:rFonts w:ascii="Arial" w:hAnsi="Arial" w:cs="Arial"/>
          <w:szCs w:val="22"/>
          <w:lang w:val="fi-FI"/>
        </w:rPr>
        <w:t>teitä. Perusteena tulkinnalle on muun muassa hallituksen esityksessä 69/2001 tehty mä</w:t>
      </w:r>
      <w:r w:rsidRPr="00682804">
        <w:rPr>
          <w:rFonts w:ascii="Arial" w:hAnsi="Arial" w:cs="Arial"/>
          <w:szCs w:val="22"/>
          <w:lang w:val="fi-FI"/>
        </w:rPr>
        <w:t>ä</w:t>
      </w:r>
      <w:r w:rsidRPr="00682804">
        <w:rPr>
          <w:rFonts w:ascii="Arial" w:hAnsi="Arial" w:cs="Arial"/>
          <w:szCs w:val="22"/>
          <w:lang w:val="fi-FI"/>
        </w:rPr>
        <w:t>rittely, jonka mukaan vartioimisliiketoimintana ei ole pidettävä asianajo- tai muuhun se</w:t>
      </w:r>
      <w:r w:rsidRPr="00682804">
        <w:rPr>
          <w:rFonts w:ascii="Arial" w:hAnsi="Arial" w:cs="Arial"/>
          <w:szCs w:val="22"/>
          <w:lang w:val="fi-FI"/>
        </w:rPr>
        <w:t>l</w:t>
      </w:r>
      <w:r w:rsidRPr="00682804">
        <w:rPr>
          <w:rFonts w:ascii="Arial" w:hAnsi="Arial" w:cs="Arial"/>
          <w:szCs w:val="22"/>
          <w:lang w:val="fi-FI"/>
        </w:rPr>
        <w:t>laiseen toimintaan liittyviä rikosten selvittämistoimenpiteitä.</w:t>
      </w:r>
    </w:p>
    <w:p w:rsidR="002342BA" w:rsidRPr="00682804" w:rsidRDefault="002342BA" w:rsidP="00426F05">
      <w:pPr>
        <w:pStyle w:val="Leipteksti"/>
        <w:ind w:left="720"/>
        <w:rPr>
          <w:rFonts w:ascii="Arial" w:hAnsi="Arial" w:cs="Arial"/>
          <w:szCs w:val="22"/>
          <w:lang w:val="fi-FI"/>
        </w:rPr>
      </w:pPr>
    </w:p>
    <w:p w:rsidR="002342BA" w:rsidRPr="00426F05" w:rsidRDefault="00682804" w:rsidP="00426F05">
      <w:pPr>
        <w:pStyle w:val="Leipteksti"/>
        <w:numPr>
          <w:ilvl w:val="0"/>
          <w:numId w:val="7"/>
        </w:numPr>
        <w:spacing w:before="0" w:after="180" w:line="240" w:lineRule="atLeast"/>
        <w:rPr>
          <w:rFonts w:ascii="Arial" w:hAnsi="Arial" w:cs="Arial"/>
          <w:b/>
          <w:szCs w:val="22"/>
        </w:rPr>
      </w:pPr>
      <w:r w:rsidRPr="00682804">
        <w:rPr>
          <w:rFonts w:ascii="Arial" w:hAnsi="Arial" w:cs="Arial"/>
          <w:b/>
          <w:szCs w:val="22"/>
        </w:rPr>
        <w:t>TAUSTAA</w:t>
      </w:r>
    </w:p>
    <w:p w:rsidR="00426F05" w:rsidRDefault="002342BA" w:rsidP="00891427">
      <w:pPr>
        <w:pStyle w:val="Leipteksti"/>
        <w:ind w:left="1134"/>
        <w:rPr>
          <w:rFonts w:ascii="Arial" w:hAnsi="Arial" w:cs="Arial"/>
          <w:szCs w:val="22"/>
          <w:lang w:val="fi-FI"/>
        </w:rPr>
      </w:pPr>
      <w:r w:rsidRPr="00682804">
        <w:rPr>
          <w:rFonts w:ascii="Arial" w:hAnsi="Arial" w:cs="Arial"/>
          <w:szCs w:val="22"/>
          <w:lang w:val="fi-FI"/>
        </w:rPr>
        <w:t>Laki yksityisistä turvallisuuspalveluista (12.4.2002/282) tuli voimaan 1.10.2002. Kyse</w:t>
      </w:r>
      <w:r w:rsidRPr="00682804">
        <w:rPr>
          <w:rFonts w:ascii="Arial" w:hAnsi="Arial" w:cs="Arial"/>
          <w:szCs w:val="22"/>
          <w:lang w:val="fi-FI"/>
        </w:rPr>
        <w:t>i</w:t>
      </w:r>
      <w:r w:rsidRPr="00682804">
        <w:rPr>
          <w:rFonts w:ascii="Arial" w:hAnsi="Arial" w:cs="Arial"/>
          <w:szCs w:val="22"/>
          <w:lang w:val="fi-FI"/>
        </w:rPr>
        <w:t>sessä laissa määritellyllä vartioimisliiketoiminnalla tarkoitetaan ansiotarkoituksessa suor</w:t>
      </w:r>
      <w:r w:rsidRPr="00682804">
        <w:rPr>
          <w:rFonts w:ascii="Arial" w:hAnsi="Arial" w:cs="Arial"/>
          <w:szCs w:val="22"/>
          <w:lang w:val="fi-FI"/>
        </w:rPr>
        <w:t>i</w:t>
      </w:r>
      <w:r w:rsidRPr="00682804">
        <w:rPr>
          <w:rFonts w:ascii="Arial" w:hAnsi="Arial" w:cs="Arial"/>
          <w:szCs w:val="22"/>
          <w:lang w:val="fi-FI"/>
        </w:rPr>
        <w:t xml:space="preserve">tettavaa, toimeksiantosopimukseen perustuvaa vartioimistehtävien hoitamista ja </w:t>
      </w:r>
      <w:proofErr w:type="spellStart"/>
      <w:r w:rsidRPr="00682804">
        <w:rPr>
          <w:rFonts w:ascii="Arial" w:hAnsi="Arial" w:cs="Arial"/>
          <w:szCs w:val="22"/>
          <w:lang w:val="fi-FI"/>
        </w:rPr>
        <w:t>vartioi</w:t>
      </w:r>
      <w:r w:rsidR="00891427">
        <w:rPr>
          <w:rFonts w:ascii="Arial" w:hAnsi="Arial" w:cs="Arial"/>
          <w:szCs w:val="22"/>
          <w:lang w:val="fi-FI"/>
        </w:rPr>
        <w:t>-</w:t>
      </w:r>
      <w:r w:rsidRPr="00682804">
        <w:rPr>
          <w:rFonts w:ascii="Arial" w:hAnsi="Arial" w:cs="Arial"/>
          <w:szCs w:val="22"/>
          <w:lang w:val="fi-FI"/>
        </w:rPr>
        <w:t>misliiketoimintaa</w:t>
      </w:r>
      <w:proofErr w:type="spellEnd"/>
      <w:r w:rsidRPr="00682804">
        <w:rPr>
          <w:rFonts w:ascii="Arial" w:hAnsi="Arial" w:cs="Arial"/>
          <w:szCs w:val="22"/>
          <w:lang w:val="fi-FI"/>
        </w:rPr>
        <w:t xml:space="preserve"> saa harjoittaa vain sellainen elinkeinonharjoittaja, jolla on vartioimisliik</w:t>
      </w:r>
      <w:r w:rsidRPr="00682804">
        <w:rPr>
          <w:rFonts w:ascii="Arial" w:hAnsi="Arial" w:cs="Arial"/>
          <w:szCs w:val="22"/>
          <w:lang w:val="fi-FI"/>
        </w:rPr>
        <w:t>e</w:t>
      </w:r>
      <w:r w:rsidRPr="00682804">
        <w:rPr>
          <w:rFonts w:ascii="Arial" w:hAnsi="Arial" w:cs="Arial"/>
          <w:szCs w:val="22"/>
          <w:lang w:val="fi-FI"/>
        </w:rPr>
        <w:t>lupa. Vartioimistehtäväksi on määritelty muun muassa toimeksiantajaan kohdistuvien r</w:t>
      </w:r>
      <w:r w:rsidRPr="00682804">
        <w:rPr>
          <w:rFonts w:ascii="Arial" w:hAnsi="Arial" w:cs="Arial"/>
          <w:szCs w:val="22"/>
          <w:lang w:val="fi-FI"/>
        </w:rPr>
        <w:t>i</w:t>
      </w:r>
      <w:r w:rsidRPr="00682804">
        <w:rPr>
          <w:rFonts w:ascii="Arial" w:hAnsi="Arial" w:cs="Arial"/>
          <w:szCs w:val="22"/>
          <w:lang w:val="fi-FI"/>
        </w:rPr>
        <w:t>kosten paljastaminen. Käytännössä lain tiukka tulkinta saattaisi johtaa tilanteeseen, jossa tilintarkastusyhteisöt joutuisivat hakemaan vartioimisliikelupaa tehdessään (i) osakeyhti</w:t>
      </w:r>
      <w:r w:rsidRPr="00682804">
        <w:rPr>
          <w:rFonts w:ascii="Arial" w:hAnsi="Arial" w:cs="Arial"/>
          <w:szCs w:val="22"/>
          <w:lang w:val="fi-FI"/>
        </w:rPr>
        <w:t>ö</w:t>
      </w:r>
      <w:r w:rsidRPr="00682804">
        <w:rPr>
          <w:rFonts w:ascii="Arial" w:hAnsi="Arial" w:cs="Arial"/>
          <w:szCs w:val="22"/>
          <w:lang w:val="fi-FI"/>
        </w:rPr>
        <w:t>lain mukaista erityistarkastusta, (ii) säätiön tai konkurssipesän erityistä tarkastusta, (iii) sisäisen tarkastuksen toimeksiantoja tai (iv) muuta selvitystyötä toimeksiantajan johdon tukena tai viranomaisten pyynnöstä. Näin ollen nyt voimassa oleva laki yksityisistä turva</w:t>
      </w:r>
      <w:r w:rsidRPr="00682804">
        <w:rPr>
          <w:rFonts w:ascii="Arial" w:hAnsi="Arial" w:cs="Arial"/>
          <w:szCs w:val="22"/>
          <w:lang w:val="fi-FI"/>
        </w:rPr>
        <w:t>l</w:t>
      </w:r>
      <w:r w:rsidRPr="00682804">
        <w:rPr>
          <w:rFonts w:ascii="Arial" w:hAnsi="Arial" w:cs="Arial"/>
          <w:szCs w:val="22"/>
          <w:lang w:val="fi-FI"/>
        </w:rPr>
        <w:t>lisuuspalveluista ei ole yksiselitteinen ja oikeudellisesti jää epäselväksi tarvitsevatko es</w:t>
      </w:r>
      <w:r w:rsidRPr="00682804">
        <w:rPr>
          <w:rFonts w:ascii="Arial" w:hAnsi="Arial" w:cs="Arial"/>
          <w:szCs w:val="22"/>
          <w:lang w:val="fi-FI"/>
        </w:rPr>
        <w:t>i</w:t>
      </w:r>
      <w:r w:rsidRPr="00682804">
        <w:rPr>
          <w:rFonts w:ascii="Arial" w:hAnsi="Arial" w:cs="Arial"/>
          <w:szCs w:val="22"/>
          <w:lang w:val="fi-FI"/>
        </w:rPr>
        <w:t>merkiksi tilintarkastusyhteisöt vartioimisliikeluvan tehdessään erillisellä toimeksiannolla em. erityisiä tarkastuksia, jotka saattavat käytännössä sisältää rikosten paljastamiseen liittyviä tarkastustoimenpiteitä.</w:t>
      </w:r>
    </w:p>
    <w:p w:rsidR="0072362E" w:rsidRPr="00682804" w:rsidRDefault="0072362E" w:rsidP="0072362E">
      <w:pPr>
        <w:pStyle w:val="Leipteksti"/>
        <w:ind w:left="1304"/>
        <w:rPr>
          <w:rFonts w:ascii="Arial" w:hAnsi="Arial" w:cs="Arial"/>
          <w:szCs w:val="22"/>
          <w:lang w:val="fi-FI"/>
        </w:rPr>
      </w:pPr>
    </w:p>
    <w:p w:rsidR="002342BA" w:rsidRPr="00682804" w:rsidRDefault="00682804" w:rsidP="00426F05">
      <w:pPr>
        <w:pStyle w:val="Leipteksti"/>
        <w:numPr>
          <w:ilvl w:val="0"/>
          <w:numId w:val="7"/>
        </w:numPr>
        <w:spacing w:before="0" w:after="180" w:line="240" w:lineRule="atLeast"/>
        <w:rPr>
          <w:rFonts w:ascii="Arial" w:hAnsi="Arial" w:cs="Arial"/>
          <w:b/>
          <w:szCs w:val="22"/>
        </w:rPr>
      </w:pPr>
      <w:r w:rsidRPr="00682804">
        <w:rPr>
          <w:rFonts w:ascii="Arial" w:hAnsi="Arial" w:cs="Arial"/>
          <w:b/>
          <w:szCs w:val="22"/>
        </w:rPr>
        <w:t>YKSITYIST</w:t>
      </w:r>
      <w:r w:rsidR="00426F05">
        <w:rPr>
          <w:rFonts w:ascii="Arial" w:hAnsi="Arial" w:cs="Arial"/>
          <w:b/>
          <w:szCs w:val="22"/>
        </w:rPr>
        <w:t>Ä</w:t>
      </w:r>
      <w:r w:rsidRPr="00682804">
        <w:rPr>
          <w:rFonts w:ascii="Arial" w:hAnsi="Arial" w:cs="Arial"/>
          <w:b/>
          <w:szCs w:val="22"/>
        </w:rPr>
        <w:t>TURVALLISUUSALAA KOSKEVA KOKONAISUUDISTUS</w:t>
      </w:r>
    </w:p>
    <w:p w:rsidR="002342BA" w:rsidRPr="00682804" w:rsidRDefault="002342BA" w:rsidP="00891427">
      <w:pPr>
        <w:pStyle w:val="Leipteksti"/>
        <w:ind w:left="1134"/>
        <w:rPr>
          <w:rFonts w:ascii="Arial" w:hAnsi="Arial" w:cs="Arial"/>
          <w:szCs w:val="22"/>
          <w:lang w:val="fi-FI"/>
        </w:rPr>
      </w:pPr>
      <w:r w:rsidRPr="00682804">
        <w:rPr>
          <w:rFonts w:ascii="Arial" w:hAnsi="Arial" w:cs="Arial"/>
          <w:szCs w:val="22"/>
          <w:lang w:val="fi-FI"/>
        </w:rPr>
        <w:t>Sisäasianministeriön poliisiosasto on asettanut yksityistä turvallisuusalaa koskevan lai</w:t>
      </w:r>
      <w:r w:rsidRPr="00682804">
        <w:rPr>
          <w:rFonts w:ascii="Arial" w:hAnsi="Arial" w:cs="Arial"/>
          <w:szCs w:val="22"/>
          <w:lang w:val="fi-FI"/>
        </w:rPr>
        <w:t>n</w:t>
      </w:r>
      <w:r w:rsidRPr="00682804">
        <w:rPr>
          <w:rFonts w:ascii="Arial" w:hAnsi="Arial" w:cs="Arial"/>
          <w:szCs w:val="22"/>
          <w:lang w:val="fi-FI"/>
        </w:rPr>
        <w:t>säädäntöhankkeen kokonaisuudistuksen toisen vaiheen 17.11.2011. Tavoitteena on yks</w:t>
      </w:r>
      <w:r w:rsidRPr="00682804">
        <w:rPr>
          <w:rFonts w:ascii="Arial" w:hAnsi="Arial" w:cs="Arial"/>
          <w:szCs w:val="22"/>
          <w:lang w:val="fi-FI"/>
        </w:rPr>
        <w:t>i</w:t>
      </w:r>
      <w:r w:rsidRPr="00682804">
        <w:rPr>
          <w:rFonts w:ascii="Arial" w:hAnsi="Arial" w:cs="Arial"/>
          <w:szCs w:val="22"/>
          <w:lang w:val="fi-FI"/>
        </w:rPr>
        <w:t xml:space="preserve">tyistä turvallisuusalaa koskevan lainsäädännön ajantasaistaminen sekä toimivaltuuksien </w:t>
      </w:r>
      <w:r w:rsidRPr="00682804">
        <w:rPr>
          <w:rFonts w:ascii="Arial" w:hAnsi="Arial" w:cs="Arial"/>
          <w:szCs w:val="22"/>
          <w:lang w:val="fi-FI"/>
        </w:rPr>
        <w:lastRenderedPageBreak/>
        <w:t>selkeyttäminen ja yhdenmukaistaminen. Hankkeessa kehitetään yksityisen turvallisuu</w:t>
      </w:r>
      <w:r w:rsidRPr="00682804">
        <w:rPr>
          <w:rFonts w:ascii="Arial" w:hAnsi="Arial" w:cs="Arial"/>
          <w:szCs w:val="22"/>
          <w:lang w:val="fi-FI"/>
        </w:rPr>
        <w:t>s</w:t>
      </w:r>
      <w:r w:rsidRPr="00682804">
        <w:rPr>
          <w:rFonts w:ascii="Arial" w:hAnsi="Arial" w:cs="Arial"/>
          <w:szCs w:val="22"/>
          <w:lang w:val="fi-FI"/>
        </w:rPr>
        <w:t>alan ja poliisin välistä yhteistyötä sekä alan koulutusta ja valvontaa. Hankkeessa käydään läpi muun muassa poliisin ja yksityisen turvallisuusalan välistä työnjakoa ja turvallisuu</w:t>
      </w:r>
      <w:r w:rsidRPr="00682804">
        <w:rPr>
          <w:rFonts w:ascii="Arial" w:hAnsi="Arial" w:cs="Arial"/>
          <w:szCs w:val="22"/>
          <w:lang w:val="fi-FI"/>
        </w:rPr>
        <w:t>s</w:t>
      </w:r>
      <w:r w:rsidRPr="00682804">
        <w:rPr>
          <w:rFonts w:ascii="Arial" w:hAnsi="Arial" w:cs="Arial"/>
          <w:szCs w:val="22"/>
          <w:lang w:val="fi-FI"/>
        </w:rPr>
        <w:t xml:space="preserve">konsultointia sekä siihen liittyvää lainsäädäntöä. Hankkeen toimikausi on 17.11.2011 - 30.6.2013. Hallituksen esitys on tarkoitus antaa eduskunnalle syysistuntokaudella 2012. </w:t>
      </w:r>
    </w:p>
    <w:p w:rsidR="002342BA" w:rsidRPr="00682804" w:rsidRDefault="002342BA" w:rsidP="00426F05">
      <w:pPr>
        <w:pStyle w:val="Leipteksti"/>
        <w:ind w:left="2160"/>
        <w:rPr>
          <w:rFonts w:ascii="Arial" w:hAnsi="Arial" w:cs="Arial"/>
          <w:szCs w:val="22"/>
          <w:lang w:val="fi-FI"/>
        </w:rPr>
      </w:pPr>
    </w:p>
    <w:p w:rsidR="002342BA" w:rsidRPr="00682804" w:rsidRDefault="00682804" w:rsidP="00426F05">
      <w:pPr>
        <w:pStyle w:val="Leipteksti"/>
        <w:numPr>
          <w:ilvl w:val="0"/>
          <w:numId w:val="7"/>
        </w:numPr>
        <w:spacing w:before="0" w:after="180" w:line="240" w:lineRule="atLeast"/>
        <w:rPr>
          <w:rFonts w:ascii="Arial" w:hAnsi="Arial" w:cs="Arial"/>
          <w:b/>
          <w:szCs w:val="22"/>
        </w:rPr>
      </w:pPr>
      <w:r w:rsidRPr="00682804">
        <w:rPr>
          <w:rFonts w:ascii="Arial" w:hAnsi="Arial" w:cs="Arial"/>
          <w:b/>
          <w:szCs w:val="22"/>
        </w:rPr>
        <w:t>LAINSÄÄDÄNNÖN NYKYTILA</w:t>
      </w:r>
    </w:p>
    <w:p w:rsidR="002342BA" w:rsidRPr="00682804" w:rsidRDefault="002342BA" w:rsidP="00891427">
      <w:pPr>
        <w:pStyle w:val="Leipteksti"/>
        <w:ind w:left="1134"/>
        <w:rPr>
          <w:rFonts w:ascii="Arial" w:hAnsi="Arial" w:cs="Arial"/>
          <w:szCs w:val="22"/>
          <w:lang w:val="fi-FI"/>
        </w:rPr>
      </w:pPr>
      <w:r w:rsidRPr="00682804">
        <w:rPr>
          <w:rFonts w:ascii="Arial" w:hAnsi="Arial" w:cs="Arial"/>
          <w:szCs w:val="22"/>
          <w:lang w:val="fi-FI"/>
        </w:rPr>
        <w:t>Yksityisistä turvallisuuspalveluista annetun lain tarkoituksena on varmistaa yksityisten turvallisuuspalveluiden laatua ja luotettavuutta sekä edistää viranomaisten ja yksityisten turvallisuuspalveluiden välistä yhteistyötä. Kyseisen lain 2 §:n 1 momentin 2 kohdan m</w:t>
      </w:r>
      <w:r w:rsidRPr="00682804">
        <w:rPr>
          <w:rFonts w:ascii="Arial" w:hAnsi="Arial" w:cs="Arial"/>
          <w:szCs w:val="22"/>
          <w:lang w:val="fi-FI"/>
        </w:rPr>
        <w:t>u</w:t>
      </w:r>
      <w:r w:rsidRPr="00682804">
        <w:rPr>
          <w:rFonts w:ascii="Arial" w:hAnsi="Arial" w:cs="Arial"/>
          <w:szCs w:val="22"/>
          <w:lang w:val="fi-FI"/>
        </w:rPr>
        <w:t>kaan vartioimisliiketoiminnalla tarkoitetaan ansiotarkoituksessa suoritettavaa, toimeksia</w:t>
      </w:r>
      <w:r w:rsidRPr="00682804">
        <w:rPr>
          <w:rFonts w:ascii="Arial" w:hAnsi="Arial" w:cs="Arial"/>
          <w:szCs w:val="22"/>
          <w:lang w:val="fi-FI"/>
        </w:rPr>
        <w:t>n</w:t>
      </w:r>
      <w:r w:rsidRPr="00682804">
        <w:rPr>
          <w:rFonts w:ascii="Arial" w:hAnsi="Arial" w:cs="Arial"/>
          <w:szCs w:val="22"/>
          <w:lang w:val="fi-FI"/>
        </w:rPr>
        <w:t xml:space="preserve">toantosopimukseen </w:t>
      </w:r>
      <w:proofErr w:type="gramStart"/>
      <w:r w:rsidRPr="00682804">
        <w:rPr>
          <w:rFonts w:ascii="Arial" w:hAnsi="Arial" w:cs="Arial"/>
          <w:szCs w:val="22"/>
          <w:lang w:val="fi-FI"/>
        </w:rPr>
        <w:t xml:space="preserve">perustuvaa </w:t>
      </w:r>
      <w:r w:rsidR="00891427">
        <w:rPr>
          <w:rFonts w:ascii="Arial" w:hAnsi="Arial" w:cs="Arial"/>
          <w:szCs w:val="22"/>
          <w:lang w:val="fi-FI"/>
        </w:rPr>
        <w:t xml:space="preserve"> </w:t>
      </w:r>
      <w:r w:rsidRPr="00682804">
        <w:rPr>
          <w:rFonts w:ascii="Arial" w:hAnsi="Arial" w:cs="Arial"/>
          <w:szCs w:val="22"/>
          <w:lang w:val="fi-FI"/>
        </w:rPr>
        <w:t>vartioimistehtävien</w:t>
      </w:r>
      <w:proofErr w:type="gramEnd"/>
      <w:r w:rsidRPr="00682804">
        <w:rPr>
          <w:rFonts w:ascii="Arial" w:hAnsi="Arial" w:cs="Arial"/>
          <w:szCs w:val="22"/>
          <w:lang w:val="fi-FI"/>
        </w:rPr>
        <w:t xml:space="preserve"> hoitamista</w:t>
      </w:r>
      <w:r w:rsidR="00891427">
        <w:rPr>
          <w:rFonts w:ascii="Arial" w:hAnsi="Arial" w:cs="Arial"/>
          <w:szCs w:val="22"/>
          <w:lang w:val="fi-FI"/>
        </w:rPr>
        <w:t xml:space="preserve"> </w:t>
      </w:r>
      <w:r w:rsidRPr="00682804">
        <w:rPr>
          <w:rFonts w:ascii="Arial" w:hAnsi="Arial" w:cs="Arial"/>
          <w:szCs w:val="22"/>
          <w:lang w:val="fi-FI"/>
        </w:rPr>
        <w:t xml:space="preserve"> ja 3 kohdan mukaan va</w:t>
      </w:r>
      <w:r w:rsidRPr="00682804">
        <w:rPr>
          <w:rFonts w:ascii="Arial" w:hAnsi="Arial" w:cs="Arial"/>
          <w:szCs w:val="22"/>
          <w:lang w:val="fi-FI"/>
        </w:rPr>
        <w:t>r</w:t>
      </w:r>
      <w:r w:rsidRPr="00682804">
        <w:rPr>
          <w:rFonts w:ascii="Arial" w:hAnsi="Arial" w:cs="Arial"/>
          <w:szCs w:val="22"/>
          <w:lang w:val="fi-FI"/>
        </w:rPr>
        <w:t>tioimistehtävällä tarkoitetaan muun muassa toimeksiantajaan kohdistuneiden rikosten paljastamista ja kyseisen tehtävän valvomista. Vartioimisliiketoimintaa saa harjoittaa lain 3 §:n mukaan vain sellainen elinkeinonharjoittaja, jolla on vartioimisliikelupa.</w:t>
      </w:r>
    </w:p>
    <w:p w:rsidR="002342BA" w:rsidRDefault="002342BA" w:rsidP="00891427">
      <w:pPr>
        <w:pStyle w:val="Leipteksti"/>
        <w:ind w:left="1134"/>
        <w:rPr>
          <w:rFonts w:ascii="Arial" w:hAnsi="Arial" w:cs="Arial"/>
          <w:szCs w:val="22"/>
          <w:lang w:val="fi-FI"/>
        </w:rPr>
      </w:pPr>
      <w:r w:rsidRPr="00682804">
        <w:rPr>
          <w:rFonts w:ascii="Arial" w:hAnsi="Arial" w:cs="Arial"/>
          <w:szCs w:val="22"/>
          <w:lang w:val="fi-FI"/>
        </w:rPr>
        <w:t>Hallituksen esityksen 69/2001 sivun 42 mukaan rikosten paljastamisessa on kysymys muiden kuin viranomaisten suorittamasta rikosten ilmisaattamisesta ja siihen liittyvistä r</w:t>
      </w:r>
      <w:r w:rsidRPr="00682804">
        <w:rPr>
          <w:rFonts w:ascii="Arial" w:hAnsi="Arial" w:cs="Arial"/>
          <w:szCs w:val="22"/>
          <w:lang w:val="fi-FI"/>
        </w:rPr>
        <w:t>i</w:t>
      </w:r>
      <w:r w:rsidRPr="00682804">
        <w:rPr>
          <w:rFonts w:ascii="Arial" w:hAnsi="Arial" w:cs="Arial"/>
          <w:szCs w:val="22"/>
          <w:lang w:val="fi-FI"/>
        </w:rPr>
        <w:t>kosten alustavista selvittämistoimenpiteistä, joiden avulla hankitaan riittävät tiedot vira</w:t>
      </w:r>
      <w:r w:rsidRPr="00682804">
        <w:rPr>
          <w:rFonts w:ascii="Arial" w:hAnsi="Arial" w:cs="Arial"/>
          <w:szCs w:val="22"/>
          <w:lang w:val="fi-FI"/>
        </w:rPr>
        <w:t>n</w:t>
      </w:r>
      <w:r w:rsidRPr="00682804">
        <w:rPr>
          <w:rFonts w:ascii="Arial" w:hAnsi="Arial" w:cs="Arial"/>
          <w:szCs w:val="22"/>
          <w:lang w:val="fi-FI"/>
        </w:rPr>
        <w:t>omaisille tehtävää rikosilmoitusta varten. Esimerkkinä edellä kerrotusta vartioimisteht</w:t>
      </w:r>
      <w:r w:rsidRPr="00682804">
        <w:rPr>
          <w:rFonts w:ascii="Arial" w:hAnsi="Arial" w:cs="Arial"/>
          <w:szCs w:val="22"/>
          <w:lang w:val="fi-FI"/>
        </w:rPr>
        <w:t>ä</w:t>
      </w:r>
      <w:r w:rsidRPr="00682804">
        <w:rPr>
          <w:rFonts w:ascii="Arial" w:hAnsi="Arial" w:cs="Arial"/>
          <w:szCs w:val="22"/>
          <w:lang w:val="fi-FI"/>
        </w:rPr>
        <w:t>västä on mainittu tekijänoikeuksien laiminlyöntiin liittyvät selvitystehtävät. Rikosten palja</w:t>
      </w:r>
      <w:r w:rsidRPr="00682804">
        <w:rPr>
          <w:rFonts w:ascii="Arial" w:hAnsi="Arial" w:cs="Arial"/>
          <w:szCs w:val="22"/>
          <w:lang w:val="fi-FI"/>
        </w:rPr>
        <w:t>s</w:t>
      </w:r>
      <w:r w:rsidRPr="00682804">
        <w:rPr>
          <w:rFonts w:ascii="Arial" w:hAnsi="Arial" w:cs="Arial"/>
          <w:szCs w:val="22"/>
          <w:lang w:val="fi-FI"/>
        </w:rPr>
        <w:t>tamiseen liittyvään toimintaan katsottaisiin myös sisältyvän jo paljastuneen rikoksen jo</w:t>
      </w:r>
      <w:r w:rsidRPr="00682804">
        <w:rPr>
          <w:rFonts w:ascii="Arial" w:hAnsi="Arial" w:cs="Arial"/>
          <w:szCs w:val="22"/>
          <w:lang w:val="fi-FI"/>
        </w:rPr>
        <w:t>h</w:t>
      </w:r>
      <w:r w:rsidRPr="00682804">
        <w:rPr>
          <w:rFonts w:ascii="Arial" w:hAnsi="Arial" w:cs="Arial"/>
          <w:szCs w:val="22"/>
          <w:lang w:val="fi-FI"/>
        </w:rPr>
        <w:t>dosta mahdollisesti suoritettavat lisäselvitykset, joita tehdään viranomaistutkinnan ohella. Hallituksen esityksen mukaan vartioimisliiketoimintana ei ole kuitenkaan pidettävä asia</w:t>
      </w:r>
      <w:r w:rsidRPr="00682804">
        <w:rPr>
          <w:rFonts w:ascii="Arial" w:hAnsi="Arial" w:cs="Arial"/>
          <w:szCs w:val="22"/>
          <w:lang w:val="fi-FI"/>
        </w:rPr>
        <w:t>n</w:t>
      </w:r>
      <w:r w:rsidRPr="00682804">
        <w:rPr>
          <w:rFonts w:ascii="Arial" w:hAnsi="Arial" w:cs="Arial"/>
          <w:szCs w:val="22"/>
          <w:lang w:val="fi-FI"/>
        </w:rPr>
        <w:t>ajo- tai muuhun sellaiseen toimintaan liittyviä rikosten selvittämistoimenpiteitä.</w:t>
      </w:r>
      <w:r w:rsidR="00891427">
        <w:rPr>
          <w:rFonts w:ascii="Arial" w:hAnsi="Arial" w:cs="Arial"/>
          <w:szCs w:val="22"/>
          <w:lang w:val="fi-FI"/>
        </w:rPr>
        <w:t xml:space="preserve"> </w:t>
      </w:r>
      <w:r w:rsidRPr="00682804">
        <w:rPr>
          <w:rFonts w:ascii="Arial" w:hAnsi="Arial" w:cs="Arial"/>
          <w:szCs w:val="22"/>
          <w:lang w:val="fi-FI"/>
        </w:rPr>
        <w:t>Hallitu</w:t>
      </w:r>
      <w:r w:rsidRPr="00682804">
        <w:rPr>
          <w:rFonts w:ascii="Arial" w:hAnsi="Arial" w:cs="Arial"/>
          <w:szCs w:val="22"/>
          <w:lang w:val="fi-FI"/>
        </w:rPr>
        <w:t>k</w:t>
      </w:r>
      <w:r w:rsidR="00891427">
        <w:rPr>
          <w:rFonts w:ascii="Arial" w:hAnsi="Arial" w:cs="Arial"/>
          <w:szCs w:val="22"/>
          <w:lang w:val="fi-FI"/>
        </w:rPr>
        <w:t xml:space="preserve">sen esityksessä </w:t>
      </w:r>
      <w:r w:rsidRPr="00682804">
        <w:rPr>
          <w:rFonts w:ascii="Arial" w:hAnsi="Arial" w:cs="Arial"/>
          <w:szCs w:val="22"/>
          <w:lang w:val="fi-FI"/>
        </w:rPr>
        <w:t>ei kuitenkaan tarkemmin määritellä mitä tarkoitetaan asianajo- tai mu</w:t>
      </w:r>
      <w:r w:rsidRPr="00682804">
        <w:rPr>
          <w:rFonts w:ascii="Arial" w:hAnsi="Arial" w:cs="Arial"/>
          <w:szCs w:val="22"/>
          <w:lang w:val="fi-FI"/>
        </w:rPr>
        <w:t>u</w:t>
      </w:r>
      <w:r w:rsidRPr="00682804">
        <w:rPr>
          <w:rFonts w:ascii="Arial" w:hAnsi="Arial" w:cs="Arial"/>
          <w:szCs w:val="22"/>
          <w:lang w:val="fi-FI"/>
        </w:rPr>
        <w:t>hun sellaiseen toimintaan liittyvillä rikosten selvittämistoimenpiteillä. Tältä osin vireillä olevassa kokonaisuudistuksessa tulisi täsmentää mitä ”muulla sellaisel</w:t>
      </w:r>
      <w:r w:rsidR="00426F05">
        <w:rPr>
          <w:rFonts w:ascii="Arial" w:hAnsi="Arial" w:cs="Arial"/>
          <w:szCs w:val="22"/>
          <w:lang w:val="fi-FI"/>
        </w:rPr>
        <w:t>la” toiminnalla ta</w:t>
      </w:r>
      <w:r w:rsidR="00426F05">
        <w:rPr>
          <w:rFonts w:ascii="Arial" w:hAnsi="Arial" w:cs="Arial"/>
          <w:szCs w:val="22"/>
          <w:lang w:val="fi-FI"/>
        </w:rPr>
        <w:t>r</w:t>
      </w:r>
      <w:r w:rsidR="00426F05">
        <w:rPr>
          <w:rFonts w:ascii="Arial" w:hAnsi="Arial" w:cs="Arial"/>
          <w:szCs w:val="22"/>
          <w:lang w:val="fi-FI"/>
        </w:rPr>
        <w:t xml:space="preserve">koitetaan.  </w:t>
      </w:r>
    </w:p>
    <w:p w:rsidR="00426F05" w:rsidRPr="00682804" w:rsidRDefault="00426F05" w:rsidP="00426F05">
      <w:pPr>
        <w:pStyle w:val="Leipteksti"/>
        <w:ind w:left="1304"/>
        <w:rPr>
          <w:rFonts w:ascii="Arial" w:hAnsi="Arial" w:cs="Arial"/>
          <w:szCs w:val="22"/>
          <w:lang w:val="fi-FI"/>
        </w:rPr>
      </w:pPr>
    </w:p>
    <w:p w:rsidR="002342BA" w:rsidRPr="00682804" w:rsidRDefault="00682804" w:rsidP="00426F05">
      <w:pPr>
        <w:pStyle w:val="Leipteksti"/>
        <w:numPr>
          <w:ilvl w:val="0"/>
          <w:numId w:val="7"/>
        </w:numPr>
        <w:spacing w:before="0" w:after="180" w:line="240" w:lineRule="atLeast"/>
        <w:rPr>
          <w:rFonts w:ascii="Arial" w:hAnsi="Arial" w:cs="Arial"/>
          <w:b/>
          <w:szCs w:val="22"/>
        </w:rPr>
      </w:pPr>
      <w:r w:rsidRPr="00682804">
        <w:rPr>
          <w:rFonts w:ascii="Arial" w:hAnsi="Arial" w:cs="Arial"/>
          <w:b/>
          <w:szCs w:val="22"/>
        </w:rPr>
        <w:t>LAIN TULKINTAAN LIITTYVÄT ONGELMAT</w:t>
      </w:r>
    </w:p>
    <w:p w:rsidR="002342BA" w:rsidRPr="00682804" w:rsidRDefault="002342BA" w:rsidP="00891427">
      <w:pPr>
        <w:pStyle w:val="Leipteksti"/>
        <w:ind w:left="1134"/>
        <w:rPr>
          <w:rFonts w:ascii="Arial" w:hAnsi="Arial" w:cs="Arial"/>
          <w:szCs w:val="22"/>
          <w:lang w:val="fi-FI"/>
        </w:rPr>
      </w:pPr>
      <w:r w:rsidRPr="00682804">
        <w:rPr>
          <w:rFonts w:ascii="Arial" w:hAnsi="Arial" w:cs="Arial"/>
          <w:szCs w:val="22"/>
          <w:lang w:val="fi-FI"/>
        </w:rPr>
        <w:t>Osakeyhtiölain 7 luvussa on säädetty erityistarkastuksen tekemisestä yhtiön hallinnosta ja kirjanpidosta tietyillä edellytyksillä osakkeenomistajan niin vaatiessa. Aluehallintovira</w:t>
      </w:r>
      <w:r w:rsidRPr="00682804">
        <w:rPr>
          <w:rFonts w:ascii="Arial" w:hAnsi="Arial" w:cs="Arial"/>
          <w:szCs w:val="22"/>
          <w:lang w:val="fi-FI"/>
        </w:rPr>
        <w:t>s</w:t>
      </w:r>
      <w:r w:rsidRPr="00682804">
        <w:rPr>
          <w:rFonts w:ascii="Arial" w:hAnsi="Arial" w:cs="Arial"/>
          <w:szCs w:val="22"/>
          <w:lang w:val="fi-FI"/>
        </w:rPr>
        <w:t>to tekee erityistarkastusta koskevan ratkaisun, jos tarkastukselle on olemassa painavia syitä. Lisäksi konkurssilain 9 luvun 4 §:ssä on säädetty velkojien oikeudesta päättää v</w:t>
      </w:r>
      <w:r w:rsidRPr="00682804">
        <w:rPr>
          <w:rFonts w:ascii="Arial" w:hAnsi="Arial" w:cs="Arial"/>
          <w:szCs w:val="22"/>
          <w:lang w:val="fi-FI"/>
        </w:rPr>
        <w:t>e</w:t>
      </w:r>
      <w:r w:rsidRPr="00682804">
        <w:rPr>
          <w:rFonts w:ascii="Arial" w:hAnsi="Arial" w:cs="Arial"/>
          <w:szCs w:val="22"/>
          <w:lang w:val="fi-FI"/>
        </w:rPr>
        <w:t>lallisen tilien ja toiminnan erityistarkastuksesta, jos velallisen kirjanpito tai muut seikat a</w:t>
      </w:r>
      <w:r w:rsidRPr="00682804">
        <w:rPr>
          <w:rFonts w:ascii="Arial" w:hAnsi="Arial" w:cs="Arial"/>
          <w:szCs w:val="22"/>
          <w:lang w:val="fi-FI"/>
        </w:rPr>
        <w:t>n</w:t>
      </w:r>
      <w:r w:rsidRPr="00682804">
        <w:rPr>
          <w:rFonts w:ascii="Arial" w:hAnsi="Arial" w:cs="Arial"/>
          <w:szCs w:val="22"/>
          <w:lang w:val="fi-FI"/>
        </w:rPr>
        <w:t>tavat siihen aihetta. Konkurssiasiamiehen neuvottelukunta on antanut suosituksen ko</w:t>
      </w:r>
      <w:r w:rsidRPr="00682804">
        <w:rPr>
          <w:rFonts w:ascii="Arial" w:hAnsi="Arial" w:cs="Arial"/>
          <w:szCs w:val="22"/>
          <w:lang w:val="fi-FI"/>
        </w:rPr>
        <w:t>n</w:t>
      </w:r>
      <w:r w:rsidRPr="00682804">
        <w:rPr>
          <w:rFonts w:ascii="Arial" w:hAnsi="Arial" w:cs="Arial"/>
          <w:szCs w:val="22"/>
          <w:lang w:val="fi-FI"/>
        </w:rPr>
        <w:t>kurssivelallisen toiminnan erityistarkastuksesta 8/2004. Suosituksen mukaan konkurss</w:t>
      </w:r>
      <w:r w:rsidRPr="00682804">
        <w:rPr>
          <w:rFonts w:ascii="Arial" w:hAnsi="Arial" w:cs="Arial"/>
          <w:szCs w:val="22"/>
          <w:lang w:val="fi-FI"/>
        </w:rPr>
        <w:t>i</w:t>
      </w:r>
      <w:r w:rsidRPr="00682804">
        <w:rPr>
          <w:rFonts w:ascii="Arial" w:hAnsi="Arial" w:cs="Arial"/>
          <w:szCs w:val="22"/>
          <w:lang w:val="fi-FI"/>
        </w:rPr>
        <w:t>velallisen toiminnan erityistarkastuksen sisällöstä ei ole lainsäädäntöä, mutta sitä kosk</w:t>
      </w:r>
      <w:r w:rsidRPr="00682804">
        <w:rPr>
          <w:rFonts w:ascii="Arial" w:hAnsi="Arial" w:cs="Arial"/>
          <w:szCs w:val="22"/>
          <w:lang w:val="fi-FI"/>
        </w:rPr>
        <w:t>e</w:t>
      </w:r>
      <w:r w:rsidRPr="00682804">
        <w:rPr>
          <w:rFonts w:ascii="Arial" w:hAnsi="Arial" w:cs="Arial"/>
          <w:szCs w:val="22"/>
          <w:lang w:val="fi-FI"/>
        </w:rPr>
        <w:t>vaa käytäntöä on olemassa esimerkiksi Keskuskauppakamarin tilintarkastuslautakunnan (TILA) lausunnoissa. Rinnasteisia erityistarkastuksia on tehty mm. Patentti- ja rekister</w:t>
      </w:r>
      <w:r w:rsidRPr="00682804">
        <w:rPr>
          <w:rFonts w:ascii="Arial" w:hAnsi="Arial" w:cs="Arial"/>
          <w:szCs w:val="22"/>
          <w:lang w:val="fi-FI"/>
        </w:rPr>
        <w:t>i</w:t>
      </w:r>
      <w:r w:rsidRPr="00682804">
        <w:rPr>
          <w:rFonts w:ascii="Arial" w:hAnsi="Arial" w:cs="Arial"/>
          <w:szCs w:val="22"/>
          <w:lang w:val="fi-FI"/>
        </w:rPr>
        <w:t>hallituksen toimeksiannosta myös säätiöissä. Erityistarkastustyö on tilintarkastuslaissa tarkoitettua tilintarkastajan harjoittamaa muuta toimintaa, johon sovelletaan muun mua</w:t>
      </w:r>
      <w:r w:rsidRPr="00682804">
        <w:rPr>
          <w:rFonts w:ascii="Arial" w:hAnsi="Arial" w:cs="Arial"/>
          <w:szCs w:val="22"/>
          <w:lang w:val="fi-FI"/>
        </w:rPr>
        <w:t>s</w:t>
      </w:r>
      <w:r w:rsidRPr="00682804">
        <w:rPr>
          <w:rFonts w:ascii="Arial" w:hAnsi="Arial" w:cs="Arial"/>
          <w:szCs w:val="22"/>
          <w:lang w:val="fi-FI"/>
        </w:rPr>
        <w:t xml:space="preserve">sa tilintarkastuslain hyvää tilintarkastustapaa ja tilintarkastajan salassapitoa koskevia säännöksiä. </w:t>
      </w:r>
    </w:p>
    <w:p w:rsidR="002342BA" w:rsidRPr="00682804" w:rsidRDefault="002342BA" w:rsidP="00891427">
      <w:pPr>
        <w:pStyle w:val="Leipteksti"/>
        <w:ind w:left="1134"/>
        <w:rPr>
          <w:rFonts w:ascii="Arial" w:hAnsi="Arial" w:cs="Arial"/>
          <w:szCs w:val="22"/>
          <w:lang w:val="fi-FI"/>
        </w:rPr>
      </w:pPr>
      <w:r w:rsidRPr="00682804">
        <w:rPr>
          <w:rFonts w:ascii="Arial" w:hAnsi="Arial" w:cs="Arial"/>
          <w:szCs w:val="22"/>
          <w:lang w:val="fi-FI"/>
        </w:rPr>
        <w:t>Erityistarkastuksessa pyritään havaitsemaan mahdolliset väärinkäytökset, joten sen sisä</w:t>
      </w:r>
      <w:r w:rsidRPr="00682804">
        <w:rPr>
          <w:rFonts w:ascii="Arial" w:hAnsi="Arial" w:cs="Arial"/>
          <w:szCs w:val="22"/>
          <w:lang w:val="fi-FI"/>
        </w:rPr>
        <w:t>l</w:t>
      </w:r>
      <w:r w:rsidRPr="00682804">
        <w:rPr>
          <w:rFonts w:ascii="Arial" w:hAnsi="Arial" w:cs="Arial"/>
          <w:szCs w:val="22"/>
          <w:lang w:val="fi-FI"/>
        </w:rPr>
        <w:t xml:space="preserve">tö saattaa käytännössä olla luonteeltaan rikosten paljastamista. Erityistarkastuksessa </w:t>
      </w:r>
      <w:r w:rsidRPr="00682804">
        <w:rPr>
          <w:rFonts w:ascii="Arial" w:hAnsi="Arial" w:cs="Arial"/>
          <w:szCs w:val="22"/>
          <w:lang w:val="fi-FI"/>
        </w:rPr>
        <w:lastRenderedPageBreak/>
        <w:t>ot</w:t>
      </w:r>
      <w:r w:rsidR="0072362E">
        <w:rPr>
          <w:rFonts w:ascii="Arial" w:hAnsi="Arial" w:cs="Arial"/>
          <w:szCs w:val="22"/>
          <w:lang w:val="fi-FI"/>
        </w:rPr>
        <w:t>e</w:t>
      </w:r>
      <w:r w:rsidRPr="00682804">
        <w:rPr>
          <w:rFonts w:ascii="Arial" w:hAnsi="Arial" w:cs="Arial"/>
          <w:szCs w:val="22"/>
          <w:lang w:val="fi-FI"/>
        </w:rPr>
        <w:t>taan muun muassa kantaa kirjanpitovelvollisen kirjanpidon tasoon, mahdollisiin laimi</w:t>
      </w:r>
      <w:r w:rsidRPr="00682804">
        <w:rPr>
          <w:rFonts w:ascii="Arial" w:hAnsi="Arial" w:cs="Arial"/>
          <w:szCs w:val="22"/>
          <w:lang w:val="fi-FI"/>
        </w:rPr>
        <w:t>n</w:t>
      </w:r>
      <w:r w:rsidRPr="00682804">
        <w:rPr>
          <w:rFonts w:ascii="Arial" w:hAnsi="Arial" w:cs="Arial"/>
          <w:szCs w:val="22"/>
          <w:lang w:val="fi-FI"/>
        </w:rPr>
        <w:t>lyönteihin ja epätavanomaisiin varallisuussiirtoihin, jotka tekoina saattavat tulla myöhe</w:t>
      </w:r>
      <w:r w:rsidRPr="00682804">
        <w:rPr>
          <w:rFonts w:ascii="Arial" w:hAnsi="Arial" w:cs="Arial"/>
          <w:szCs w:val="22"/>
          <w:lang w:val="fi-FI"/>
        </w:rPr>
        <w:t>m</w:t>
      </w:r>
      <w:r w:rsidRPr="00682804">
        <w:rPr>
          <w:rFonts w:ascii="Arial" w:hAnsi="Arial" w:cs="Arial"/>
          <w:szCs w:val="22"/>
          <w:lang w:val="fi-FI"/>
        </w:rPr>
        <w:t>min arvioitaviksi esimerkiksi kirjanpitorikoksina ja konkurssirikoksina. Lisäksi kansainväl</w:t>
      </w:r>
      <w:r w:rsidRPr="00682804">
        <w:rPr>
          <w:rFonts w:ascii="Arial" w:hAnsi="Arial" w:cs="Arial"/>
          <w:szCs w:val="22"/>
          <w:lang w:val="fi-FI"/>
        </w:rPr>
        <w:t>i</w:t>
      </w:r>
      <w:r w:rsidRPr="00682804">
        <w:rPr>
          <w:rFonts w:ascii="Arial" w:hAnsi="Arial" w:cs="Arial"/>
          <w:szCs w:val="22"/>
          <w:lang w:val="fi-FI"/>
        </w:rPr>
        <w:t xml:space="preserve">sen </w:t>
      </w:r>
      <w:proofErr w:type="spellStart"/>
      <w:r w:rsidRPr="00682804">
        <w:rPr>
          <w:rFonts w:ascii="Arial" w:hAnsi="Arial" w:cs="Arial"/>
          <w:szCs w:val="22"/>
          <w:lang w:val="fi-FI"/>
        </w:rPr>
        <w:t>ISA-tilintarkastusstandardin</w:t>
      </w:r>
      <w:proofErr w:type="spellEnd"/>
      <w:r w:rsidRPr="00682804">
        <w:rPr>
          <w:rFonts w:ascii="Arial" w:hAnsi="Arial" w:cs="Arial"/>
          <w:szCs w:val="22"/>
          <w:lang w:val="fi-FI"/>
        </w:rPr>
        <w:t xml:space="preserve"> 200 ja 240 luvut säätelevät lakisääteiseen tilintarkastu</w:t>
      </w:r>
      <w:r w:rsidRPr="00682804">
        <w:rPr>
          <w:rFonts w:ascii="Arial" w:hAnsi="Arial" w:cs="Arial"/>
          <w:szCs w:val="22"/>
          <w:lang w:val="fi-FI"/>
        </w:rPr>
        <w:t>k</w:t>
      </w:r>
      <w:r w:rsidRPr="00682804">
        <w:rPr>
          <w:rFonts w:ascii="Arial" w:hAnsi="Arial" w:cs="Arial"/>
          <w:szCs w:val="22"/>
          <w:lang w:val="fi-FI"/>
        </w:rPr>
        <w:t>seen liittyvistä tilintarkastajan velvollisuuksista väärinkäytöstilanteissa.</w:t>
      </w:r>
    </w:p>
    <w:p w:rsidR="002342BA" w:rsidRPr="00682804" w:rsidRDefault="002342BA" w:rsidP="00891427">
      <w:pPr>
        <w:pStyle w:val="Leipteksti"/>
        <w:ind w:left="1134"/>
        <w:rPr>
          <w:rFonts w:ascii="Arial" w:hAnsi="Arial" w:cs="Arial"/>
          <w:szCs w:val="22"/>
          <w:lang w:val="fi-FI"/>
        </w:rPr>
      </w:pPr>
      <w:r w:rsidRPr="00682804">
        <w:rPr>
          <w:rFonts w:ascii="Arial" w:hAnsi="Arial" w:cs="Arial"/>
          <w:szCs w:val="22"/>
          <w:lang w:val="fi-FI"/>
        </w:rPr>
        <w:t>Lain yksityisistä turvallisuuspalveluista mukaan vartioimisliiketoiminnasta on kysymys a</w:t>
      </w:r>
      <w:r w:rsidRPr="00682804">
        <w:rPr>
          <w:rFonts w:ascii="Arial" w:hAnsi="Arial" w:cs="Arial"/>
          <w:szCs w:val="22"/>
          <w:lang w:val="fi-FI"/>
        </w:rPr>
        <w:t>i</w:t>
      </w:r>
      <w:r w:rsidRPr="00682804">
        <w:rPr>
          <w:rFonts w:ascii="Arial" w:hAnsi="Arial" w:cs="Arial"/>
          <w:szCs w:val="22"/>
          <w:lang w:val="fi-FI"/>
        </w:rPr>
        <w:t>noastaan silloin, kun kaikki kolme vartioimisliiketoiminnan kriteeriä täyttyvät: ansiotarko</w:t>
      </w:r>
      <w:r w:rsidRPr="00682804">
        <w:rPr>
          <w:rFonts w:ascii="Arial" w:hAnsi="Arial" w:cs="Arial"/>
          <w:szCs w:val="22"/>
          <w:lang w:val="fi-FI"/>
        </w:rPr>
        <w:t>i</w:t>
      </w:r>
      <w:r w:rsidRPr="00682804">
        <w:rPr>
          <w:rFonts w:ascii="Arial" w:hAnsi="Arial" w:cs="Arial"/>
          <w:szCs w:val="22"/>
          <w:lang w:val="fi-FI"/>
        </w:rPr>
        <w:t>tus, toimeksiantosopimus ja vartioimistehtävän suorittaminen. Lain tiukan tulkinnan m</w:t>
      </w:r>
      <w:r w:rsidRPr="00682804">
        <w:rPr>
          <w:rFonts w:ascii="Arial" w:hAnsi="Arial" w:cs="Arial"/>
          <w:szCs w:val="22"/>
          <w:lang w:val="fi-FI"/>
        </w:rPr>
        <w:t>u</w:t>
      </w:r>
      <w:r w:rsidRPr="00682804">
        <w:rPr>
          <w:rFonts w:ascii="Arial" w:hAnsi="Arial" w:cs="Arial"/>
          <w:szCs w:val="22"/>
          <w:lang w:val="fi-FI"/>
        </w:rPr>
        <w:t>kaan tällainen tilanne saattaisi olla kyseessä esimerkiksi edellä kuvatussa konkurss</w:t>
      </w:r>
      <w:r w:rsidRPr="00682804">
        <w:rPr>
          <w:rFonts w:ascii="Arial" w:hAnsi="Arial" w:cs="Arial"/>
          <w:szCs w:val="22"/>
          <w:lang w:val="fi-FI"/>
        </w:rPr>
        <w:t>i</w:t>
      </w:r>
      <w:r w:rsidRPr="00682804">
        <w:rPr>
          <w:rFonts w:ascii="Arial" w:hAnsi="Arial" w:cs="Arial"/>
          <w:szCs w:val="22"/>
          <w:lang w:val="fi-FI"/>
        </w:rPr>
        <w:t>pesänhoitajan antamassa erityistarkastusta koskevassa toimeksiannossa, konkurssi</w:t>
      </w:r>
      <w:r w:rsidR="00891427">
        <w:rPr>
          <w:rFonts w:ascii="Arial" w:hAnsi="Arial" w:cs="Arial"/>
          <w:szCs w:val="22"/>
          <w:lang w:val="fi-FI"/>
        </w:rPr>
        <w:t>-</w:t>
      </w:r>
      <w:r w:rsidRPr="00682804">
        <w:rPr>
          <w:rFonts w:ascii="Arial" w:hAnsi="Arial" w:cs="Arial"/>
          <w:szCs w:val="22"/>
          <w:lang w:val="fi-FI"/>
        </w:rPr>
        <w:t>asiamiehen esityksestä tuomioistuimen määräämässä julkisselvityksessä tai Patentti- ja rekisterihallituksen tilaamassa säätiön erityistarkastuksessa. Tällöin saattaa olla tiedossa jo toimeksiannon alkuvaiheessa, että kyseiseen konkurssipesään tai tarkastettavana ol</w:t>
      </w:r>
      <w:r w:rsidRPr="00682804">
        <w:rPr>
          <w:rFonts w:ascii="Arial" w:hAnsi="Arial" w:cs="Arial"/>
          <w:szCs w:val="22"/>
          <w:lang w:val="fi-FI"/>
        </w:rPr>
        <w:t>e</w:t>
      </w:r>
      <w:r w:rsidRPr="00682804">
        <w:rPr>
          <w:rFonts w:ascii="Arial" w:hAnsi="Arial" w:cs="Arial"/>
          <w:szCs w:val="22"/>
          <w:lang w:val="fi-FI"/>
        </w:rPr>
        <w:t>van säätiön toimintaan liittyy mahdollisia väärinkäytöksiä, jolloin yksi erityistarkastuksen ja julkisselvityksen osa-alue on käytännössä mahdollisten rikosten paljastaminen. Yks</w:t>
      </w:r>
      <w:r w:rsidRPr="00682804">
        <w:rPr>
          <w:rFonts w:ascii="Arial" w:hAnsi="Arial" w:cs="Arial"/>
          <w:szCs w:val="22"/>
          <w:lang w:val="fi-FI"/>
        </w:rPr>
        <w:t>i</w:t>
      </w:r>
      <w:r w:rsidRPr="00682804">
        <w:rPr>
          <w:rFonts w:ascii="Arial" w:hAnsi="Arial" w:cs="Arial"/>
          <w:szCs w:val="22"/>
          <w:lang w:val="fi-FI"/>
        </w:rPr>
        <w:t>tyisistä turvallisuuspalveluista annetun lain tarkoitus on tuskin ollut saattaa kyseistä ta</w:t>
      </w:r>
      <w:r w:rsidRPr="00682804">
        <w:rPr>
          <w:rFonts w:ascii="Arial" w:hAnsi="Arial" w:cs="Arial"/>
          <w:szCs w:val="22"/>
          <w:lang w:val="fi-FI"/>
        </w:rPr>
        <w:t>r</w:t>
      </w:r>
      <w:r w:rsidRPr="00682804">
        <w:rPr>
          <w:rFonts w:ascii="Arial" w:hAnsi="Arial" w:cs="Arial"/>
          <w:szCs w:val="22"/>
          <w:lang w:val="fi-FI"/>
        </w:rPr>
        <w:t>kastustoimintaa luvanvaraiseksi vartioimisliiketoiminnaksi.</w:t>
      </w:r>
    </w:p>
    <w:p w:rsidR="002342BA" w:rsidRPr="00682804" w:rsidRDefault="002342BA" w:rsidP="00891427">
      <w:pPr>
        <w:pStyle w:val="Leipteksti"/>
        <w:ind w:left="1134"/>
        <w:rPr>
          <w:rFonts w:ascii="Arial" w:hAnsi="Arial" w:cs="Arial"/>
          <w:szCs w:val="22"/>
          <w:lang w:val="fi-FI"/>
        </w:rPr>
      </w:pPr>
      <w:r w:rsidRPr="00682804">
        <w:rPr>
          <w:rFonts w:ascii="Arial" w:hAnsi="Arial" w:cs="Arial"/>
          <w:szCs w:val="22"/>
          <w:lang w:val="fi-FI"/>
        </w:rPr>
        <w:t>Tilintarkastusyhteisöt tekevät edellä mainittuja erityisiä tarkastuksia ja niiden lisäksi osa tilintarkastusyhteisöistä tarjoaa taloudellisten väärinkäytösten torjuntapalveluita, niin ku</w:t>
      </w:r>
      <w:r w:rsidRPr="00682804">
        <w:rPr>
          <w:rFonts w:ascii="Arial" w:hAnsi="Arial" w:cs="Arial"/>
          <w:szCs w:val="22"/>
          <w:lang w:val="fi-FI"/>
        </w:rPr>
        <w:t>t</w:t>
      </w:r>
      <w:r w:rsidRPr="00682804">
        <w:rPr>
          <w:rFonts w:ascii="Arial" w:hAnsi="Arial" w:cs="Arial"/>
          <w:szCs w:val="22"/>
          <w:lang w:val="fi-FI"/>
        </w:rPr>
        <w:t xml:space="preserve">suttuja </w:t>
      </w:r>
      <w:proofErr w:type="spellStart"/>
      <w:r w:rsidRPr="00682804">
        <w:rPr>
          <w:rFonts w:ascii="Arial" w:hAnsi="Arial" w:cs="Arial"/>
          <w:szCs w:val="22"/>
          <w:lang w:val="fi-FI"/>
        </w:rPr>
        <w:t>forensic-palveluita</w:t>
      </w:r>
      <w:proofErr w:type="spellEnd"/>
      <w:r w:rsidRPr="00682804">
        <w:rPr>
          <w:rFonts w:ascii="Arial" w:hAnsi="Arial" w:cs="Arial"/>
          <w:szCs w:val="22"/>
          <w:lang w:val="fi-FI"/>
        </w:rPr>
        <w:t xml:space="preserve">. </w:t>
      </w:r>
    </w:p>
    <w:p w:rsidR="002342BA" w:rsidRPr="00682804" w:rsidRDefault="002342BA" w:rsidP="00891427">
      <w:pPr>
        <w:pStyle w:val="Leipteksti"/>
        <w:ind w:left="1080" w:firstLine="54"/>
        <w:rPr>
          <w:rFonts w:ascii="Arial" w:hAnsi="Arial" w:cs="Arial"/>
          <w:szCs w:val="22"/>
          <w:lang w:val="fi-FI"/>
        </w:rPr>
      </w:pPr>
      <w:proofErr w:type="spellStart"/>
      <w:r w:rsidRPr="00682804">
        <w:rPr>
          <w:rFonts w:ascii="Arial" w:hAnsi="Arial" w:cs="Arial"/>
          <w:szCs w:val="22"/>
          <w:lang w:val="fi-FI"/>
        </w:rPr>
        <w:t>Forensic-palvelut</w:t>
      </w:r>
      <w:proofErr w:type="spellEnd"/>
      <w:r w:rsidRPr="00682804">
        <w:rPr>
          <w:rFonts w:ascii="Arial" w:hAnsi="Arial" w:cs="Arial"/>
          <w:szCs w:val="22"/>
          <w:lang w:val="fi-FI"/>
        </w:rPr>
        <w:t xml:space="preserve"> voidaan yleisesti jakaa kolmeen pääalueeseen: </w:t>
      </w:r>
    </w:p>
    <w:p w:rsidR="002342BA" w:rsidRPr="00682804" w:rsidRDefault="002342BA" w:rsidP="00426F05">
      <w:pPr>
        <w:pStyle w:val="Leipteksti"/>
        <w:ind w:left="2160"/>
        <w:rPr>
          <w:rFonts w:ascii="Arial" w:hAnsi="Arial" w:cs="Arial"/>
          <w:szCs w:val="22"/>
          <w:lang w:val="fi-FI"/>
        </w:rPr>
      </w:pPr>
      <w:r w:rsidRPr="00682804">
        <w:rPr>
          <w:rFonts w:ascii="Arial" w:hAnsi="Arial" w:cs="Arial"/>
          <w:szCs w:val="22"/>
          <w:lang w:val="fi-FI"/>
        </w:rPr>
        <w:t>a)</w:t>
      </w:r>
      <w:r w:rsidRPr="00682804">
        <w:rPr>
          <w:rFonts w:ascii="Arial" w:hAnsi="Arial" w:cs="Arial"/>
          <w:szCs w:val="22"/>
          <w:lang w:val="fi-FI"/>
        </w:rPr>
        <w:tab/>
        <w:t>väärinkäytösriskien tunnistaminen, arviointi ja hallinnan suunnittelu,</w:t>
      </w:r>
    </w:p>
    <w:p w:rsidR="002342BA" w:rsidRPr="00682804" w:rsidRDefault="00682804" w:rsidP="00426F05">
      <w:pPr>
        <w:pStyle w:val="Leipteksti"/>
        <w:ind w:left="1936" w:firstLine="224"/>
        <w:rPr>
          <w:rFonts w:ascii="Arial" w:hAnsi="Arial" w:cs="Arial"/>
          <w:szCs w:val="22"/>
          <w:lang w:val="fi-FI"/>
        </w:rPr>
      </w:pPr>
      <w:r>
        <w:rPr>
          <w:rFonts w:ascii="Arial" w:hAnsi="Arial" w:cs="Arial"/>
          <w:szCs w:val="22"/>
          <w:lang w:val="fi-FI"/>
        </w:rPr>
        <w:t>b)</w:t>
      </w:r>
      <w:r>
        <w:rPr>
          <w:rFonts w:ascii="Arial" w:hAnsi="Arial" w:cs="Arial"/>
          <w:szCs w:val="22"/>
          <w:lang w:val="fi-FI"/>
        </w:rPr>
        <w:tab/>
      </w:r>
      <w:r w:rsidR="002342BA" w:rsidRPr="00682804">
        <w:rPr>
          <w:rFonts w:ascii="Arial" w:hAnsi="Arial" w:cs="Arial"/>
          <w:szCs w:val="22"/>
          <w:lang w:val="fi-FI"/>
        </w:rPr>
        <w:t>yhtiöiden johdon tukeminen epäiltyjen väärinkäytösten selvittämisessä ja</w:t>
      </w:r>
    </w:p>
    <w:p w:rsidR="002342BA" w:rsidRPr="00682804" w:rsidRDefault="002342BA" w:rsidP="0072362E">
      <w:pPr>
        <w:pStyle w:val="Leipteksti"/>
        <w:ind w:left="1712" w:firstLine="448"/>
        <w:rPr>
          <w:rFonts w:ascii="Arial" w:hAnsi="Arial" w:cs="Arial"/>
          <w:szCs w:val="22"/>
          <w:lang w:val="fi-FI"/>
        </w:rPr>
      </w:pPr>
      <w:r w:rsidRPr="00682804">
        <w:rPr>
          <w:rFonts w:ascii="Arial" w:hAnsi="Arial" w:cs="Arial"/>
          <w:szCs w:val="22"/>
          <w:lang w:val="fi-FI"/>
        </w:rPr>
        <w:t>c)</w:t>
      </w:r>
      <w:r w:rsidRPr="00682804">
        <w:rPr>
          <w:rFonts w:ascii="Arial" w:hAnsi="Arial" w:cs="Arial"/>
          <w:szCs w:val="22"/>
          <w:lang w:val="fi-FI"/>
        </w:rPr>
        <w:tab/>
        <w:t>rekrytointiin ja alihankintaan liittyvät taustaselvitykset julkisista lähteistä.</w:t>
      </w:r>
    </w:p>
    <w:p w:rsidR="002342BA" w:rsidRPr="00682804" w:rsidRDefault="002342BA" w:rsidP="00891427">
      <w:pPr>
        <w:pStyle w:val="Leipteksti"/>
        <w:ind w:left="1134"/>
        <w:rPr>
          <w:rFonts w:ascii="Arial" w:hAnsi="Arial" w:cs="Arial"/>
          <w:szCs w:val="22"/>
          <w:lang w:val="fi-FI"/>
        </w:rPr>
      </w:pPr>
      <w:r w:rsidRPr="00682804">
        <w:rPr>
          <w:rFonts w:ascii="Arial" w:hAnsi="Arial" w:cs="Arial"/>
          <w:szCs w:val="22"/>
          <w:lang w:val="fi-FI"/>
        </w:rPr>
        <w:t>Kohdassa a) mainittu toiminta on käytännön tasolla ennaltaehkäisevää toimintaa, jonka tarkoituksena on tunnistaa yrityksen liiketoiminnan kannalta merkitykselliset väärinkäytö</w:t>
      </w:r>
      <w:r w:rsidRPr="00682804">
        <w:rPr>
          <w:rFonts w:ascii="Arial" w:hAnsi="Arial" w:cs="Arial"/>
          <w:szCs w:val="22"/>
          <w:lang w:val="fi-FI"/>
        </w:rPr>
        <w:t>s</w:t>
      </w:r>
      <w:r w:rsidRPr="00682804">
        <w:rPr>
          <w:rFonts w:ascii="Arial" w:hAnsi="Arial" w:cs="Arial"/>
          <w:szCs w:val="22"/>
          <w:lang w:val="fi-FI"/>
        </w:rPr>
        <w:t>riskit, arvioida ne sekä suunnitella niihin liittyvät sisäiset ja ulkoiset kontrollit ja muut ri</w:t>
      </w:r>
      <w:r w:rsidRPr="00682804">
        <w:rPr>
          <w:rFonts w:ascii="Arial" w:hAnsi="Arial" w:cs="Arial"/>
          <w:szCs w:val="22"/>
          <w:lang w:val="fi-FI"/>
        </w:rPr>
        <w:t>s</w:t>
      </w:r>
      <w:r w:rsidRPr="00682804">
        <w:rPr>
          <w:rFonts w:ascii="Arial" w:hAnsi="Arial" w:cs="Arial"/>
          <w:szCs w:val="22"/>
          <w:lang w:val="fi-FI"/>
        </w:rPr>
        <w:t xml:space="preserve">kienhallintatoimenpiteet. </w:t>
      </w:r>
    </w:p>
    <w:p w:rsidR="002342BA" w:rsidRPr="00682804" w:rsidRDefault="002342BA" w:rsidP="00891427">
      <w:pPr>
        <w:pStyle w:val="Leipteksti"/>
        <w:ind w:left="1134" w:firstLine="54"/>
        <w:rPr>
          <w:rFonts w:ascii="Arial" w:hAnsi="Arial" w:cs="Arial"/>
          <w:szCs w:val="22"/>
          <w:lang w:val="fi-FI"/>
        </w:rPr>
      </w:pPr>
      <w:r w:rsidRPr="00682804">
        <w:rPr>
          <w:rFonts w:ascii="Arial" w:hAnsi="Arial" w:cs="Arial"/>
          <w:szCs w:val="22"/>
          <w:lang w:val="fi-FI"/>
        </w:rPr>
        <w:t>Kohdassa b) mainittu toiminta on asiantuntija-avun antamista yhtiön johdolle, kun yhtiö</w:t>
      </w:r>
      <w:r w:rsidRPr="00682804">
        <w:rPr>
          <w:rFonts w:ascii="Arial" w:hAnsi="Arial" w:cs="Arial"/>
          <w:szCs w:val="22"/>
          <w:lang w:val="fi-FI"/>
        </w:rPr>
        <w:t>s</w:t>
      </w:r>
      <w:r w:rsidRPr="00682804">
        <w:rPr>
          <w:rFonts w:ascii="Arial" w:hAnsi="Arial" w:cs="Arial"/>
          <w:szCs w:val="22"/>
          <w:lang w:val="fi-FI"/>
        </w:rPr>
        <w:t>sä epäillään mahdollista väärinkäytöstä. Käytännössä se tarkoittaa yhtiön johdon avu</w:t>
      </w:r>
      <w:r w:rsidRPr="00682804">
        <w:rPr>
          <w:rFonts w:ascii="Arial" w:hAnsi="Arial" w:cs="Arial"/>
          <w:szCs w:val="22"/>
          <w:lang w:val="fi-FI"/>
        </w:rPr>
        <w:t>s</w:t>
      </w:r>
      <w:r w:rsidRPr="00682804">
        <w:rPr>
          <w:rFonts w:ascii="Arial" w:hAnsi="Arial" w:cs="Arial"/>
          <w:szCs w:val="22"/>
          <w:lang w:val="fi-FI"/>
        </w:rPr>
        <w:t>tamista tilanteen arvioinnissa, selvitystyön suunnittelussa sekä esimerkiksi avainhenkilö</w:t>
      </w:r>
      <w:r w:rsidRPr="00682804">
        <w:rPr>
          <w:rFonts w:ascii="Arial" w:hAnsi="Arial" w:cs="Arial"/>
          <w:szCs w:val="22"/>
          <w:lang w:val="fi-FI"/>
        </w:rPr>
        <w:t>i</w:t>
      </w:r>
      <w:r w:rsidRPr="00682804">
        <w:rPr>
          <w:rFonts w:ascii="Arial" w:hAnsi="Arial" w:cs="Arial"/>
          <w:szCs w:val="22"/>
          <w:lang w:val="fi-FI"/>
        </w:rPr>
        <w:t>den haastattelemista. Väärinkäytöksellä tarkoitetaan tässä yhteydessä kaikkia niitä to</w:t>
      </w:r>
      <w:r w:rsidRPr="00682804">
        <w:rPr>
          <w:rFonts w:ascii="Arial" w:hAnsi="Arial" w:cs="Arial"/>
          <w:szCs w:val="22"/>
          <w:lang w:val="fi-FI"/>
        </w:rPr>
        <w:t>i</w:t>
      </w:r>
      <w:r w:rsidRPr="00682804">
        <w:rPr>
          <w:rFonts w:ascii="Arial" w:hAnsi="Arial" w:cs="Arial"/>
          <w:szCs w:val="22"/>
          <w:lang w:val="fi-FI"/>
        </w:rPr>
        <w:t>mia, jotka kukin yhtiö on itse väärinkäytökseksi määritellyt. Asiantuntija-apu on rajoitettu yhtiön johdon päätöksentekoa tukevaksi toiminnaksi.</w:t>
      </w:r>
    </w:p>
    <w:p w:rsidR="002342BA" w:rsidRPr="00682804" w:rsidRDefault="002342BA" w:rsidP="00891427">
      <w:pPr>
        <w:pStyle w:val="Leipteksti"/>
        <w:ind w:left="1134"/>
        <w:rPr>
          <w:rFonts w:ascii="Arial" w:hAnsi="Arial" w:cs="Arial"/>
          <w:szCs w:val="22"/>
          <w:lang w:val="fi-FI"/>
        </w:rPr>
      </w:pPr>
      <w:r w:rsidRPr="00682804">
        <w:rPr>
          <w:rFonts w:ascii="Arial" w:hAnsi="Arial" w:cs="Arial"/>
          <w:szCs w:val="22"/>
          <w:lang w:val="fi-FI"/>
        </w:rPr>
        <w:t>Kohdassa c) mainittu toiminta tarkoittaa yhtiön johdon päätöksentekoa tukevaa toimintaa, jossa tarkoituksenmukaisella tasolla selvitetään työnhakijoiden ja alihankkijoiden talo</w:t>
      </w:r>
      <w:r w:rsidRPr="00682804">
        <w:rPr>
          <w:rFonts w:ascii="Arial" w:hAnsi="Arial" w:cs="Arial"/>
          <w:szCs w:val="22"/>
          <w:lang w:val="fi-FI"/>
        </w:rPr>
        <w:t>u</w:t>
      </w:r>
      <w:r w:rsidRPr="00682804">
        <w:rPr>
          <w:rFonts w:ascii="Arial" w:hAnsi="Arial" w:cs="Arial"/>
          <w:szCs w:val="22"/>
          <w:lang w:val="fi-FI"/>
        </w:rPr>
        <w:t>dellista ja muuta taustaa lainsäädännön sallimissa puitteissa julkisista lähteistä.</w:t>
      </w:r>
    </w:p>
    <w:p w:rsidR="0072362E" w:rsidRDefault="002342BA" w:rsidP="00891427">
      <w:pPr>
        <w:pStyle w:val="Leipteksti"/>
        <w:ind w:left="1134"/>
        <w:rPr>
          <w:rFonts w:ascii="Arial" w:hAnsi="Arial" w:cs="Arial"/>
          <w:szCs w:val="22"/>
          <w:lang w:val="fi-FI"/>
        </w:rPr>
      </w:pPr>
      <w:proofErr w:type="spellStart"/>
      <w:r w:rsidRPr="00682804">
        <w:rPr>
          <w:rFonts w:ascii="Arial" w:hAnsi="Arial" w:cs="Arial"/>
          <w:szCs w:val="22"/>
          <w:lang w:val="fi-FI"/>
        </w:rPr>
        <w:t>Forensic-palveluiden</w:t>
      </w:r>
      <w:proofErr w:type="spellEnd"/>
      <w:r w:rsidRPr="00682804">
        <w:rPr>
          <w:rFonts w:ascii="Arial" w:hAnsi="Arial" w:cs="Arial"/>
          <w:szCs w:val="22"/>
          <w:lang w:val="fi-FI"/>
        </w:rPr>
        <w:t xml:space="preserve"> on katsottu liittyvän </w:t>
      </w:r>
      <w:proofErr w:type="spellStart"/>
      <w:r w:rsidRPr="00682804">
        <w:rPr>
          <w:rFonts w:ascii="Arial" w:hAnsi="Arial" w:cs="Arial"/>
          <w:szCs w:val="22"/>
          <w:lang w:val="fi-FI"/>
        </w:rPr>
        <w:t>tilintarkastustoimeksiantoihin</w:t>
      </w:r>
      <w:proofErr w:type="spellEnd"/>
      <w:r w:rsidRPr="00682804">
        <w:rPr>
          <w:rFonts w:ascii="Arial" w:hAnsi="Arial" w:cs="Arial"/>
          <w:szCs w:val="22"/>
          <w:lang w:val="fi-FI"/>
        </w:rPr>
        <w:t xml:space="preserve"> tai olevan ns. s</w:t>
      </w:r>
      <w:r w:rsidRPr="00682804">
        <w:rPr>
          <w:rFonts w:ascii="Arial" w:hAnsi="Arial" w:cs="Arial"/>
          <w:szCs w:val="22"/>
          <w:lang w:val="fi-FI"/>
        </w:rPr>
        <w:t>i</w:t>
      </w:r>
      <w:r w:rsidRPr="00682804">
        <w:rPr>
          <w:rFonts w:ascii="Arial" w:hAnsi="Arial" w:cs="Arial"/>
          <w:szCs w:val="22"/>
          <w:lang w:val="fi-FI"/>
        </w:rPr>
        <w:t>säisen tarkastuksen toimeksiantoja, joista on säädetty muun muassa seuraavassa ka</w:t>
      </w:r>
      <w:r w:rsidRPr="00682804">
        <w:rPr>
          <w:rFonts w:ascii="Arial" w:hAnsi="Arial" w:cs="Arial"/>
          <w:szCs w:val="22"/>
          <w:lang w:val="fi-FI"/>
        </w:rPr>
        <w:t>p</w:t>
      </w:r>
      <w:r w:rsidRPr="00682804">
        <w:rPr>
          <w:rFonts w:ascii="Arial" w:hAnsi="Arial" w:cs="Arial"/>
          <w:szCs w:val="22"/>
          <w:lang w:val="fi-FI"/>
        </w:rPr>
        <w:t>paleessa kuvatuilla ammatillisilla standardeilla.</w:t>
      </w:r>
    </w:p>
    <w:p w:rsidR="002342BA" w:rsidRPr="00682804" w:rsidRDefault="0072362E" w:rsidP="0072362E">
      <w:pPr>
        <w:rPr>
          <w:rFonts w:ascii="Arial" w:hAnsi="Arial" w:cs="Arial"/>
          <w:sz w:val="22"/>
          <w:szCs w:val="22"/>
          <w:lang w:eastAsia="en-US"/>
        </w:rPr>
      </w:pPr>
      <w:r>
        <w:rPr>
          <w:rFonts w:ascii="Arial" w:hAnsi="Arial" w:cs="Arial"/>
          <w:szCs w:val="22"/>
        </w:rPr>
        <w:br w:type="page"/>
      </w:r>
    </w:p>
    <w:p w:rsidR="002342BA" w:rsidRPr="00682804" w:rsidRDefault="00D87552" w:rsidP="00426F05">
      <w:pPr>
        <w:pStyle w:val="Leipteksti"/>
        <w:numPr>
          <w:ilvl w:val="0"/>
          <w:numId w:val="7"/>
        </w:numPr>
        <w:spacing w:before="0" w:after="180" w:line="240" w:lineRule="atLeast"/>
        <w:ind w:left="1080"/>
        <w:rPr>
          <w:rFonts w:ascii="Arial" w:hAnsi="Arial" w:cs="Arial"/>
          <w:b/>
          <w:szCs w:val="22"/>
          <w:lang w:val="fi-FI"/>
        </w:rPr>
      </w:pPr>
      <w:r>
        <w:rPr>
          <w:rFonts w:ascii="Arial" w:hAnsi="Arial" w:cs="Arial"/>
          <w:b/>
          <w:szCs w:val="22"/>
          <w:lang w:val="fi-FI"/>
        </w:rPr>
        <w:lastRenderedPageBreak/>
        <w:t>KHT-YHTEISÖJÄ</w:t>
      </w:r>
      <w:r w:rsidR="00682804" w:rsidRPr="00682804">
        <w:rPr>
          <w:rFonts w:ascii="Arial" w:hAnsi="Arial" w:cs="Arial"/>
          <w:b/>
          <w:szCs w:val="22"/>
          <w:lang w:val="fi-FI"/>
        </w:rPr>
        <w:t xml:space="preserve"> KOSKEVA SÄÄNTELY JA VALVONTA</w:t>
      </w:r>
    </w:p>
    <w:p w:rsidR="002342BA" w:rsidRPr="00682804" w:rsidRDefault="002342BA" w:rsidP="00891427">
      <w:pPr>
        <w:pStyle w:val="Leipteksti"/>
        <w:ind w:left="1134"/>
        <w:rPr>
          <w:rFonts w:ascii="Arial" w:hAnsi="Arial" w:cs="Arial"/>
          <w:szCs w:val="22"/>
          <w:lang w:val="fi-FI"/>
        </w:rPr>
      </w:pPr>
      <w:r w:rsidRPr="00682804">
        <w:rPr>
          <w:rFonts w:ascii="Arial" w:hAnsi="Arial" w:cs="Arial"/>
          <w:szCs w:val="22"/>
          <w:lang w:val="fi-FI"/>
        </w:rPr>
        <w:t>Keskuskauppakamarin tilintarkastuslautakunta antaa hyväksynnän KHT-yhteisöksi. KHT-yhteisöjen ja -tilintarkastajien toimintaa valvovat Keskuskauppakamarin tilintarkastusla</w:t>
      </w:r>
      <w:r w:rsidRPr="00682804">
        <w:rPr>
          <w:rFonts w:ascii="Arial" w:hAnsi="Arial" w:cs="Arial"/>
          <w:szCs w:val="22"/>
          <w:lang w:val="fi-FI"/>
        </w:rPr>
        <w:t>u</w:t>
      </w:r>
      <w:r w:rsidRPr="00682804">
        <w:rPr>
          <w:rFonts w:ascii="Arial" w:hAnsi="Arial" w:cs="Arial"/>
          <w:szCs w:val="22"/>
          <w:lang w:val="fi-FI"/>
        </w:rPr>
        <w:t>takunta (TILA) ja valtion tilintarkastuslautakunta (VALA). Tilintarkastajat ovat velvollisia noudattamaan tilintarkastuslakia sekä hyvää tilintarkastustapaa. Keskeisessä asemassa hyvän tilintarkastustavan määrittelyssä ovat</w:t>
      </w:r>
      <w:r w:rsidR="00D87552">
        <w:rPr>
          <w:rFonts w:ascii="Arial" w:hAnsi="Arial" w:cs="Arial"/>
          <w:szCs w:val="22"/>
          <w:lang w:val="fi-FI"/>
        </w:rPr>
        <w:t xml:space="preserve"> kansainväliset tilintarkastusstandardit</w:t>
      </w:r>
      <w:r w:rsidRPr="00682804">
        <w:rPr>
          <w:rFonts w:ascii="Arial" w:hAnsi="Arial" w:cs="Arial"/>
          <w:szCs w:val="22"/>
          <w:lang w:val="fi-FI"/>
        </w:rPr>
        <w:t xml:space="preserve">, jotka </w:t>
      </w:r>
      <w:r w:rsidR="00D87552">
        <w:rPr>
          <w:rFonts w:ascii="Arial" w:hAnsi="Arial" w:cs="Arial"/>
          <w:szCs w:val="22"/>
          <w:lang w:val="fi-FI"/>
        </w:rPr>
        <w:t xml:space="preserve">antaa kansainvälinen tilintarkastajaliitto IFAC </w:t>
      </w:r>
      <w:r w:rsidRPr="00682804">
        <w:rPr>
          <w:rFonts w:ascii="Arial" w:hAnsi="Arial" w:cs="Arial"/>
          <w:szCs w:val="22"/>
          <w:lang w:val="fi-FI"/>
        </w:rPr>
        <w:t xml:space="preserve">(International Federation of </w:t>
      </w:r>
      <w:proofErr w:type="spellStart"/>
      <w:r w:rsidRPr="00682804">
        <w:rPr>
          <w:rFonts w:ascii="Arial" w:hAnsi="Arial" w:cs="Arial"/>
          <w:szCs w:val="22"/>
          <w:lang w:val="fi-FI"/>
        </w:rPr>
        <w:t>Accoun</w:t>
      </w:r>
      <w:r w:rsidR="00D87552">
        <w:rPr>
          <w:rFonts w:ascii="Arial" w:hAnsi="Arial" w:cs="Arial"/>
          <w:szCs w:val="22"/>
          <w:lang w:val="fi-FI"/>
        </w:rPr>
        <w:t>tants</w:t>
      </w:r>
      <w:proofErr w:type="spellEnd"/>
      <w:r w:rsidR="00D87552">
        <w:rPr>
          <w:rFonts w:ascii="Arial" w:hAnsi="Arial" w:cs="Arial"/>
          <w:szCs w:val="22"/>
          <w:lang w:val="fi-FI"/>
        </w:rPr>
        <w:t>)</w:t>
      </w:r>
      <w:r w:rsidRPr="00682804">
        <w:rPr>
          <w:rFonts w:ascii="Arial" w:hAnsi="Arial" w:cs="Arial"/>
          <w:szCs w:val="22"/>
          <w:lang w:val="fi-FI"/>
        </w:rPr>
        <w:t xml:space="preserve">. </w:t>
      </w:r>
    </w:p>
    <w:p w:rsidR="002342BA" w:rsidRPr="00682804" w:rsidRDefault="002342BA" w:rsidP="00891427">
      <w:pPr>
        <w:pStyle w:val="Leipteksti"/>
        <w:ind w:left="1134"/>
        <w:rPr>
          <w:rFonts w:ascii="Arial" w:hAnsi="Arial" w:cs="Arial"/>
          <w:szCs w:val="22"/>
          <w:lang w:val="fi-FI"/>
        </w:rPr>
      </w:pPr>
      <w:r w:rsidRPr="00682804">
        <w:rPr>
          <w:rFonts w:ascii="Arial" w:hAnsi="Arial" w:cs="Arial"/>
          <w:szCs w:val="22"/>
          <w:lang w:val="fi-FI"/>
        </w:rPr>
        <w:t>Lisäksi tilintarkastusyhteisöt ovat suorittaessaan sisäisen tarkastuksen toimeksiantoja velvollisia noudattamaan sisäisen tarkastuksen kansainvälisiä standardeja. Ne on sää</w:t>
      </w:r>
      <w:r w:rsidRPr="00682804">
        <w:rPr>
          <w:rFonts w:ascii="Arial" w:hAnsi="Arial" w:cs="Arial"/>
          <w:szCs w:val="22"/>
          <w:lang w:val="fi-FI"/>
        </w:rPr>
        <w:t>n</w:t>
      </w:r>
      <w:r w:rsidRPr="00682804">
        <w:rPr>
          <w:rFonts w:ascii="Arial" w:hAnsi="Arial" w:cs="Arial"/>
          <w:szCs w:val="22"/>
          <w:lang w:val="fi-FI"/>
        </w:rPr>
        <w:t>nelty yksityiskohtaisesti sisäisen tarkastuksen kansainvälisessä ammatillisessa ohjeistu</w:t>
      </w:r>
      <w:r w:rsidRPr="00682804">
        <w:rPr>
          <w:rFonts w:ascii="Arial" w:hAnsi="Arial" w:cs="Arial"/>
          <w:szCs w:val="22"/>
          <w:lang w:val="fi-FI"/>
        </w:rPr>
        <w:t>k</w:t>
      </w:r>
      <w:r w:rsidRPr="00682804">
        <w:rPr>
          <w:rFonts w:ascii="Arial" w:hAnsi="Arial" w:cs="Arial"/>
          <w:szCs w:val="22"/>
          <w:lang w:val="fi-FI"/>
        </w:rPr>
        <w:t xml:space="preserve">sessa, jonka antaa the Institute of </w:t>
      </w:r>
      <w:proofErr w:type="spellStart"/>
      <w:r w:rsidRPr="00682804">
        <w:rPr>
          <w:rFonts w:ascii="Arial" w:hAnsi="Arial" w:cs="Arial"/>
          <w:szCs w:val="22"/>
          <w:lang w:val="fi-FI"/>
        </w:rPr>
        <w:t>Internal</w:t>
      </w:r>
      <w:proofErr w:type="spellEnd"/>
      <w:r w:rsidRPr="00682804">
        <w:rPr>
          <w:rFonts w:ascii="Arial" w:hAnsi="Arial" w:cs="Arial"/>
          <w:szCs w:val="22"/>
          <w:lang w:val="fi-FI"/>
        </w:rPr>
        <w:t xml:space="preserve"> </w:t>
      </w:r>
      <w:proofErr w:type="spellStart"/>
      <w:r w:rsidRPr="00682804">
        <w:rPr>
          <w:rFonts w:ascii="Arial" w:hAnsi="Arial" w:cs="Arial"/>
          <w:szCs w:val="22"/>
          <w:lang w:val="fi-FI"/>
        </w:rPr>
        <w:t>Auditors</w:t>
      </w:r>
      <w:proofErr w:type="spellEnd"/>
      <w:r w:rsidRPr="00682804">
        <w:rPr>
          <w:rFonts w:ascii="Arial" w:hAnsi="Arial" w:cs="Arial"/>
          <w:szCs w:val="22"/>
          <w:lang w:val="fi-FI"/>
        </w:rPr>
        <w:t>.</w:t>
      </w:r>
    </w:p>
    <w:p w:rsidR="002342BA" w:rsidRPr="00682804" w:rsidRDefault="002342BA" w:rsidP="00426F05">
      <w:pPr>
        <w:pStyle w:val="Leipteksti"/>
        <w:ind w:left="720"/>
        <w:rPr>
          <w:rFonts w:ascii="Arial" w:hAnsi="Arial" w:cs="Arial"/>
          <w:szCs w:val="22"/>
          <w:lang w:val="fi-FI"/>
        </w:rPr>
      </w:pPr>
    </w:p>
    <w:p w:rsidR="002342BA" w:rsidRPr="00682804" w:rsidRDefault="00682804" w:rsidP="00426F05">
      <w:pPr>
        <w:pStyle w:val="Leipteksti"/>
        <w:numPr>
          <w:ilvl w:val="0"/>
          <w:numId w:val="7"/>
        </w:numPr>
        <w:spacing w:before="0" w:after="180" w:line="240" w:lineRule="atLeast"/>
        <w:ind w:left="1080"/>
        <w:rPr>
          <w:rFonts w:ascii="Arial" w:hAnsi="Arial" w:cs="Arial"/>
          <w:b/>
          <w:szCs w:val="22"/>
        </w:rPr>
      </w:pPr>
      <w:r>
        <w:rPr>
          <w:rFonts w:ascii="Arial" w:hAnsi="Arial" w:cs="Arial"/>
          <w:b/>
          <w:szCs w:val="22"/>
        </w:rPr>
        <w:t>LAUSUNTO</w:t>
      </w:r>
      <w:r w:rsidR="00891427">
        <w:rPr>
          <w:rFonts w:ascii="Arial" w:hAnsi="Arial" w:cs="Arial"/>
          <w:b/>
          <w:szCs w:val="22"/>
        </w:rPr>
        <w:t>ESITYS</w:t>
      </w:r>
    </w:p>
    <w:p w:rsidR="002342BA" w:rsidRPr="00682804" w:rsidRDefault="002342BA" w:rsidP="00891427">
      <w:pPr>
        <w:pStyle w:val="Leipteksti"/>
        <w:ind w:left="1134"/>
        <w:rPr>
          <w:rFonts w:ascii="Arial" w:hAnsi="Arial" w:cs="Arial"/>
          <w:szCs w:val="22"/>
          <w:lang w:val="fi-FI"/>
        </w:rPr>
      </w:pPr>
      <w:r w:rsidRPr="00682804">
        <w:rPr>
          <w:rFonts w:ascii="Arial" w:hAnsi="Arial" w:cs="Arial"/>
          <w:szCs w:val="22"/>
          <w:lang w:val="fi-FI"/>
        </w:rPr>
        <w:t xml:space="preserve">Esitämme lausuntonamme, että yksityisistä turvallisuuspalveluista annetun lain (12.4.2002/282) uudistustyössä tilintarkastusyhteisöt tulee rinnastaa asianajotoimintaan verrattavaan muuhun toimintaan, joka ei ole vartioimisliiketoimintaa, </w:t>
      </w:r>
      <w:r w:rsidR="00D87552">
        <w:rPr>
          <w:rFonts w:ascii="Arial" w:hAnsi="Arial" w:cs="Arial"/>
          <w:szCs w:val="22"/>
          <w:lang w:val="fi-FI"/>
        </w:rPr>
        <w:t>tilintarkastus</w:t>
      </w:r>
      <w:r w:rsidRPr="00682804">
        <w:rPr>
          <w:rFonts w:ascii="Arial" w:hAnsi="Arial" w:cs="Arial"/>
          <w:szCs w:val="22"/>
          <w:lang w:val="fi-FI"/>
        </w:rPr>
        <w:t>yhteis</w:t>
      </w:r>
      <w:r w:rsidRPr="00682804">
        <w:rPr>
          <w:rFonts w:ascii="Arial" w:hAnsi="Arial" w:cs="Arial"/>
          <w:szCs w:val="22"/>
          <w:lang w:val="fi-FI"/>
        </w:rPr>
        <w:t>ö</w:t>
      </w:r>
      <w:r w:rsidRPr="00682804">
        <w:rPr>
          <w:rFonts w:ascii="Arial" w:hAnsi="Arial" w:cs="Arial"/>
          <w:szCs w:val="22"/>
          <w:lang w:val="fi-FI"/>
        </w:rPr>
        <w:t>jen harjoittaessa rikosten selvittämistoimenpiteitä.</w:t>
      </w:r>
    </w:p>
    <w:p w:rsidR="002342BA" w:rsidRPr="00682804" w:rsidRDefault="002342BA" w:rsidP="00891427">
      <w:pPr>
        <w:pStyle w:val="Leipteksti"/>
        <w:ind w:left="1134"/>
        <w:rPr>
          <w:rFonts w:ascii="Arial" w:hAnsi="Arial" w:cs="Arial"/>
          <w:szCs w:val="22"/>
          <w:lang w:val="fi-FI"/>
        </w:rPr>
      </w:pPr>
      <w:r w:rsidRPr="00682804">
        <w:rPr>
          <w:rFonts w:ascii="Arial" w:hAnsi="Arial" w:cs="Arial"/>
          <w:szCs w:val="22"/>
          <w:lang w:val="fi-FI"/>
        </w:rPr>
        <w:t>Tilintarkastuslaki velvoittaa tilintarkastajia ja lisäksi sekä Keskuskauppakamarin tilinta</w:t>
      </w:r>
      <w:r w:rsidRPr="00682804">
        <w:rPr>
          <w:rFonts w:ascii="Arial" w:hAnsi="Arial" w:cs="Arial"/>
          <w:szCs w:val="22"/>
          <w:lang w:val="fi-FI"/>
        </w:rPr>
        <w:t>r</w:t>
      </w:r>
      <w:r w:rsidRPr="00682804">
        <w:rPr>
          <w:rFonts w:ascii="Arial" w:hAnsi="Arial" w:cs="Arial"/>
          <w:szCs w:val="22"/>
          <w:lang w:val="fi-FI"/>
        </w:rPr>
        <w:t>kastuslautakunta että valtion tilintarkastuslautakunta valvovat KHT-yhteisöjen toimintaa. KHT-yhteisöt ovat sovellettavan kotimaisen lainsäädännön, kansainvälisen regulaation, vaadittujen kriteerien ja valvonnan osalta erittäin tiukan sääntelyn alaisena. Tilintarka</w:t>
      </w:r>
      <w:r w:rsidRPr="00682804">
        <w:rPr>
          <w:rFonts w:ascii="Arial" w:hAnsi="Arial" w:cs="Arial"/>
          <w:szCs w:val="22"/>
          <w:lang w:val="fi-FI"/>
        </w:rPr>
        <w:t>s</w:t>
      </w:r>
      <w:r w:rsidRPr="00682804">
        <w:rPr>
          <w:rFonts w:ascii="Arial" w:hAnsi="Arial" w:cs="Arial"/>
          <w:szCs w:val="22"/>
          <w:lang w:val="fi-FI"/>
        </w:rPr>
        <w:t>tustoimintaa voikin verrata sääntelyn osalta asianajotoimintaan, sillä asianajajia koskee laki asianajajista ja Suomen asianajajaliitto säätelee ja valvoo asianajotoimintaa. Näin o</w:t>
      </w:r>
      <w:r w:rsidRPr="00682804">
        <w:rPr>
          <w:rFonts w:ascii="Arial" w:hAnsi="Arial" w:cs="Arial"/>
          <w:szCs w:val="22"/>
          <w:lang w:val="fi-FI"/>
        </w:rPr>
        <w:t>l</w:t>
      </w:r>
      <w:r w:rsidRPr="00682804">
        <w:rPr>
          <w:rFonts w:ascii="Arial" w:hAnsi="Arial" w:cs="Arial"/>
          <w:szCs w:val="22"/>
          <w:lang w:val="fi-FI"/>
        </w:rPr>
        <w:t>len myös KHT-yhteisöt voidaan ja tulisi rajata yksityisistä turvallisuuspalveluista annetun lain soveltamisalan ulkopuolelle samalla tavalla kuin asianajotoimintakin rikosten selvitt</w:t>
      </w:r>
      <w:r w:rsidRPr="00682804">
        <w:rPr>
          <w:rFonts w:ascii="Arial" w:hAnsi="Arial" w:cs="Arial"/>
          <w:szCs w:val="22"/>
          <w:lang w:val="fi-FI"/>
        </w:rPr>
        <w:t>e</w:t>
      </w:r>
      <w:r w:rsidRPr="00682804">
        <w:rPr>
          <w:rFonts w:ascii="Arial" w:hAnsi="Arial" w:cs="Arial"/>
          <w:szCs w:val="22"/>
          <w:lang w:val="fi-FI"/>
        </w:rPr>
        <w:t xml:space="preserve">lytoimien ollessa kyseessä. Tämä tulkinta tulisi myös kirjata tarkennuksena yksityisistä turvallisuuspalveluista annetun lain esitöihin kokonaisuudistuksen yhteydessä. </w:t>
      </w:r>
    </w:p>
    <w:p w:rsidR="001653E4" w:rsidRPr="00682804" w:rsidRDefault="001653E4" w:rsidP="00426F05">
      <w:pPr>
        <w:ind w:left="1304"/>
        <w:rPr>
          <w:rFonts w:ascii="Arial" w:hAnsi="Arial" w:cs="Arial"/>
          <w:bCs/>
          <w:sz w:val="22"/>
          <w:szCs w:val="22"/>
        </w:rPr>
      </w:pPr>
    </w:p>
    <w:p w:rsidR="001653E4" w:rsidRPr="00682804" w:rsidRDefault="001653E4" w:rsidP="00426F05">
      <w:pPr>
        <w:ind w:left="1304"/>
        <w:rPr>
          <w:rFonts w:ascii="Arial" w:hAnsi="Arial" w:cs="Arial"/>
          <w:sz w:val="22"/>
          <w:szCs w:val="22"/>
        </w:rPr>
      </w:pPr>
    </w:p>
    <w:p w:rsidR="001653E4" w:rsidRPr="00682804" w:rsidRDefault="001653E4" w:rsidP="00891427">
      <w:pPr>
        <w:ind w:left="1304" w:hanging="170"/>
        <w:rPr>
          <w:rFonts w:ascii="Arial" w:hAnsi="Arial" w:cs="Arial"/>
          <w:sz w:val="22"/>
          <w:szCs w:val="22"/>
        </w:rPr>
      </w:pPr>
      <w:r w:rsidRPr="00682804">
        <w:rPr>
          <w:rFonts w:ascii="Arial" w:hAnsi="Arial" w:cs="Arial"/>
          <w:sz w:val="22"/>
          <w:szCs w:val="22"/>
        </w:rPr>
        <w:t xml:space="preserve">Helsingissä </w:t>
      </w:r>
      <w:r w:rsidR="00D87552">
        <w:rPr>
          <w:rFonts w:ascii="Arial" w:hAnsi="Arial" w:cs="Arial"/>
          <w:sz w:val="22"/>
          <w:szCs w:val="22"/>
        </w:rPr>
        <w:t>22</w:t>
      </w:r>
      <w:r w:rsidRPr="00682804">
        <w:rPr>
          <w:rFonts w:ascii="Arial" w:hAnsi="Arial" w:cs="Arial"/>
          <w:sz w:val="22"/>
          <w:szCs w:val="22"/>
        </w:rPr>
        <w:t xml:space="preserve">. </w:t>
      </w:r>
      <w:r w:rsidR="00ED5C3A" w:rsidRPr="00682804">
        <w:rPr>
          <w:rFonts w:ascii="Arial" w:hAnsi="Arial" w:cs="Arial"/>
          <w:sz w:val="22"/>
          <w:szCs w:val="22"/>
        </w:rPr>
        <w:t>maalis</w:t>
      </w:r>
      <w:r w:rsidRPr="00682804">
        <w:rPr>
          <w:rFonts w:ascii="Arial" w:hAnsi="Arial" w:cs="Arial"/>
          <w:sz w:val="22"/>
          <w:szCs w:val="22"/>
        </w:rPr>
        <w:t>kuuta 20</w:t>
      </w:r>
      <w:r w:rsidR="00ED5C3A" w:rsidRPr="00682804">
        <w:rPr>
          <w:rFonts w:ascii="Arial" w:hAnsi="Arial" w:cs="Arial"/>
          <w:sz w:val="22"/>
          <w:szCs w:val="22"/>
        </w:rPr>
        <w:t>12</w:t>
      </w:r>
    </w:p>
    <w:p w:rsidR="001653E4" w:rsidRPr="00682804" w:rsidRDefault="001653E4" w:rsidP="00426F05">
      <w:pPr>
        <w:ind w:left="1304"/>
        <w:rPr>
          <w:rFonts w:ascii="Arial" w:hAnsi="Arial" w:cs="Arial"/>
          <w:sz w:val="22"/>
          <w:szCs w:val="22"/>
        </w:rPr>
      </w:pPr>
    </w:p>
    <w:p w:rsidR="001653E4" w:rsidRPr="00682804" w:rsidRDefault="001653E4" w:rsidP="00891427">
      <w:pPr>
        <w:ind w:left="1304" w:hanging="170"/>
        <w:rPr>
          <w:rFonts w:ascii="Arial" w:hAnsi="Arial" w:cs="Arial"/>
          <w:sz w:val="22"/>
          <w:szCs w:val="22"/>
        </w:rPr>
      </w:pPr>
      <w:r w:rsidRPr="00682804">
        <w:rPr>
          <w:rFonts w:ascii="Arial" w:hAnsi="Arial" w:cs="Arial"/>
          <w:sz w:val="22"/>
          <w:szCs w:val="22"/>
        </w:rPr>
        <w:t>KHT-YHDISTYS – FÖRENINGEN CGR RY</w:t>
      </w:r>
    </w:p>
    <w:p w:rsidR="001653E4" w:rsidRPr="00682804" w:rsidRDefault="001653E4" w:rsidP="00426F05">
      <w:pPr>
        <w:ind w:left="1304"/>
        <w:rPr>
          <w:rFonts w:ascii="Arial" w:hAnsi="Arial" w:cs="Arial"/>
          <w:sz w:val="22"/>
          <w:szCs w:val="22"/>
        </w:rPr>
      </w:pPr>
    </w:p>
    <w:p w:rsidR="001653E4" w:rsidRPr="00682804" w:rsidRDefault="002342BA" w:rsidP="00426F05">
      <w:pPr>
        <w:ind w:left="1304"/>
        <w:rPr>
          <w:rFonts w:ascii="Arial" w:hAnsi="Arial" w:cs="Arial"/>
          <w:sz w:val="22"/>
          <w:szCs w:val="22"/>
        </w:rPr>
      </w:pPr>
      <w:r w:rsidRPr="00682804">
        <w:rPr>
          <w:rFonts w:ascii="Arial" w:hAnsi="Arial" w:cs="Arial"/>
          <w:noProof/>
          <w:sz w:val="22"/>
          <w:szCs w:val="22"/>
        </w:rPr>
        <w:drawing>
          <wp:inline distT="0" distB="0" distL="0" distR="0">
            <wp:extent cx="2724150" cy="371475"/>
            <wp:effectExtent l="19050" t="0" r="0" b="0"/>
            <wp:docPr id="1"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9" cstate="print"/>
                    <a:srcRect/>
                    <a:stretch>
                      <a:fillRect/>
                    </a:stretch>
                  </pic:blipFill>
                  <pic:spPr bwMode="auto">
                    <a:xfrm>
                      <a:off x="0" y="0"/>
                      <a:ext cx="2724150" cy="371475"/>
                    </a:xfrm>
                    <a:prstGeom prst="rect">
                      <a:avLst/>
                    </a:prstGeom>
                    <a:noFill/>
                    <a:ln w="9525">
                      <a:noFill/>
                      <a:miter lim="800000"/>
                      <a:headEnd/>
                      <a:tailEnd/>
                    </a:ln>
                  </pic:spPr>
                </pic:pic>
              </a:graphicData>
            </a:graphic>
          </wp:inline>
        </w:drawing>
      </w:r>
    </w:p>
    <w:p w:rsidR="001653E4" w:rsidRPr="00682804" w:rsidRDefault="001653E4" w:rsidP="00426F05">
      <w:pPr>
        <w:ind w:left="1304"/>
        <w:rPr>
          <w:rFonts w:ascii="Arial" w:hAnsi="Arial" w:cs="Arial"/>
          <w:sz w:val="22"/>
          <w:szCs w:val="22"/>
        </w:rPr>
      </w:pPr>
    </w:p>
    <w:p w:rsidR="001653E4" w:rsidRPr="00682804" w:rsidRDefault="00ED5C3A" w:rsidP="00891427">
      <w:pPr>
        <w:ind w:left="1304" w:hanging="170"/>
        <w:rPr>
          <w:rFonts w:ascii="Arial" w:hAnsi="Arial" w:cs="Arial"/>
          <w:sz w:val="22"/>
          <w:szCs w:val="22"/>
        </w:rPr>
      </w:pPr>
      <w:r w:rsidRPr="00682804">
        <w:rPr>
          <w:rFonts w:ascii="Arial" w:hAnsi="Arial" w:cs="Arial"/>
          <w:sz w:val="22"/>
          <w:szCs w:val="22"/>
        </w:rPr>
        <w:t>Hannu Pellinen</w:t>
      </w:r>
    </w:p>
    <w:p w:rsidR="001653E4" w:rsidRPr="00682804" w:rsidRDefault="001653E4" w:rsidP="00891427">
      <w:pPr>
        <w:ind w:left="1304" w:hanging="170"/>
        <w:rPr>
          <w:rFonts w:ascii="Arial" w:hAnsi="Arial" w:cs="Arial"/>
          <w:sz w:val="22"/>
          <w:szCs w:val="22"/>
        </w:rPr>
      </w:pPr>
      <w:r w:rsidRPr="00682804">
        <w:rPr>
          <w:rFonts w:ascii="Arial" w:hAnsi="Arial" w:cs="Arial"/>
          <w:sz w:val="22"/>
          <w:szCs w:val="22"/>
        </w:rPr>
        <w:t>puheenjohtaja</w:t>
      </w:r>
    </w:p>
    <w:p w:rsidR="001653E4" w:rsidRPr="00682804" w:rsidRDefault="001653E4" w:rsidP="001653E4">
      <w:pPr>
        <w:ind w:left="1440"/>
        <w:jc w:val="both"/>
        <w:rPr>
          <w:rFonts w:ascii="Arial" w:hAnsi="Arial" w:cs="Arial"/>
          <w:sz w:val="22"/>
          <w:szCs w:val="22"/>
        </w:rPr>
      </w:pPr>
    </w:p>
    <w:sectPr w:rsidR="001653E4" w:rsidRPr="00682804" w:rsidSect="0032599F">
      <w:headerReference w:type="even" r:id="rId10"/>
      <w:headerReference w:type="default" r:id="rId11"/>
      <w:footerReference w:type="default" r:id="rId12"/>
      <w:pgSz w:w="11906" w:h="16838"/>
      <w:pgMar w:top="2157" w:right="926" w:bottom="1417" w:left="1134" w:header="708" w:footer="7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75D" w:rsidRDefault="0031275D">
      <w:r>
        <w:separator/>
      </w:r>
    </w:p>
  </w:endnote>
  <w:endnote w:type="continuationSeparator" w:id="0">
    <w:p w:rsidR="0031275D" w:rsidRDefault="0031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55 Roman">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TC Officina Sans Book">
    <w:altName w:val="Courier New"/>
    <w:panose1 w:val="00000000000000000000"/>
    <w:charset w:val="00"/>
    <w:family w:val="swiss"/>
    <w:notTrueType/>
    <w:pitch w:val="variable"/>
    <w:sig w:usb0="00000003" w:usb1="00000000" w:usb2="00000000" w:usb3="00000000" w:csb0="00000001" w:csb1="00000000"/>
  </w:font>
  <w:font w:name="FagoNoRegular-Roman">
    <w:panose1 w:val="00000000000000000000"/>
    <w:charset w:val="00"/>
    <w:family w:val="moder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ansSemiLight">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FC9" w:rsidRDefault="00005FC9">
    <w:pPr>
      <w:pStyle w:val="Alatunniste"/>
      <w:tabs>
        <w:tab w:val="clear" w:pos="4819"/>
        <w:tab w:val="clear" w:pos="9638"/>
        <w:tab w:val="left" w:pos="1440"/>
        <w:tab w:val="left" w:pos="4500"/>
        <w:tab w:val="left" w:pos="7920"/>
      </w:tabs>
      <w:spacing w:line="210" w:lineRule="exact"/>
      <w:rPr>
        <w:rFonts w:ascii="TheSansSemiLight" w:hAnsi="TheSansSemiLight"/>
        <w:position w:val="2"/>
        <w:sz w:val="15"/>
        <w:lang w:val="sv-FI"/>
      </w:rPr>
    </w:pPr>
    <w:r>
      <w:rPr>
        <w:rFonts w:ascii="TheSansSemiLight" w:hAnsi="TheSansSemiLight"/>
        <w:position w:val="2"/>
        <w:sz w:val="15"/>
        <w:lang w:val="sv-FI"/>
      </w:rPr>
      <w:t>KHT-</w:t>
    </w:r>
    <w:proofErr w:type="spellStart"/>
    <w:r>
      <w:rPr>
        <w:rFonts w:ascii="TheSansSemiLight" w:hAnsi="TheSansSemiLight"/>
        <w:position w:val="2"/>
        <w:sz w:val="15"/>
        <w:lang w:val="sv-FI"/>
      </w:rPr>
      <w:t>yhdistys</w:t>
    </w:r>
    <w:proofErr w:type="spellEnd"/>
    <w:r>
      <w:rPr>
        <w:rFonts w:ascii="TheSansSemiLight" w:hAnsi="TheSansSemiLight"/>
        <w:position w:val="2"/>
        <w:sz w:val="15"/>
        <w:lang w:val="sv-FI"/>
      </w:rPr>
      <w:t xml:space="preserve"> – Föreningen CGR </w:t>
    </w:r>
    <w:proofErr w:type="spellStart"/>
    <w:r>
      <w:rPr>
        <w:rFonts w:ascii="TheSansSemiLight" w:hAnsi="TheSansSemiLight"/>
        <w:position w:val="2"/>
        <w:sz w:val="15"/>
        <w:lang w:val="sv-FI"/>
      </w:rPr>
      <w:t>ry</w:t>
    </w:r>
    <w:proofErr w:type="spellEnd"/>
    <w:r>
      <w:rPr>
        <w:rFonts w:ascii="TheSansSemiLight" w:hAnsi="TheSansSemiLight"/>
        <w:position w:val="2"/>
        <w:sz w:val="15"/>
        <w:lang w:val="sv-FI"/>
      </w:rPr>
      <w:tab/>
      <w:t>Tel +358 9 7552 2010</w:t>
    </w:r>
    <w:r>
      <w:rPr>
        <w:rFonts w:ascii="TheSansSemiLight" w:hAnsi="TheSansSemiLight"/>
        <w:position w:val="2"/>
        <w:sz w:val="15"/>
        <w:lang w:val="sv-FI"/>
      </w:rPr>
      <w:tab/>
      <w:t xml:space="preserve">Reg. No. </w:t>
    </w:r>
    <w:r>
      <w:rPr>
        <w:rFonts w:ascii="TheSansSemiLight" w:hAnsi="TheSansSemiLight" w:cs="Arial"/>
        <w:color w:val="333333"/>
        <w:sz w:val="15"/>
        <w:szCs w:val="12"/>
        <w:lang w:val="sv-FI"/>
      </w:rPr>
      <w:t>0221727-0</w:t>
    </w:r>
  </w:p>
  <w:p w:rsidR="00005FC9" w:rsidRPr="00324D3C" w:rsidRDefault="00005FC9">
    <w:pPr>
      <w:pStyle w:val="Alatunniste"/>
      <w:tabs>
        <w:tab w:val="clear" w:pos="4819"/>
        <w:tab w:val="clear" w:pos="9638"/>
        <w:tab w:val="left" w:pos="1440"/>
        <w:tab w:val="left" w:pos="4500"/>
        <w:tab w:val="left" w:pos="7920"/>
      </w:tabs>
      <w:spacing w:line="210" w:lineRule="exact"/>
      <w:rPr>
        <w:rFonts w:ascii="TheSansSemiLight" w:hAnsi="TheSansSemiLight"/>
        <w:position w:val="2"/>
        <w:sz w:val="15"/>
        <w:lang w:val="en-US"/>
      </w:rPr>
    </w:pPr>
    <w:r w:rsidRPr="00324D3C">
      <w:rPr>
        <w:rFonts w:ascii="TheSansSemiLight" w:hAnsi="TheSansSemiLight"/>
        <w:position w:val="2"/>
        <w:sz w:val="15"/>
        <w:lang w:val="en-US"/>
      </w:rPr>
      <w:t xml:space="preserve">Finnish Institute of </w:t>
    </w:r>
    <w:proofErr w:type="spellStart"/>
    <w:r w:rsidRPr="00324D3C">
      <w:rPr>
        <w:rFonts w:ascii="TheSansSemiLight" w:hAnsi="TheSansSemiLight"/>
        <w:position w:val="2"/>
        <w:sz w:val="15"/>
        <w:lang w:val="en-US"/>
      </w:rPr>
      <w:t>Authorised</w:t>
    </w:r>
    <w:proofErr w:type="spellEnd"/>
    <w:r w:rsidRPr="00324D3C">
      <w:rPr>
        <w:rFonts w:ascii="TheSansSemiLight" w:hAnsi="TheSansSemiLight"/>
        <w:position w:val="2"/>
        <w:sz w:val="15"/>
        <w:lang w:val="en-US"/>
      </w:rPr>
      <w:t xml:space="preserve"> Public Accountants</w:t>
    </w:r>
    <w:r w:rsidRPr="00324D3C">
      <w:rPr>
        <w:rFonts w:ascii="TheSansSemiLight" w:hAnsi="TheSansSemiLight"/>
        <w:position w:val="2"/>
        <w:sz w:val="15"/>
        <w:lang w:val="en-US"/>
      </w:rPr>
      <w:tab/>
      <w:t>fax +358 9 694 2250</w:t>
    </w:r>
    <w:r w:rsidRPr="00324D3C">
      <w:rPr>
        <w:rFonts w:ascii="TheSansSemiLight" w:hAnsi="TheSansSemiLight"/>
        <w:position w:val="2"/>
        <w:sz w:val="15"/>
        <w:lang w:val="en-US"/>
      </w:rPr>
      <w:tab/>
      <w:t>Helsinki</w:t>
    </w:r>
  </w:p>
  <w:p w:rsidR="00005FC9" w:rsidRDefault="00005FC9">
    <w:pPr>
      <w:pStyle w:val="Alatunniste"/>
      <w:tabs>
        <w:tab w:val="clear" w:pos="4819"/>
        <w:tab w:val="clear" w:pos="9638"/>
        <w:tab w:val="left" w:pos="1440"/>
        <w:tab w:val="left" w:pos="4500"/>
        <w:tab w:val="left" w:pos="7920"/>
      </w:tabs>
      <w:spacing w:line="210" w:lineRule="exact"/>
      <w:rPr>
        <w:rFonts w:ascii="TheSansSemiLight" w:hAnsi="TheSansSemiLight"/>
        <w:position w:val="2"/>
        <w:sz w:val="15"/>
      </w:rPr>
    </w:pPr>
    <w:r>
      <w:rPr>
        <w:rFonts w:ascii="TheSansSemiLight" w:hAnsi="TheSansSemiLight"/>
        <w:position w:val="2"/>
        <w:sz w:val="15"/>
      </w:rPr>
      <w:t>Fredrikinkatu 61 A</w:t>
    </w:r>
    <w:r>
      <w:rPr>
        <w:rFonts w:ascii="TheSansSemiLight" w:hAnsi="TheSansSemiLight"/>
        <w:position w:val="2"/>
        <w:sz w:val="15"/>
      </w:rPr>
      <w:tab/>
    </w:r>
    <w:r>
      <w:rPr>
        <w:rFonts w:ascii="TheSansSemiLight" w:hAnsi="TheSansSemiLight"/>
        <w:position w:val="2"/>
        <w:sz w:val="15"/>
      </w:rPr>
      <w:tab/>
    </w:r>
    <w:hyperlink r:id="rId1" w:history="1">
      <w:r>
        <w:rPr>
          <w:rStyle w:val="Hyperlinkki"/>
          <w:rFonts w:ascii="TheSansSemiLight" w:hAnsi="TheSansSemiLight"/>
          <w:color w:val="auto"/>
          <w:position w:val="2"/>
          <w:sz w:val="15"/>
          <w:u w:val="none"/>
        </w:rPr>
        <w:t>kht@kht.fi</w:t>
      </w:r>
    </w:hyperlink>
  </w:p>
  <w:p w:rsidR="00005FC9" w:rsidRDefault="00005FC9">
    <w:pPr>
      <w:pStyle w:val="Alatunniste"/>
      <w:tabs>
        <w:tab w:val="clear" w:pos="4819"/>
        <w:tab w:val="clear" w:pos="9638"/>
        <w:tab w:val="left" w:pos="1440"/>
        <w:tab w:val="left" w:pos="4500"/>
        <w:tab w:val="left" w:pos="7920"/>
      </w:tabs>
      <w:spacing w:line="210" w:lineRule="exact"/>
      <w:rPr>
        <w:rFonts w:ascii="TheSansSemiLight" w:hAnsi="TheSansSemiLight"/>
        <w:sz w:val="15"/>
      </w:rPr>
    </w:pPr>
    <w:r>
      <w:rPr>
        <w:rFonts w:ascii="TheSansSemiLight" w:hAnsi="TheSansSemiLight"/>
        <w:smallCaps/>
        <w:position w:val="2"/>
        <w:sz w:val="15"/>
      </w:rPr>
      <w:t>fi</w:t>
    </w:r>
    <w:r>
      <w:rPr>
        <w:rFonts w:ascii="TheSansSemiLight" w:hAnsi="TheSansSemiLight"/>
        <w:position w:val="2"/>
        <w:sz w:val="15"/>
      </w:rPr>
      <w:t>-00100 Helsinki, Finland</w:t>
    </w:r>
    <w:r>
      <w:rPr>
        <w:rFonts w:ascii="TheSansSemiLight" w:hAnsi="TheSansSemiLight"/>
        <w:position w:val="2"/>
        <w:sz w:val="15"/>
      </w:rPr>
      <w:tab/>
      <w:t>www.kht.fi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75D" w:rsidRDefault="0031275D">
      <w:r>
        <w:separator/>
      </w:r>
    </w:p>
  </w:footnote>
  <w:footnote w:type="continuationSeparator" w:id="0">
    <w:p w:rsidR="0031275D" w:rsidRDefault="00312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FC9" w:rsidRDefault="00652268">
    <w:pPr>
      <w:pStyle w:val="Yltunniste"/>
      <w:framePr w:wrap="around" w:vAnchor="text" w:hAnchor="margin" w:xAlign="right" w:y="1"/>
      <w:rPr>
        <w:rStyle w:val="Sivunumero"/>
      </w:rPr>
    </w:pPr>
    <w:r>
      <w:rPr>
        <w:rStyle w:val="Sivunumero"/>
      </w:rPr>
      <w:fldChar w:fldCharType="begin"/>
    </w:r>
    <w:r w:rsidR="00005FC9">
      <w:rPr>
        <w:rStyle w:val="Sivunumero"/>
      </w:rPr>
      <w:instrText xml:space="preserve">PAGE  </w:instrText>
    </w:r>
    <w:r>
      <w:rPr>
        <w:rStyle w:val="Sivunumero"/>
      </w:rPr>
      <w:fldChar w:fldCharType="end"/>
    </w:r>
  </w:p>
  <w:p w:rsidR="00005FC9" w:rsidRDefault="00005FC9">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FC9" w:rsidRPr="006E6CEC" w:rsidRDefault="00652268">
    <w:pPr>
      <w:pStyle w:val="Yltunniste"/>
      <w:framePr w:wrap="around" w:vAnchor="text" w:hAnchor="margin" w:xAlign="right" w:y="1"/>
      <w:rPr>
        <w:rStyle w:val="Sivunumero"/>
        <w:rFonts w:ascii="Arial" w:hAnsi="Arial" w:cs="Arial"/>
        <w:sz w:val="22"/>
        <w:lang w:val="en-US"/>
      </w:rPr>
    </w:pPr>
    <w:r>
      <w:rPr>
        <w:rStyle w:val="Sivunumero"/>
        <w:rFonts w:ascii="Arial" w:hAnsi="Arial" w:cs="Arial"/>
        <w:sz w:val="22"/>
      </w:rPr>
      <w:fldChar w:fldCharType="begin"/>
    </w:r>
    <w:r w:rsidR="00005FC9">
      <w:rPr>
        <w:rStyle w:val="Sivunumero"/>
        <w:rFonts w:ascii="Arial" w:hAnsi="Arial" w:cs="Arial"/>
        <w:sz w:val="22"/>
      </w:rPr>
      <w:instrText xml:space="preserve">PAGE  </w:instrText>
    </w:r>
    <w:r>
      <w:rPr>
        <w:rStyle w:val="Sivunumero"/>
        <w:rFonts w:ascii="Arial" w:hAnsi="Arial" w:cs="Arial"/>
        <w:sz w:val="22"/>
      </w:rPr>
      <w:fldChar w:fldCharType="separate"/>
    </w:r>
    <w:r w:rsidR="006133A5">
      <w:rPr>
        <w:rStyle w:val="Sivunumero"/>
        <w:rFonts w:ascii="Arial" w:hAnsi="Arial" w:cs="Arial"/>
        <w:noProof/>
        <w:sz w:val="22"/>
      </w:rPr>
      <w:t>1</w:t>
    </w:r>
    <w:r>
      <w:rPr>
        <w:rStyle w:val="Sivunumero"/>
        <w:rFonts w:ascii="Arial" w:hAnsi="Arial" w:cs="Arial"/>
        <w:sz w:val="22"/>
      </w:rPr>
      <w:fldChar w:fldCharType="end"/>
    </w:r>
    <w:r w:rsidR="00C85C92">
      <w:rPr>
        <w:rStyle w:val="Sivunumero"/>
        <w:rFonts w:ascii="Arial" w:hAnsi="Arial" w:cs="Arial"/>
        <w:sz w:val="22"/>
        <w:lang w:val="en-US"/>
      </w:rPr>
      <w:t xml:space="preserve"> (4</w:t>
    </w:r>
    <w:r w:rsidR="00005FC9" w:rsidRPr="006E6CEC">
      <w:rPr>
        <w:rStyle w:val="Sivunumero"/>
        <w:rFonts w:ascii="Arial" w:hAnsi="Arial" w:cs="Arial"/>
        <w:sz w:val="22"/>
        <w:lang w:val="en-US"/>
      </w:rPr>
      <w:t>)</w:t>
    </w:r>
  </w:p>
  <w:p w:rsidR="00005FC9" w:rsidRPr="006E6CEC" w:rsidRDefault="002342BA">
    <w:pPr>
      <w:pStyle w:val="Yltunniste"/>
      <w:ind w:right="360"/>
      <w:rPr>
        <w:rFonts w:ascii="Arial" w:hAnsi="Arial" w:cs="Arial"/>
        <w:sz w:val="22"/>
        <w:szCs w:val="22"/>
        <w:lang w:val="en-US"/>
      </w:rPr>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0</wp:posOffset>
          </wp:positionV>
          <wp:extent cx="666750" cy="628650"/>
          <wp:effectExtent l="19050" t="0" r="0" b="0"/>
          <wp:wrapNone/>
          <wp:docPr id="2" name="Kuva 2" descr="kht_yhdistys_logo_bw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t_yhdistys_logo_bw_a4"/>
                  <pic:cNvPicPr>
                    <a:picLocks noChangeAspect="1" noChangeArrowheads="1"/>
                  </pic:cNvPicPr>
                </pic:nvPicPr>
                <pic:blipFill>
                  <a:blip r:embed="rId1"/>
                  <a:srcRect/>
                  <a:stretch>
                    <a:fillRect/>
                  </a:stretch>
                </pic:blipFill>
                <pic:spPr bwMode="auto">
                  <a:xfrm>
                    <a:off x="0" y="0"/>
                    <a:ext cx="666750" cy="628650"/>
                  </a:xfrm>
                  <a:prstGeom prst="rect">
                    <a:avLst/>
                  </a:prstGeom>
                  <a:noFill/>
                </pic:spPr>
              </pic:pic>
            </a:graphicData>
          </a:graphic>
        </wp:anchor>
      </w:drawing>
    </w:r>
    <w:r w:rsidR="006E6CEC" w:rsidRPr="006E6CEC">
      <w:rPr>
        <w:lang w:val="en-US"/>
      </w:rPr>
      <w:tab/>
    </w:r>
    <w:r w:rsidR="00005FC9" w:rsidRPr="006E6CEC">
      <w:rPr>
        <w:rFonts w:ascii="Arial" w:hAnsi="Arial" w:cs="Arial"/>
        <w:sz w:val="22"/>
        <w:szCs w:val="22"/>
        <w:lang w:val="en-US"/>
      </w:rPr>
      <w:tab/>
    </w:r>
    <w:r w:rsidR="00005FC9" w:rsidRPr="006E6CEC">
      <w:rPr>
        <w:rFonts w:ascii="Arial" w:hAnsi="Arial" w:cs="Arial"/>
        <w:sz w:val="22"/>
        <w:szCs w:val="22"/>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A7E8E"/>
    <w:multiLevelType w:val="hybridMultilevel"/>
    <w:tmpl w:val="8174D436"/>
    <w:lvl w:ilvl="0" w:tplc="5F129444">
      <w:numFmt w:val="bullet"/>
      <w:lvlText w:val="-"/>
      <w:lvlJc w:val="left"/>
      <w:pPr>
        <w:tabs>
          <w:tab w:val="num" w:pos="1620"/>
        </w:tabs>
        <w:ind w:left="1620" w:hanging="360"/>
      </w:pPr>
      <w:rPr>
        <w:rFonts w:ascii="Frutiger 55 Roman" w:eastAsia="Times New Roman" w:hAnsi="Frutiger 55 Roman" w:cs="Times New Roman" w:hint="default"/>
      </w:rPr>
    </w:lvl>
    <w:lvl w:ilvl="1" w:tplc="040B0003" w:tentative="1">
      <w:start w:val="1"/>
      <w:numFmt w:val="bullet"/>
      <w:lvlText w:val="o"/>
      <w:lvlJc w:val="left"/>
      <w:pPr>
        <w:tabs>
          <w:tab w:val="num" w:pos="2340"/>
        </w:tabs>
        <w:ind w:left="2340" w:hanging="360"/>
      </w:pPr>
      <w:rPr>
        <w:rFonts w:ascii="Courier New" w:hAnsi="Courier New" w:hint="default"/>
      </w:rPr>
    </w:lvl>
    <w:lvl w:ilvl="2" w:tplc="040B0005" w:tentative="1">
      <w:start w:val="1"/>
      <w:numFmt w:val="bullet"/>
      <w:lvlText w:val=""/>
      <w:lvlJc w:val="left"/>
      <w:pPr>
        <w:tabs>
          <w:tab w:val="num" w:pos="3060"/>
        </w:tabs>
        <w:ind w:left="3060" w:hanging="360"/>
      </w:pPr>
      <w:rPr>
        <w:rFonts w:ascii="Wingdings" w:hAnsi="Wingdings" w:hint="default"/>
      </w:rPr>
    </w:lvl>
    <w:lvl w:ilvl="3" w:tplc="040B0001" w:tentative="1">
      <w:start w:val="1"/>
      <w:numFmt w:val="bullet"/>
      <w:lvlText w:val=""/>
      <w:lvlJc w:val="left"/>
      <w:pPr>
        <w:tabs>
          <w:tab w:val="num" w:pos="3780"/>
        </w:tabs>
        <w:ind w:left="3780" w:hanging="360"/>
      </w:pPr>
      <w:rPr>
        <w:rFonts w:ascii="Symbol" w:hAnsi="Symbol" w:hint="default"/>
      </w:rPr>
    </w:lvl>
    <w:lvl w:ilvl="4" w:tplc="040B0003" w:tentative="1">
      <w:start w:val="1"/>
      <w:numFmt w:val="bullet"/>
      <w:lvlText w:val="o"/>
      <w:lvlJc w:val="left"/>
      <w:pPr>
        <w:tabs>
          <w:tab w:val="num" w:pos="4500"/>
        </w:tabs>
        <w:ind w:left="4500" w:hanging="360"/>
      </w:pPr>
      <w:rPr>
        <w:rFonts w:ascii="Courier New" w:hAnsi="Courier New" w:hint="default"/>
      </w:rPr>
    </w:lvl>
    <w:lvl w:ilvl="5" w:tplc="040B0005" w:tentative="1">
      <w:start w:val="1"/>
      <w:numFmt w:val="bullet"/>
      <w:lvlText w:val=""/>
      <w:lvlJc w:val="left"/>
      <w:pPr>
        <w:tabs>
          <w:tab w:val="num" w:pos="5220"/>
        </w:tabs>
        <w:ind w:left="5220" w:hanging="360"/>
      </w:pPr>
      <w:rPr>
        <w:rFonts w:ascii="Wingdings" w:hAnsi="Wingdings" w:hint="default"/>
      </w:rPr>
    </w:lvl>
    <w:lvl w:ilvl="6" w:tplc="040B0001" w:tentative="1">
      <w:start w:val="1"/>
      <w:numFmt w:val="bullet"/>
      <w:lvlText w:val=""/>
      <w:lvlJc w:val="left"/>
      <w:pPr>
        <w:tabs>
          <w:tab w:val="num" w:pos="5940"/>
        </w:tabs>
        <w:ind w:left="5940" w:hanging="360"/>
      </w:pPr>
      <w:rPr>
        <w:rFonts w:ascii="Symbol" w:hAnsi="Symbol" w:hint="default"/>
      </w:rPr>
    </w:lvl>
    <w:lvl w:ilvl="7" w:tplc="040B0003" w:tentative="1">
      <w:start w:val="1"/>
      <w:numFmt w:val="bullet"/>
      <w:lvlText w:val="o"/>
      <w:lvlJc w:val="left"/>
      <w:pPr>
        <w:tabs>
          <w:tab w:val="num" w:pos="6660"/>
        </w:tabs>
        <w:ind w:left="6660" w:hanging="360"/>
      </w:pPr>
      <w:rPr>
        <w:rFonts w:ascii="Courier New" w:hAnsi="Courier New" w:hint="default"/>
      </w:rPr>
    </w:lvl>
    <w:lvl w:ilvl="8" w:tplc="040B0005" w:tentative="1">
      <w:start w:val="1"/>
      <w:numFmt w:val="bullet"/>
      <w:lvlText w:val=""/>
      <w:lvlJc w:val="left"/>
      <w:pPr>
        <w:tabs>
          <w:tab w:val="num" w:pos="7380"/>
        </w:tabs>
        <w:ind w:left="7380" w:hanging="360"/>
      </w:pPr>
      <w:rPr>
        <w:rFonts w:ascii="Wingdings" w:hAnsi="Wingdings" w:hint="default"/>
      </w:rPr>
    </w:lvl>
  </w:abstractNum>
  <w:abstractNum w:abstractNumId="1">
    <w:nsid w:val="40EB2E5A"/>
    <w:multiLevelType w:val="hybridMultilevel"/>
    <w:tmpl w:val="5358D06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43EF5914"/>
    <w:multiLevelType w:val="hybridMultilevel"/>
    <w:tmpl w:val="49883B40"/>
    <w:lvl w:ilvl="0" w:tplc="040B0009">
      <w:start w:val="1"/>
      <w:numFmt w:val="bullet"/>
      <w:lvlText w:val=""/>
      <w:lvlJc w:val="left"/>
      <w:pPr>
        <w:tabs>
          <w:tab w:val="num" w:pos="1980"/>
        </w:tabs>
        <w:ind w:left="1980" w:hanging="360"/>
      </w:pPr>
      <w:rPr>
        <w:rFonts w:ascii="Wingdings" w:hAnsi="Wingdings" w:hint="default"/>
      </w:rPr>
    </w:lvl>
    <w:lvl w:ilvl="1" w:tplc="040B0003" w:tentative="1">
      <w:start w:val="1"/>
      <w:numFmt w:val="bullet"/>
      <w:lvlText w:val="o"/>
      <w:lvlJc w:val="left"/>
      <w:pPr>
        <w:tabs>
          <w:tab w:val="num" w:pos="2700"/>
        </w:tabs>
        <w:ind w:left="2700" w:hanging="360"/>
      </w:pPr>
      <w:rPr>
        <w:rFonts w:ascii="Courier New" w:hAnsi="Courier New" w:hint="default"/>
      </w:rPr>
    </w:lvl>
    <w:lvl w:ilvl="2" w:tplc="040B0005" w:tentative="1">
      <w:start w:val="1"/>
      <w:numFmt w:val="bullet"/>
      <w:lvlText w:val=""/>
      <w:lvlJc w:val="left"/>
      <w:pPr>
        <w:tabs>
          <w:tab w:val="num" w:pos="3420"/>
        </w:tabs>
        <w:ind w:left="3420" w:hanging="360"/>
      </w:pPr>
      <w:rPr>
        <w:rFonts w:ascii="Wingdings" w:hAnsi="Wingdings" w:hint="default"/>
      </w:rPr>
    </w:lvl>
    <w:lvl w:ilvl="3" w:tplc="040B0001" w:tentative="1">
      <w:start w:val="1"/>
      <w:numFmt w:val="bullet"/>
      <w:lvlText w:val=""/>
      <w:lvlJc w:val="left"/>
      <w:pPr>
        <w:tabs>
          <w:tab w:val="num" w:pos="4140"/>
        </w:tabs>
        <w:ind w:left="4140" w:hanging="360"/>
      </w:pPr>
      <w:rPr>
        <w:rFonts w:ascii="Symbol" w:hAnsi="Symbol" w:hint="default"/>
      </w:rPr>
    </w:lvl>
    <w:lvl w:ilvl="4" w:tplc="040B0003" w:tentative="1">
      <w:start w:val="1"/>
      <w:numFmt w:val="bullet"/>
      <w:lvlText w:val="o"/>
      <w:lvlJc w:val="left"/>
      <w:pPr>
        <w:tabs>
          <w:tab w:val="num" w:pos="4860"/>
        </w:tabs>
        <w:ind w:left="4860" w:hanging="360"/>
      </w:pPr>
      <w:rPr>
        <w:rFonts w:ascii="Courier New" w:hAnsi="Courier New" w:hint="default"/>
      </w:rPr>
    </w:lvl>
    <w:lvl w:ilvl="5" w:tplc="040B0005" w:tentative="1">
      <w:start w:val="1"/>
      <w:numFmt w:val="bullet"/>
      <w:lvlText w:val=""/>
      <w:lvlJc w:val="left"/>
      <w:pPr>
        <w:tabs>
          <w:tab w:val="num" w:pos="5580"/>
        </w:tabs>
        <w:ind w:left="5580" w:hanging="360"/>
      </w:pPr>
      <w:rPr>
        <w:rFonts w:ascii="Wingdings" w:hAnsi="Wingdings" w:hint="default"/>
      </w:rPr>
    </w:lvl>
    <w:lvl w:ilvl="6" w:tplc="040B0001" w:tentative="1">
      <w:start w:val="1"/>
      <w:numFmt w:val="bullet"/>
      <w:lvlText w:val=""/>
      <w:lvlJc w:val="left"/>
      <w:pPr>
        <w:tabs>
          <w:tab w:val="num" w:pos="6300"/>
        </w:tabs>
        <w:ind w:left="6300" w:hanging="360"/>
      </w:pPr>
      <w:rPr>
        <w:rFonts w:ascii="Symbol" w:hAnsi="Symbol" w:hint="default"/>
      </w:rPr>
    </w:lvl>
    <w:lvl w:ilvl="7" w:tplc="040B0003" w:tentative="1">
      <w:start w:val="1"/>
      <w:numFmt w:val="bullet"/>
      <w:lvlText w:val="o"/>
      <w:lvlJc w:val="left"/>
      <w:pPr>
        <w:tabs>
          <w:tab w:val="num" w:pos="7020"/>
        </w:tabs>
        <w:ind w:left="7020" w:hanging="360"/>
      </w:pPr>
      <w:rPr>
        <w:rFonts w:ascii="Courier New" w:hAnsi="Courier New" w:hint="default"/>
      </w:rPr>
    </w:lvl>
    <w:lvl w:ilvl="8" w:tplc="040B0005" w:tentative="1">
      <w:start w:val="1"/>
      <w:numFmt w:val="bullet"/>
      <w:lvlText w:val=""/>
      <w:lvlJc w:val="left"/>
      <w:pPr>
        <w:tabs>
          <w:tab w:val="num" w:pos="7740"/>
        </w:tabs>
        <w:ind w:left="7740" w:hanging="360"/>
      </w:pPr>
      <w:rPr>
        <w:rFonts w:ascii="Wingdings" w:hAnsi="Wingdings" w:hint="default"/>
      </w:rPr>
    </w:lvl>
  </w:abstractNum>
  <w:abstractNum w:abstractNumId="3">
    <w:nsid w:val="4DAF66BD"/>
    <w:multiLevelType w:val="hybridMultilevel"/>
    <w:tmpl w:val="57A487B6"/>
    <w:lvl w:ilvl="0" w:tplc="0DC250A6">
      <w:start w:val="20"/>
      <w:numFmt w:val="bullet"/>
      <w:lvlText w:val="-"/>
      <w:lvlJc w:val="left"/>
      <w:pPr>
        <w:ind w:left="720" w:hanging="360"/>
      </w:pPr>
      <w:rPr>
        <w:rFonts w:ascii="Calibri" w:eastAsia="Calibri" w:hAnsi="Calibri" w:cs="Calibri"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4">
    <w:nsid w:val="65291026"/>
    <w:multiLevelType w:val="hybridMultilevel"/>
    <w:tmpl w:val="CD68989C"/>
    <w:lvl w:ilvl="0" w:tplc="0409000F">
      <w:start w:val="1"/>
      <w:numFmt w:val="decimal"/>
      <w:lvlText w:val="%1."/>
      <w:lvlJc w:val="left"/>
      <w:pPr>
        <w:ind w:left="-1216" w:hanging="360"/>
      </w:pPr>
    </w:lvl>
    <w:lvl w:ilvl="1" w:tplc="04090019" w:tentative="1">
      <w:start w:val="1"/>
      <w:numFmt w:val="lowerLetter"/>
      <w:lvlText w:val="%2."/>
      <w:lvlJc w:val="left"/>
      <w:pPr>
        <w:ind w:left="-496" w:hanging="360"/>
      </w:pPr>
    </w:lvl>
    <w:lvl w:ilvl="2" w:tplc="0409001B" w:tentative="1">
      <w:start w:val="1"/>
      <w:numFmt w:val="lowerRoman"/>
      <w:lvlText w:val="%3."/>
      <w:lvlJc w:val="right"/>
      <w:pPr>
        <w:ind w:left="224" w:hanging="180"/>
      </w:pPr>
    </w:lvl>
    <w:lvl w:ilvl="3" w:tplc="0409000F" w:tentative="1">
      <w:start w:val="1"/>
      <w:numFmt w:val="decimal"/>
      <w:lvlText w:val="%4."/>
      <w:lvlJc w:val="left"/>
      <w:pPr>
        <w:ind w:left="944" w:hanging="360"/>
      </w:pPr>
    </w:lvl>
    <w:lvl w:ilvl="4" w:tplc="04090019" w:tentative="1">
      <w:start w:val="1"/>
      <w:numFmt w:val="lowerLetter"/>
      <w:lvlText w:val="%5."/>
      <w:lvlJc w:val="left"/>
      <w:pPr>
        <w:ind w:left="1664" w:hanging="360"/>
      </w:pPr>
    </w:lvl>
    <w:lvl w:ilvl="5" w:tplc="0409001B" w:tentative="1">
      <w:start w:val="1"/>
      <w:numFmt w:val="lowerRoman"/>
      <w:lvlText w:val="%6."/>
      <w:lvlJc w:val="right"/>
      <w:pPr>
        <w:ind w:left="2384" w:hanging="180"/>
      </w:pPr>
    </w:lvl>
    <w:lvl w:ilvl="6" w:tplc="0409000F" w:tentative="1">
      <w:start w:val="1"/>
      <w:numFmt w:val="decimal"/>
      <w:lvlText w:val="%7."/>
      <w:lvlJc w:val="left"/>
      <w:pPr>
        <w:ind w:left="3104" w:hanging="360"/>
      </w:pPr>
    </w:lvl>
    <w:lvl w:ilvl="7" w:tplc="04090019" w:tentative="1">
      <w:start w:val="1"/>
      <w:numFmt w:val="lowerLetter"/>
      <w:lvlText w:val="%8."/>
      <w:lvlJc w:val="left"/>
      <w:pPr>
        <w:ind w:left="3824" w:hanging="360"/>
      </w:pPr>
    </w:lvl>
    <w:lvl w:ilvl="8" w:tplc="0409001B" w:tentative="1">
      <w:start w:val="1"/>
      <w:numFmt w:val="lowerRoman"/>
      <w:lvlText w:val="%9."/>
      <w:lvlJc w:val="right"/>
      <w:pPr>
        <w:ind w:left="4544" w:hanging="180"/>
      </w:pPr>
    </w:lvl>
  </w:abstractNum>
  <w:abstractNum w:abstractNumId="5">
    <w:nsid w:val="747F09FE"/>
    <w:multiLevelType w:val="hybridMultilevel"/>
    <w:tmpl w:val="F5EADAA8"/>
    <w:lvl w:ilvl="0" w:tplc="E8A49BA8">
      <w:start w:val="1"/>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
    <w:nsid w:val="760C7B15"/>
    <w:multiLevelType w:val="hybridMultilevel"/>
    <w:tmpl w:val="91F4E46A"/>
    <w:lvl w:ilvl="0" w:tplc="040B0009">
      <w:start w:val="1"/>
      <w:numFmt w:val="bullet"/>
      <w:lvlText w:val=""/>
      <w:lvlJc w:val="left"/>
      <w:pPr>
        <w:tabs>
          <w:tab w:val="num" w:pos="1980"/>
        </w:tabs>
        <w:ind w:left="1980" w:hanging="360"/>
      </w:pPr>
      <w:rPr>
        <w:rFonts w:ascii="Wingdings" w:hAnsi="Wingdings" w:hint="default"/>
      </w:rPr>
    </w:lvl>
    <w:lvl w:ilvl="1" w:tplc="3EACB93A">
      <w:numFmt w:val="bullet"/>
      <w:lvlText w:val="-"/>
      <w:lvlJc w:val="left"/>
      <w:pPr>
        <w:tabs>
          <w:tab w:val="num" w:pos="2700"/>
        </w:tabs>
        <w:ind w:left="2700" w:hanging="360"/>
      </w:pPr>
      <w:rPr>
        <w:rFonts w:ascii="Frutiger 55 Roman" w:eastAsia="Times New Roman" w:hAnsi="Frutiger 55 Roman" w:cs="Times New Roman" w:hint="default"/>
      </w:rPr>
    </w:lvl>
    <w:lvl w:ilvl="2" w:tplc="040B0005" w:tentative="1">
      <w:start w:val="1"/>
      <w:numFmt w:val="bullet"/>
      <w:lvlText w:val=""/>
      <w:lvlJc w:val="left"/>
      <w:pPr>
        <w:tabs>
          <w:tab w:val="num" w:pos="3420"/>
        </w:tabs>
        <w:ind w:left="3420" w:hanging="360"/>
      </w:pPr>
      <w:rPr>
        <w:rFonts w:ascii="Wingdings" w:hAnsi="Wingdings" w:hint="default"/>
      </w:rPr>
    </w:lvl>
    <w:lvl w:ilvl="3" w:tplc="040B0001" w:tentative="1">
      <w:start w:val="1"/>
      <w:numFmt w:val="bullet"/>
      <w:lvlText w:val=""/>
      <w:lvlJc w:val="left"/>
      <w:pPr>
        <w:tabs>
          <w:tab w:val="num" w:pos="4140"/>
        </w:tabs>
        <w:ind w:left="4140" w:hanging="360"/>
      </w:pPr>
      <w:rPr>
        <w:rFonts w:ascii="Symbol" w:hAnsi="Symbol" w:hint="default"/>
      </w:rPr>
    </w:lvl>
    <w:lvl w:ilvl="4" w:tplc="040B0003" w:tentative="1">
      <w:start w:val="1"/>
      <w:numFmt w:val="bullet"/>
      <w:lvlText w:val="o"/>
      <w:lvlJc w:val="left"/>
      <w:pPr>
        <w:tabs>
          <w:tab w:val="num" w:pos="4860"/>
        </w:tabs>
        <w:ind w:left="4860" w:hanging="360"/>
      </w:pPr>
      <w:rPr>
        <w:rFonts w:ascii="Courier New" w:hAnsi="Courier New" w:hint="default"/>
      </w:rPr>
    </w:lvl>
    <w:lvl w:ilvl="5" w:tplc="040B0005" w:tentative="1">
      <w:start w:val="1"/>
      <w:numFmt w:val="bullet"/>
      <w:lvlText w:val=""/>
      <w:lvlJc w:val="left"/>
      <w:pPr>
        <w:tabs>
          <w:tab w:val="num" w:pos="5580"/>
        </w:tabs>
        <w:ind w:left="5580" w:hanging="360"/>
      </w:pPr>
      <w:rPr>
        <w:rFonts w:ascii="Wingdings" w:hAnsi="Wingdings" w:hint="default"/>
      </w:rPr>
    </w:lvl>
    <w:lvl w:ilvl="6" w:tplc="040B0001" w:tentative="1">
      <w:start w:val="1"/>
      <w:numFmt w:val="bullet"/>
      <w:lvlText w:val=""/>
      <w:lvlJc w:val="left"/>
      <w:pPr>
        <w:tabs>
          <w:tab w:val="num" w:pos="6300"/>
        </w:tabs>
        <w:ind w:left="6300" w:hanging="360"/>
      </w:pPr>
      <w:rPr>
        <w:rFonts w:ascii="Symbol" w:hAnsi="Symbol" w:hint="default"/>
      </w:rPr>
    </w:lvl>
    <w:lvl w:ilvl="7" w:tplc="040B0003" w:tentative="1">
      <w:start w:val="1"/>
      <w:numFmt w:val="bullet"/>
      <w:lvlText w:val="o"/>
      <w:lvlJc w:val="left"/>
      <w:pPr>
        <w:tabs>
          <w:tab w:val="num" w:pos="7020"/>
        </w:tabs>
        <w:ind w:left="7020" w:hanging="360"/>
      </w:pPr>
      <w:rPr>
        <w:rFonts w:ascii="Courier New" w:hAnsi="Courier New" w:hint="default"/>
      </w:rPr>
    </w:lvl>
    <w:lvl w:ilvl="8" w:tplc="040B0005" w:tentative="1">
      <w:start w:val="1"/>
      <w:numFmt w:val="bullet"/>
      <w:lvlText w:val=""/>
      <w:lvlJc w:val="left"/>
      <w:pPr>
        <w:tabs>
          <w:tab w:val="num" w:pos="7740"/>
        </w:tabs>
        <w:ind w:left="774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894"/>
    <w:rsid w:val="00005FC9"/>
    <w:rsid w:val="00022D84"/>
    <w:rsid w:val="00063C52"/>
    <w:rsid w:val="00090A86"/>
    <w:rsid w:val="000D0EA3"/>
    <w:rsid w:val="0010563E"/>
    <w:rsid w:val="0014580D"/>
    <w:rsid w:val="001653E4"/>
    <w:rsid w:val="001A6957"/>
    <w:rsid w:val="001A7392"/>
    <w:rsid w:val="001D5507"/>
    <w:rsid w:val="002342BA"/>
    <w:rsid w:val="0031275D"/>
    <w:rsid w:val="00324D3C"/>
    <w:rsid w:val="0032599F"/>
    <w:rsid w:val="003407D2"/>
    <w:rsid w:val="003F295C"/>
    <w:rsid w:val="00426F05"/>
    <w:rsid w:val="004F2D83"/>
    <w:rsid w:val="004F47E9"/>
    <w:rsid w:val="005878C4"/>
    <w:rsid w:val="005B2138"/>
    <w:rsid w:val="005B5CC6"/>
    <w:rsid w:val="005C0897"/>
    <w:rsid w:val="006133A5"/>
    <w:rsid w:val="006275A6"/>
    <w:rsid w:val="00652268"/>
    <w:rsid w:val="00682804"/>
    <w:rsid w:val="006E6CEC"/>
    <w:rsid w:val="00712F4F"/>
    <w:rsid w:val="0072362E"/>
    <w:rsid w:val="00744562"/>
    <w:rsid w:val="007830F0"/>
    <w:rsid w:val="007D3A78"/>
    <w:rsid w:val="007E637B"/>
    <w:rsid w:val="00857894"/>
    <w:rsid w:val="00857993"/>
    <w:rsid w:val="00891427"/>
    <w:rsid w:val="00953FA6"/>
    <w:rsid w:val="00A46DB0"/>
    <w:rsid w:val="00AE22CB"/>
    <w:rsid w:val="00AE2959"/>
    <w:rsid w:val="00AF24B2"/>
    <w:rsid w:val="00BB3909"/>
    <w:rsid w:val="00BF3455"/>
    <w:rsid w:val="00BF6816"/>
    <w:rsid w:val="00C70555"/>
    <w:rsid w:val="00C85C92"/>
    <w:rsid w:val="00CA22C1"/>
    <w:rsid w:val="00D34C6C"/>
    <w:rsid w:val="00D775CE"/>
    <w:rsid w:val="00D87552"/>
    <w:rsid w:val="00DF53A6"/>
    <w:rsid w:val="00EC5B7A"/>
    <w:rsid w:val="00ED5C3A"/>
    <w:rsid w:val="00EE098C"/>
    <w:rsid w:val="00F02C6B"/>
    <w:rsid w:val="00F211CC"/>
    <w:rsid w:val="00F31D00"/>
    <w:rsid w:val="00F50234"/>
    <w:rsid w:val="00F74CE5"/>
    <w:rsid w:val="00F84AE4"/>
    <w:rsid w:val="00F8732F"/>
    <w:rsid w:val="00F970DF"/>
    <w:rsid w:val="00FF72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2599F"/>
    <w:rPr>
      <w:sz w:val="24"/>
      <w:szCs w:val="24"/>
    </w:rPr>
  </w:style>
  <w:style w:type="paragraph" w:styleId="Otsikko1">
    <w:name w:val="heading 1"/>
    <w:basedOn w:val="Normaali"/>
    <w:next w:val="Normaali"/>
    <w:qFormat/>
    <w:rsid w:val="0032599F"/>
    <w:pPr>
      <w:keepNext/>
      <w:ind w:left="1440" w:hanging="1440"/>
      <w:outlineLvl w:val="0"/>
    </w:pPr>
    <w:rPr>
      <w:rFonts w:ascii="Frutiger 55 Roman" w:hAnsi="Frutiger 55 Roman"/>
      <w:b/>
      <w:iCs/>
    </w:rPr>
  </w:style>
  <w:style w:type="paragraph" w:styleId="Otsikko2">
    <w:name w:val="heading 2"/>
    <w:basedOn w:val="Normaali"/>
    <w:next w:val="Normaali"/>
    <w:qFormat/>
    <w:rsid w:val="0032599F"/>
    <w:pPr>
      <w:keepNext/>
      <w:outlineLvl w:val="1"/>
    </w:pPr>
    <w:rPr>
      <w:rFonts w:ascii="ITC Officina Sans Book" w:hAnsi="ITC Officina Sans Book"/>
      <w:b/>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semiHidden/>
    <w:rsid w:val="0032599F"/>
    <w:pPr>
      <w:ind w:left="1260" w:hanging="1260"/>
    </w:pPr>
    <w:rPr>
      <w:rFonts w:ascii="Frutiger 55 Roman" w:hAnsi="Frutiger 55 Roman"/>
      <w:bCs/>
      <w:iCs/>
    </w:rPr>
  </w:style>
  <w:style w:type="paragraph" w:styleId="Yltunniste">
    <w:name w:val="header"/>
    <w:basedOn w:val="Normaali"/>
    <w:semiHidden/>
    <w:rsid w:val="0032599F"/>
    <w:pPr>
      <w:tabs>
        <w:tab w:val="center" w:pos="4819"/>
        <w:tab w:val="right" w:pos="9638"/>
      </w:tabs>
    </w:pPr>
  </w:style>
  <w:style w:type="paragraph" w:styleId="Alatunniste">
    <w:name w:val="footer"/>
    <w:basedOn w:val="Normaali"/>
    <w:semiHidden/>
    <w:rsid w:val="0032599F"/>
    <w:pPr>
      <w:tabs>
        <w:tab w:val="center" w:pos="4819"/>
        <w:tab w:val="right" w:pos="9638"/>
      </w:tabs>
    </w:pPr>
  </w:style>
  <w:style w:type="character" w:styleId="Hyperlinkki">
    <w:name w:val="Hyperlink"/>
    <w:basedOn w:val="Kappaleenoletusfontti"/>
    <w:semiHidden/>
    <w:rsid w:val="0032599F"/>
    <w:rPr>
      <w:color w:val="0000FF"/>
      <w:u w:val="single"/>
    </w:rPr>
  </w:style>
  <w:style w:type="paragraph" w:customStyle="1" w:styleId="Pivmr1">
    <w:name w:val="Päivämäärä1"/>
    <w:basedOn w:val="Normaali"/>
    <w:next w:val="Normaali"/>
    <w:rsid w:val="0032599F"/>
    <w:pPr>
      <w:overflowPunct w:val="0"/>
      <w:autoSpaceDE w:val="0"/>
      <w:autoSpaceDN w:val="0"/>
      <w:adjustRightInd w:val="0"/>
      <w:textAlignment w:val="baseline"/>
    </w:pPr>
    <w:rPr>
      <w:noProof/>
      <w:szCs w:val="20"/>
    </w:rPr>
  </w:style>
  <w:style w:type="paragraph" w:styleId="Sisennettyleipteksti2">
    <w:name w:val="Body Text Indent 2"/>
    <w:basedOn w:val="Normaali"/>
    <w:semiHidden/>
    <w:rsid w:val="0032599F"/>
    <w:pPr>
      <w:ind w:left="1304"/>
    </w:pPr>
    <w:rPr>
      <w:rFonts w:ascii="FagoNoRegular-Roman" w:hAnsi="FagoNoRegular-Roman"/>
      <w:sz w:val="20"/>
    </w:rPr>
  </w:style>
  <w:style w:type="paragraph" w:styleId="Leipteksti">
    <w:name w:val="Body Text"/>
    <w:basedOn w:val="Normaali"/>
    <w:semiHidden/>
    <w:rsid w:val="0032599F"/>
    <w:pPr>
      <w:spacing w:before="130" w:after="130" w:line="260" w:lineRule="atLeast"/>
    </w:pPr>
    <w:rPr>
      <w:sz w:val="22"/>
      <w:szCs w:val="20"/>
      <w:lang w:val="en-US" w:eastAsia="en-US"/>
    </w:rPr>
  </w:style>
  <w:style w:type="character" w:styleId="Sivunumero">
    <w:name w:val="page number"/>
    <w:basedOn w:val="Kappaleenoletusfontti"/>
    <w:semiHidden/>
    <w:rsid w:val="0032599F"/>
  </w:style>
  <w:style w:type="paragraph" w:styleId="Luettelokappale">
    <w:name w:val="List Paragraph"/>
    <w:basedOn w:val="Normaali"/>
    <w:uiPriority w:val="34"/>
    <w:qFormat/>
    <w:rsid w:val="001653E4"/>
    <w:pPr>
      <w:ind w:left="1304"/>
    </w:pPr>
    <w:rPr>
      <w:lang w:eastAsia="en-US"/>
    </w:rPr>
  </w:style>
  <w:style w:type="paragraph" w:customStyle="1" w:styleId="Maintitle">
    <w:name w:val="Main title"/>
    <w:basedOn w:val="Normaali"/>
    <w:next w:val="Leipteksti"/>
    <w:qFormat/>
    <w:rsid w:val="002342BA"/>
    <w:pPr>
      <w:spacing w:after="240" w:line="240" w:lineRule="atLeast"/>
    </w:pPr>
    <w:rPr>
      <w:rFonts w:ascii="Georgia" w:eastAsiaTheme="minorHAnsi" w:hAnsi="Georgia" w:cstheme="minorBidi"/>
      <w:b/>
      <w:i/>
      <w:sz w:val="28"/>
      <w:szCs w:val="28"/>
      <w:lang w:eastAsia="en-US"/>
    </w:rPr>
  </w:style>
  <w:style w:type="paragraph" w:styleId="Seliteteksti">
    <w:name w:val="Balloon Text"/>
    <w:basedOn w:val="Normaali"/>
    <w:link w:val="SelitetekstiChar"/>
    <w:uiPriority w:val="99"/>
    <w:semiHidden/>
    <w:unhideWhenUsed/>
    <w:rsid w:val="00682804"/>
    <w:rPr>
      <w:rFonts w:ascii="Tahoma" w:hAnsi="Tahoma" w:cs="Tahoma"/>
      <w:sz w:val="16"/>
      <w:szCs w:val="16"/>
    </w:rPr>
  </w:style>
  <w:style w:type="character" w:customStyle="1" w:styleId="SelitetekstiChar">
    <w:name w:val="Seliteteksti Char"/>
    <w:basedOn w:val="Kappaleenoletusfontti"/>
    <w:link w:val="Seliteteksti"/>
    <w:uiPriority w:val="99"/>
    <w:semiHidden/>
    <w:rsid w:val="006828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2599F"/>
    <w:rPr>
      <w:sz w:val="24"/>
      <w:szCs w:val="24"/>
    </w:rPr>
  </w:style>
  <w:style w:type="paragraph" w:styleId="Otsikko1">
    <w:name w:val="heading 1"/>
    <w:basedOn w:val="Normaali"/>
    <w:next w:val="Normaali"/>
    <w:qFormat/>
    <w:rsid w:val="0032599F"/>
    <w:pPr>
      <w:keepNext/>
      <w:ind w:left="1440" w:hanging="1440"/>
      <w:outlineLvl w:val="0"/>
    </w:pPr>
    <w:rPr>
      <w:rFonts w:ascii="Frutiger 55 Roman" w:hAnsi="Frutiger 55 Roman"/>
      <w:b/>
      <w:iCs/>
    </w:rPr>
  </w:style>
  <w:style w:type="paragraph" w:styleId="Otsikko2">
    <w:name w:val="heading 2"/>
    <w:basedOn w:val="Normaali"/>
    <w:next w:val="Normaali"/>
    <w:qFormat/>
    <w:rsid w:val="0032599F"/>
    <w:pPr>
      <w:keepNext/>
      <w:outlineLvl w:val="1"/>
    </w:pPr>
    <w:rPr>
      <w:rFonts w:ascii="ITC Officina Sans Book" w:hAnsi="ITC Officina Sans Book"/>
      <w:b/>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semiHidden/>
    <w:rsid w:val="0032599F"/>
    <w:pPr>
      <w:ind w:left="1260" w:hanging="1260"/>
    </w:pPr>
    <w:rPr>
      <w:rFonts w:ascii="Frutiger 55 Roman" w:hAnsi="Frutiger 55 Roman"/>
      <w:bCs/>
      <w:iCs/>
    </w:rPr>
  </w:style>
  <w:style w:type="paragraph" w:styleId="Yltunniste">
    <w:name w:val="header"/>
    <w:basedOn w:val="Normaali"/>
    <w:semiHidden/>
    <w:rsid w:val="0032599F"/>
    <w:pPr>
      <w:tabs>
        <w:tab w:val="center" w:pos="4819"/>
        <w:tab w:val="right" w:pos="9638"/>
      </w:tabs>
    </w:pPr>
  </w:style>
  <w:style w:type="paragraph" w:styleId="Alatunniste">
    <w:name w:val="footer"/>
    <w:basedOn w:val="Normaali"/>
    <w:semiHidden/>
    <w:rsid w:val="0032599F"/>
    <w:pPr>
      <w:tabs>
        <w:tab w:val="center" w:pos="4819"/>
        <w:tab w:val="right" w:pos="9638"/>
      </w:tabs>
    </w:pPr>
  </w:style>
  <w:style w:type="character" w:styleId="Hyperlinkki">
    <w:name w:val="Hyperlink"/>
    <w:basedOn w:val="Kappaleenoletusfontti"/>
    <w:semiHidden/>
    <w:rsid w:val="0032599F"/>
    <w:rPr>
      <w:color w:val="0000FF"/>
      <w:u w:val="single"/>
    </w:rPr>
  </w:style>
  <w:style w:type="paragraph" w:customStyle="1" w:styleId="Pivmr1">
    <w:name w:val="Päivämäärä1"/>
    <w:basedOn w:val="Normaali"/>
    <w:next w:val="Normaali"/>
    <w:rsid w:val="0032599F"/>
    <w:pPr>
      <w:overflowPunct w:val="0"/>
      <w:autoSpaceDE w:val="0"/>
      <w:autoSpaceDN w:val="0"/>
      <w:adjustRightInd w:val="0"/>
      <w:textAlignment w:val="baseline"/>
    </w:pPr>
    <w:rPr>
      <w:noProof/>
      <w:szCs w:val="20"/>
    </w:rPr>
  </w:style>
  <w:style w:type="paragraph" w:styleId="Sisennettyleipteksti2">
    <w:name w:val="Body Text Indent 2"/>
    <w:basedOn w:val="Normaali"/>
    <w:semiHidden/>
    <w:rsid w:val="0032599F"/>
    <w:pPr>
      <w:ind w:left="1304"/>
    </w:pPr>
    <w:rPr>
      <w:rFonts w:ascii="FagoNoRegular-Roman" w:hAnsi="FagoNoRegular-Roman"/>
      <w:sz w:val="20"/>
    </w:rPr>
  </w:style>
  <w:style w:type="paragraph" w:styleId="Leipteksti">
    <w:name w:val="Body Text"/>
    <w:basedOn w:val="Normaali"/>
    <w:semiHidden/>
    <w:rsid w:val="0032599F"/>
    <w:pPr>
      <w:spacing w:before="130" w:after="130" w:line="260" w:lineRule="atLeast"/>
    </w:pPr>
    <w:rPr>
      <w:sz w:val="22"/>
      <w:szCs w:val="20"/>
      <w:lang w:val="en-US" w:eastAsia="en-US"/>
    </w:rPr>
  </w:style>
  <w:style w:type="character" w:styleId="Sivunumero">
    <w:name w:val="page number"/>
    <w:basedOn w:val="Kappaleenoletusfontti"/>
    <w:semiHidden/>
    <w:rsid w:val="0032599F"/>
  </w:style>
  <w:style w:type="paragraph" w:styleId="Luettelokappale">
    <w:name w:val="List Paragraph"/>
    <w:basedOn w:val="Normaali"/>
    <w:uiPriority w:val="34"/>
    <w:qFormat/>
    <w:rsid w:val="001653E4"/>
    <w:pPr>
      <w:ind w:left="1304"/>
    </w:pPr>
    <w:rPr>
      <w:lang w:eastAsia="en-US"/>
    </w:rPr>
  </w:style>
  <w:style w:type="paragraph" w:customStyle="1" w:styleId="Maintitle">
    <w:name w:val="Main title"/>
    <w:basedOn w:val="Normaali"/>
    <w:next w:val="Leipteksti"/>
    <w:qFormat/>
    <w:rsid w:val="002342BA"/>
    <w:pPr>
      <w:spacing w:after="240" w:line="240" w:lineRule="atLeast"/>
    </w:pPr>
    <w:rPr>
      <w:rFonts w:ascii="Georgia" w:eastAsiaTheme="minorHAnsi" w:hAnsi="Georgia" w:cstheme="minorBidi"/>
      <w:b/>
      <w:i/>
      <w:sz w:val="28"/>
      <w:szCs w:val="28"/>
      <w:lang w:eastAsia="en-US"/>
    </w:rPr>
  </w:style>
  <w:style w:type="paragraph" w:styleId="Seliteteksti">
    <w:name w:val="Balloon Text"/>
    <w:basedOn w:val="Normaali"/>
    <w:link w:val="SelitetekstiChar"/>
    <w:uiPriority w:val="99"/>
    <w:semiHidden/>
    <w:unhideWhenUsed/>
    <w:rsid w:val="00682804"/>
    <w:rPr>
      <w:rFonts w:ascii="Tahoma" w:hAnsi="Tahoma" w:cs="Tahoma"/>
      <w:sz w:val="16"/>
      <w:szCs w:val="16"/>
    </w:rPr>
  </w:style>
  <w:style w:type="character" w:customStyle="1" w:styleId="SelitetekstiChar">
    <w:name w:val="Seliteteksti Char"/>
    <w:basedOn w:val="Kappaleenoletusfontti"/>
    <w:link w:val="Seliteteksti"/>
    <w:uiPriority w:val="99"/>
    <w:semiHidden/>
    <w:rsid w:val="006828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kht@kht.f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04BDA-2610-4C90-9BCE-8BC606E7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1285</Words>
  <Characters>10413</Characters>
  <Application>Microsoft Office Word</Application>
  <DocSecurity>4</DocSecurity>
  <Lines>86</Lines>
  <Paragraphs>23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KHT-Yhdistyksen palvelu Oy</Company>
  <LinksUpToDate>false</LinksUpToDate>
  <CharactersWithSpaces>11675</CharactersWithSpaces>
  <SharedDoc>false</SharedDoc>
  <HLinks>
    <vt:vector size="18" baseType="variant">
      <vt:variant>
        <vt:i4>6225955</vt:i4>
      </vt:variant>
      <vt:variant>
        <vt:i4>3</vt:i4>
      </vt:variant>
      <vt:variant>
        <vt:i4>0</vt:i4>
      </vt:variant>
      <vt:variant>
        <vt:i4>5</vt:i4>
      </vt:variant>
      <vt:variant>
        <vt:lpwstr>mailto:ilkka.harju@vm.fi</vt:lpwstr>
      </vt:variant>
      <vt:variant>
        <vt:lpwstr/>
      </vt:variant>
      <vt:variant>
        <vt:i4>4915311</vt:i4>
      </vt:variant>
      <vt:variant>
        <vt:i4>0</vt:i4>
      </vt:variant>
      <vt:variant>
        <vt:i4>0</vt:i4>
      </vt:variant>
      <vt:variant>
        <vt:i4>5</vt:i4>
      </vt:variant>
      <vt:variant>
        <vt:lpwstr>mailto:valtiovarainministerio@vm.fi</vt:lpwstr>
      </vt:variant>
      <vt:variant>
        <vt:lpwstr/>
      </vt:variant>
      <vt:variant>
        <vt:i4>262180</vt:i4>
      </vt:variant>
      <vt:variant>
        <vt:i4>5</vt:i4>
      </vt:variant>
      <vt:variant>
        <vt:i4>0</vt:i4>
      </vt:variant>
      <vt:variant>
        <vt:i4>5</vt:i4>
      </vt:variant>
      <vt:variant>
        <vt:lpwstr>mailto:kht@kht.fi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Kerttula Timo SM</dc:creator>
  <cp:lastModifiedBy>Honkanen Paula SM</cp:lastModifiedBy>
  <cp:revision>2</cp:revision>
  <cp:lastPrinted>2012-03-12T12:25:00Z</cp:lastPrinted>
  <dcterms:created xsi:type="dcterms:W3CDTF">2012-09-05T06:43:00Z</dcterms:created>
  <dcterms:modified xsi:type="dcterms:W3CDTF">2012-09-05T06:43:00Z</dcterms:modified>
</cp:coreProperties>
</file>