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5102"/>
      </w:tblGrid>
      <w:tr w:rsidR="00076AE4" w:rsidRPr="006A6BF3">
        <w:trPr>
          <w:gridAfter w:val="1"/>
          <w:wAfter w:w="5102" w:type="dxa"/>
        </w:trPr>
        <w:tc>
          <w:tcPr>
            <w:tcW w:w="5104" w:type="dxa"/>
          </w:tcPr>
          <w:p w:rsidR="00076AE4" w:rsidRPr="006A6BF3" w:rsidRDefault="00076AE4">
            <w:pPr>
              <w:rPr>
                <w:rFonts w:ascii="Arial" w:hAnsi="Arial" w:cs="Arial"/>
                <w:szCs w:val="24"/>
              </w:rPr>
            </w:pPr>
            <w:r w:rsidRPr="006A6BF3">
              <w:rPr>
                <w:rFonts w:ascii="Arial" w:hAnsi="Arial" w:cs="Arial"/>
                <w:szCs w:val="24"/>
              </w:rPr>
              <w:t>SISÄASIAINMINISTERIÖ</w:t>
            </w:r>
          </w:p>
          <w:p w:rsidR="00076AE4" w:rsidRPr="006A6BF3" w:rsidRDefault="00076AE4">
            <w:pPr>
              <w:rPr>
                <w:rFonts w:ascii="Arial" w:hAnsi="Arial" w:cs="Arial"/>
                <w:szCs w:val="24"/>
              </w:rPr>
            </w:pPr>
            <w:r w:rsidRPr="006A6BF3">
              <w:rPr>
                <w:rFonts w:ascii="Arial" w:hAnsi="Arial" w:cs="Arial"/>
                <w:szCs w:val="24"/>
              </w:rPr>
              <w:t>Maahanmuutto-osasto</w:t>
            </w:r>
          </w:p>
        </w:tc>
      </w:tr>
      <w:tr w:rsidR="00076AE4" w:rsidRPr="006A6BF3">
        <w:tc>
          <w:tcPr>
            <w:tcW w:w="10206" w:type="dxa"/>
            <w:gridSpan w:val="2"/>
          </w:tcPr>
          <w:p w:rsidR="00076AE4" w:rsidRPr="006A6BF3" w:rsidRDefault="00076AE4">
            <w:pPr>
              <w:rPr>
                <w:rFonts w:ascii="Arial" w:hAnsi="Arial" w:cs="Arial"/>
                <w:szCs w:val="24"/>
              </w:rPr>
            </w:pPr>
            <w:r w:rsidRPr="006A6BF3">
              <w:rPr>
                <w:rFonts w:ascii="Arial" w:hAnsi="Arial" w:cs="Arial"/>
                <w:szCs w:val="24"/>
              </w:rPr>
              <w:t>PL 26</w:t>
            </w:r>
          </w:p>
        </w:tc>
      </w:tr>
      <w:tr w:rsidR="00076AE4" w:rsidRPr="006A6BF3">
        <w:tc>
          <w:tcPr>
            <w:tcW w:w="10206" w:type="dxa"/>
            <w:gridSpan w:val="2"/>
          </w:tcPr>
          <w:p w:rsidR="00076AE4" w:rsidRPr="006A6BF3" w:rsidRDefault="00076AE4">
            <w:pPr>
              <w:rPr>
                <w:rFonts w:ascii="Arial" w:hAnsi="Arial" w:cs="Arial"/>
                <w:szCs w:val="24"/>
              </w:rPr>
            </w:pPr>
            <w:r w:rsidRPr="006A6BF3">
              <w:rPr>
                <w:rFonts w:ascii="Arial" w:hAnsi="Arial" w:cs="Arial"/>
                <w:szCs w:val="24"/>
              </w:rPr>
              <w:t>00023 Valtioneuvosto</w:t>
            </w:r>
          </w:p>
        </w:tc>
      </w:tr>
      <w:tr w:rsidR="00076AE4" w:rsidRPr="006A6BF3">
        <w:tc>
          <w:tcPr>
            <w:tcW w:w="10206" w:type="dxa"/>
            <w:gridSpan w:val="2"/>
          </w:tcPr>
          <w:p w:rsidR="00076AE4" w:rsidRPr="006A6BF3" w:rsidRDefault="00076AE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76AE4" w:rsidRPr="006A6BF3" w:rsidRDefault="00076AE4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91"/>
      </w:tblGrid>
      <w:tr w:rsidR="00076AE4" w:rsidRPr="006A6BF3" w:rsidTr="00AE3AB2">
        <w:trPr>
          <w:trHeight w:val="2302"/>
        </w:trPr>
        <w:tc>
          <w:tcPr>
            <w:tcW w:w="10191" w:type="dxa"/>
          </w:tcPr>
          <w:p w:rsidR="00076AE4" w:rsidRPr="006A6BF3" w:rsidRDefault="00076AE4">
            <w:pPr>
              <w:rPr>
                <w:rFonts w:ascii="Arial" w:hAnsi="Arial" w:cs="Arial"/>
                <w:szCs w:val="24"/>
              </w:rPr>
            </w:pPr>
          </w:p>
          <w:p w:rsidR="00076AE4" w:rsidRPr="006A6BF3" w:rsidRDefault="00076AE4" w:rsidP="00A54210">
            <w:pPr>
              <w:rPr>
                <w:rFonts w:ascii="Arial" w:hAnsi="Arial" w:cs="Arial"/>
                <w:b/>
                <w:szCs w:val="24"/>
              </w:rPr>
            </w:pPr>
            <w:r w:rsidRPr="006A6BF3">
              <w:rPr>
                <w:rFonts w:ascii="Arial" w:hAnsi="Arial" w:cs="Arial"/>
                <w:b/>
                <w:szCs w:val="24"/>
              </w:rPr>
              <w:t>Asia: Lausuntopyyntö kansainvälistä suojelua hakevalle annettavasta oikeudellisesta neuvonnasta ja oikeusavusta</w:t>
            </w:r>
          </w:p>
          <w:p w:rsidR="00076AE4" w:rsidRPr="006A6BF3" w:rsidRDefault="00076AE4" w:rsidP="00A54210">
            <w:pPr>
              <w:rPr>
                <w:rFonts w:ascii="Arial" w:hAnsi="Arial" w:cs="Arial"/>
                <w:b/>
                <w:szCs w:val="24"/>
              </w:rPr>
            </w:pPr>
          </w:p>
          <w:p w:rsidR="00076AE4" w:rsidRPr="006A6BF3" w:rsidRDefault="00076AE4" w:rsidP="0093729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6A6BF3">
              <w:rPr>
                <w:rFonts w:ascii="Arial" w:hAnsi="Arial" w:cs="Arial"/>
                <w:szCs w:val="24"/>
              </w:rPr>
              <w:t>Sisäasiainministeriö asetti toimikaudelle 5.1.2011 - 15.3.2011 hankkeen, jonka ta</w:t>
            </w:r>
            <w:r w:rsidRPr="006A6BF3">
              <w:rPr>
                <w:rFonts w:ascii="Arial" w:hAnsi="Arial" w:cs="Arial"/>
                <w:szCs w:val="24"/>
              </w:rPr>
              <w:t>r</w:t>
            </w:r>
            <w:r w:rsidRPr="006A6BF3">
              <w:rPr>
                <w:rFonts w:ascii="Arial" w:hAnsi="Arial" w:cs="Arial"/>
                <w:szCs w:val="24"/>
              </w:rPr>
              <w:t>koituksena oli selvittää kansainvälistä suojelua hakevien oikeusapupalvelujen nykytilanne. Hankkeelle asete</w:t>
            </w:r>
            <w:r w:rsidRPr="006A6BF3">
              <w:rPr>
                <w:rFonts w:ascii="Arial" w:hAnsi="Arial" w:cs="Arial"/>
                <w:szCs w:val="24"/>
              </w:rPr>
              <w:t>t</w:t>
            </w:r>
            <w:r w:rsidRPr="006A6BF3">
              <w:rPr>
                <w:rFonts w:ascii="Arial" w:hAnsi="Arial" w:cs="Arial"/>
                <w:szCs w:val="24"/>
              </w:rPr>
              <w:t>tiin ohjausryhmä, jonka tehtävänä oli arvioida alustavasti mahdolliset muutostarpeet, jotka liitt</w:t>
            </w:r>
            <w:r w:rsidRPr="006A6BF3">
              <w:rPr>
                <w:rFonts w:ascii="Arial" w:hAnsi="Arial" w:cs="Arial"/>
                <w:szCs w:val="24"/>
              </w:rPr>
              <w:t>y</w:t>
            </w:r>
            <w:r w:rsidRPr="006A6BF3">
              <w:rPr>
                <w:rFonts w:ascii="Arial" w:hAnsi="Arial" w:cs="Arial"/>
                <w:szCs w:val="24"/>
              </w:rPr>
              <w:t>vät palvelujen järjestämiseen, niiden sääntelyyn ja rahoitukseen.</w:t>
            </w:r>
          </w:p>
          <w:p w:rsidR="00076AE4" w:rsidRPr="006A6BF3" w:rsidRDefault="00076AE4" w:rsidP="0093729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076AE4" w:rsidRPr="006A6BF3" w:rsidRDefault="00076AE4" w:rsidP="0093729F">
            <w:pPr>
              <w:rPr>
                <w:rFonts w:ascii="Arial" w:hAnsi="Arial" w:cs="Arial"/>
                <w:szCs w:val="24"/>
              </w:rPr>
            </w:pPr>
            <w:r w:rsidRPr="006A6BF3">
              <w:rPr>
                <w:rFonts w:ascii="Arial" w:hAnsi="Arial" w:cs="Arial"/>
                <w:szCs w:val="24"/>
              </w:rPr>
              <w:t>Sisäasianministeriön Maahanmuutto-osasto on pyytänyt kirjeellään 17.3.2011 Helsingin va</w:t>
            </w:r>
            <w:r w:rsidRPr="006A6BF3">
              <w:rPr>
                <w:rFonts w:ascii="Arial" w:hAnsi="Arial" w:cs="Arial"/>
                <w:szCs w:val="24"/>
              </w:rPr>
              <w:t>s</w:t>
            </w:r>
            <w:r w:rsidRPr="006A6BF3">
              <w:rPr>
                <w:rFonts w:ascii="Arial" w:hAnsi="Arial" w:cs="Arial"/>
                <w:szCs w:val="24"/>
              </w:rPr>
              <w:t xml:space="preserve">taanottokeskusta antamaan lausunnon ohjausryhmän selvityksessä antamista alustavista suosituksista. </w:t>
            </w:r>
          </w:p>
        </w:tc>
      </w:tr>
    </w:tbl>
    <w:p w:rsidR="00076AE4" w:rsidRPr="006A6BF3" w:rsidRDefault="00076AE4">
      <w:pPr>
        <w:rPr>
          <w:rFonts w:ascii="Arial" w:hAnsi="Arial" w:cs="Arial"/>
          <w:szCs w:val="24"/>
        </w:rPr>
      </w:pPr>
    </w:p>
    <w:p w:rsidR="00076AE4" w:rsidRPr="006A6BF3" w:rsidRDefault="00076AE4">
      <w:pPr>
        <w:rPr>
          <w:rFonts w:ascii="Arial" w:hAnsi="Arial" w:cs="Arial"/>
          <w:szCs w:val="24"/>
        </w:rPr>
      </w:pPr>
      <w:r w:rsidRPr="006A6BF3">
        <w:rPr>
          <w:rFonts w:ascii="Arial" w:hAnsi="Arial" w:cs="Arial"/>
          <w:szCs w:val="24"/>
        </w:rPr>
        <w:t>Kiitän Helsingin vastaanottokeskuksen puolesta mahdollisuutta kommentoida ohjausryhmän se</w:t>
      </w:r>
      <w:r w:rsidRPr="006A6BF3">
        <w:rPr>
          <w:rFonts w:ascii="Arial" w:hAnsi="Arial" w:cs="Arial"/>
          <w:szCs w:val="24"/>
        </w:rPr>
        <w:t>l</w:t>
      </w:r>
      <w:r w:rsidRPr="006A6BF3">
        <w:rPr>
          <w:rFonts w:ascii="Arial" w:hAnsi="Arial" w:cs="Arial"/>
          <w:szCs w:val="24"/>
        </w:rPr>
        <w:t>vityksessä annettavia suosituksia.</w:t>
      </w:r>
    </w:p>
    <w:p w:rsidR="00076AE4" w:rsidRPr="006A6BF3" w:rsidRDefault="00076AE4">
      <w:pPr>
        <w:rPr>
          <w:rFonts w:ascii="Arial" w:hAnsi="Arial" w:cs="Arial"/>
          <w:szCs w:val="24"/>
        </w:rPr>
      </w:pPr>
    </w:p>
    <w:p w:rsidR="00076AE4" w:rsidRPr="006A6BF3" w:rsidRDefault="00076AE4">
      <w:pPr>
        <w:rPr>
          <w:rFonts w:ascii="Arial" w:hAnsi="Arial" w:cs="Arial"/>
          <w:szCs w:val="24"/>
        </w:rPr>
      </w:pPr>
      <w:r w:rsidRPr="006A6BF3">
        <w:rPr>
          <w:rFonts w:ascii="Arial" w:hAnsi="Arial" w:cs="Arial"/>
          <w:szCs w:val="24"/>
        </w:rPr>
        <w:t>Ohjausryhmän selvitys on mielestäni perusteellinen ja siinä on huomioitu monipuolisesti oikeu</w:t>
      </w:r>
      <w:r w:rsidRPr="006A6BF3">
        <w:rPr>
          <w:rFonts w:ascii="Arial" w:hAnsi="Arial" w:cs="Arial"/>
          <w:szCs w:val="24"/>
        </w:rPr>
        <w:t>s</w:t>
      </w:r>
      <w:r w:rsidRPr="006A6BF3">
        <w:rPr>
          <w:rFonts w:ascii="Arial" w:hAnsi="Arial" w:cs="Arial"/>
          <w:szCs w:val="24"/>
        </w:rPr>
        <w:t>apupalveluiden järjestämiseen, säätelyyn ja palveluiden rahoitukseen liittyvät muutostarpeet. P</w:t>
      </w:r>
      <w:r w:rsidRPr="006A6BF3">
        <w:rPr>
          <w:rFonts w:ascii="Arial" w:hAnsi="Arial" w:cs="Arial"/>
          <w:szCs w:val="24"/>
        </w:rPr>
        <w:t>i</w:t>
      </w:r>
      <w:r w:rsidRPr="006A6BF3">
        <w:rPr>
          <w:rFonts w:ascii="Arial" w:hAnsi="Arial" w:cs="Arial"/>
          <w:szCs w:val="24"/>
        </w:rPr>
        <w:t>dän hyvänä, että lyhyestä aikataulusta johtuen ohjausryhmä päätyi antamaan alustavat suositu</w:t>
      </w:r>
      <w:r w:rsidRPr="006A6BF3">
        <w:rPr>
          <w:rFonts w:ascii="Arial" w:hAnsi="Arial" w:cs="Arial"/>
          <w:szCs w:val="24"/>
        </w:rPr>
        <w:t>k</w:t>
      </w:r>
      <w:r w:rsidRPr="006A6BF3">
        <w:rPr>
          <w:rFonts w:ascii="Arial" w:hAnsi="Arial" w:cs="Arial"/>
          <w:szCs w:val="24"/>
        </w:rPr>
        <w:t>set ja luo suosituksillaan pohjaa ja</w:t>
      </w:r>
      <w:r w:rsidRPr="006A6BF3">
        <w:rPr>
          <w:rFonts w:ascii="Arial" w:hAnsi="Arial" w:cs="Arial"/>
          <w:szCs w:val="24"/>
        </w:rPr>
        <w:t>t</w:t>
      </w:r>
      <w:r w:rsidRPr="006A6BF3">
        <w:rPr>
          <w:rFonts w:ascii="Arial" w:hAnsi="Arial" w:cs="Arial"/>
          <w:szCs w:val="24"/>
        </w:rPr>
        <w:t>kotyöskentelylle.</w:t>
      </w:r>
    </w:p>
    <w:p w:rsidR="00076AE4" w:rsidRPr="006A6BF3" w:rsidRDefault="00076AE4">
      <w:pPr>
        <w:rPr>
          <w:rFonts w:ascii="Arial" w:hAnsi="Arial" w:cs="Arial"/>
          <w:szCs w:val="24"/>
        </w:rPr>
      </w:pPr>
    </w:p>
    <w:p w:rsidR="00076AE4" w:rsidRPr="00E55DCC" w:rsidRDefault="00076AE4" w:rsidP="002C09A0">
      <w:pPr>
        <w:autoSpaceDE w:val="0"/>
        <w:autoSpaceDN w:val="0"/>
        <w:adjustRightInd w:val="0"/>
        <w:rPr>
          <w:rFonts w:ascii="Arial" w:hAnsi="Arial" w:cs="Arial"/>
          <w:iCs/>
          <w:szCs w:val="24"/>
        </w:rPr>
      </w:pPr>
      <w:r w:rsidRPr="006A6BF3">
        <w:rPr>
          <w:rFonts w:ascii="Arial" w:hAnsi="Arial" w:cs="Arial"/>
          <w:szCs w:val="24"/>
        </w:rPr>
        <w:t>Helsingin vastaanottokesku</w:t>
      </w:r>
      <w:r>
        <w:rPr>
          <w:rFonts w:ascii="Arial" w:hAnsi="Arial" w:cs="Arial"/>
          <w:szCs w:val="24"/>
        </w:rPr>
        <w:t>ksen vs. johtajana yhdyn ohjausryhmän näkemykseen, jonka m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kaan on </w:t>
      </w:r>
      <w:r w:rsidRPr="006A6BF3">
        <w:rPr>
          <w:rFonts w:ascii="Arial" w:hAnsi="Arial" w:cs="Arial"/>
          <w:szCs w:val="24"/>
        </w:rPr>
        <w:t>tarvetta selventää eroa lakiin perustuvan viranomaisten tietojen antamisvelvollisuuden</w:t>
      </w:r>
      <w:r>
        <w:rPr>
          <w:rFonts w:ascii="Arial" w:hAnsi="Arial" w:cs="Arial"/>
          <w:szCs w:val="24"/>
        </w:rPr>
        <w:t xml:space="preserve"> </w:t>
      </w:r>
      <w:r w:rsidRPr="006A6BF3">
        <w:rPr>
          <w:rFonts w:ascii="Arial" w:hAnsi="Arial" w:cs="Arial"/>
          <w:szCs w:val="24"/>
        </w:rPr>
        <w:t>ja yleisen oikeudellisen neuvonnan välil</w:t>
      </w:r>
      <w:r>
        <w:rPr>
          <w:rFonts w:ascii="Arial" w:hAnsi="Arial" w:cs="Arial"/>
          <w:szCs w:val="24"/>
        </w:rPr>
        <w:t xml:space="preserve">lä. Tarvitaan </w:t>
      </w:r>
      <w:r w:rsidRPr="006A6BF3">
        <w:rPr>
          <w:rFonts w:ascii="Arial" w:hAnsi="Arial" w:cs="Arial"/>
          <w:szCs w:val="24"/>
        </w:rPr>
        <w:t>valt</w:t>
      </w:r>
      <w:r w:rsidRPr="006A6BF3">
        <w:rPr>
          <w:rFonts w:ascii="Arial" w:hAnsi="Arial" w:cs="Arial"/>
          <w:szCs w:val="24"/>
        </w:rPr>
        <w:t>a</w:t>
      </w:r>
      <w:r w:rsidRPr="006A6BF3">
        <w:rPr>
          <w:rFonts w:ascii="Arial" w:hAnsi="Arial" w:cs="Arial"/>
          <w:szCs w:val="24"/>
        </w:rPr>
        <w:t>kunnallisesti yhtenäiset linjaukset, joiden perusteella neuvontapalvelut järjest</w:t>
      </w:r>
      <w:r w:rsidRPr="006A6BF3">
        <w:rPr>
          <w:rFonts w:ascii="Arial" w:hAnsi="Arial" w:cs="Arial"/>
          <w:szCs w:val="24"/>
        </w:rPr>
        <w:t>e</w:t>
      </w:r>
      <w:r w:rsidRPr="006A6BF3">
        <w:rPr>
          <w:rFonts w:ascii="Arial" w:hAnsi="Arial" w:cs="Arial"/>
          <w:szCs w:val="24"/>
        </w:rPr>
        <w:t xml:space="preserve">tään. </w:t>
      </w:r>
      <w:r w:rsidRPr="006A6BF3">
        <w:rPr>
          <w:rFonts w:ascii="Arial" w:hAnsi="Arial" w:cs="Arial"/>
          <w:iCs/>
          <w:szCs w:val="24"/>
        </w:rPr>
        <w:t>Ohjausryhmä</w:t>
      </w:r>
      <w:r>
        <w:rPr>
          <w:rFonts w:ascii="Arial" w:hAnsi="Arial" w:cs="Arial"/>
          <w:iCs/>
          <w:szCs w:val="24"/>
        </w:rPr>
        <w:t xml:space="preserve">n suositusten mukaisesti katson, että </w:t>
      </w:r>
      <w:r w:rsidRPr="006A6BF3">
        <w:rPr>
          <w:rFonts w:ascii="Arial" w:hAnsi="Arial" w:cs="Arial"/>
          <w:iCs/>
          <w:szCs w:val="24"/>
        </w:rPr>
        <w:t>yleistä oike</w:t>
      </w:r>
      <w:r>
        <w:rPr>
          <w:rFonts w:ascii="Arial" w:hAnsi="Arial" w:cs="Arial"/>
          <w:iCs/>
          <w:szCs w:val="24"/>
        </w:rPr>
        <w:t>udellista ne</w:t>
      </w:r>
      <w:r>
        <w:rPr>
          <w:rFonts w:ascii="Arial" w:hAnsi="Arial" w:cs="Arial"/>
          <w:iCs/>
          <w:szCs w:val="24"/>
        </w:rPr>
        <w:t>u</w:t>
      </w:r>
      <w:r>
        <w:rPr>
          <w:rFonts w:ascii="Arial" w:hAnsi="Arial" w:cs="Arial"/>
          <w:iCs/>
          <w:szCs w:val="24"/>
        </w:rPr>
        <w:t xml:space="preserve">vontaa tulisi </w:t>
      </w:r>
      <w:r w:rsidRPr="006A6BF3">
        <w:rPr>
          <w:rFonts w:ascii="Arial" w:hAnsi="Arial" w:cs="Arial"/>
          <w:iCs/>
          <w:szCs w:val="24"/>
        </w:rPr>
        <w:t xml:space="preserve">jatkossakin </w:t>
      </w:r>
      <w:r>
        <w:rPr>
          <w:rFonts w:ascii="Arial" w:hAnsi="Arial" w:cs="Arial"/>
          <w:iCs/>
          <w:szCs w:val="24"/>
        </w:rPr>
        <w:t xml:space="preserve">antaa </w:t>
      </w:r>
      <w:r w:rsidRPr="006A6BF3">
        <w:rPr>
          <w:rFonts w:ascii="Arial" w:hAnsi="Arial" w:cs="Arial"/>
          <w:iCs/>
          <w:szCs w:val="24"/>
        </w:rPr>
        <w:t>vastaanottokeskusten kautta järjestettynä. Neuvonnan rahoi</w:t>
      </w:r>
      <w:r>
        <w:rPr>
          <w:rFonts w:ascii="Arial" w:hAnsi="Arial" w:cs="Arial"/>
          <w:iCs/>
          <w:szCs w:val="24"/>
        </w:rPr>
        <w:t xml:space="preserve">tus järjestetään </w:t>
      </w:r>
      <w:r w:rsidRPr="006A6BF3">
        <w:rPr>
          <w:rFonts w:ascii="Arial" w:hAnsi="Arial" w:cs="Arial"/>
          <w:iCs/>
          <w:szCs w:val="24"/>
        </w:rPr>
        <w:t>kansainvälistä suojelua hakevien vastaanottoon tarkoit</w:t>
      </w:r>
      <w:r w:rsidRPr="006A6BF3">
        <w:rPr>
          <w:rFonts w:ascii="Arial" w:hAnsi="Arial" w:cs="Arial"/>
          <w:iCs/>
          <w:szCs w:val="24"/>
        </w:rPr>
        <w:t>e</w:t>
      </w:r>
      <w:r w:rsidRPr="006A6BF3">
        <w:rPr>
          <w:rFonts w:ascii="Arial" w:hAnsi="Arial" w:cs="Arial"/>
          <w:iCs/>
          <w:szCs w:val="24"/>
        </w:rPr>
        <w:t>tusta</w:t>
      </w:r>
      <w:r w:rsidRPr="006A6BF3">
        <w:rPr>
          <w:rFonts w:ascii="Arial" w:hAnsi="Arial" w:cs="Arial"/>
          <w:szCs w:val="24"/>
        </w:rPr>
        <w:t xml:space="preserve"> </w:t>
      </w:r>
      <w:r w:rsidRPr="006A6BF3">
        <w:rPr>
          <w:rFonts w:ascii="Arial" w:hAnsi="Arial" w:cs="Arial"/>
          <w:iCs/>
          <w:szCs w:val="24"/>
        </w:rPr>
        <w:t xml:space="preserve">arviomäärärahasta. </w:t>
      </w:r>
      <w:r>
        <w:rPr>
          <w:rFonts w:ascii="Arial" w:hAnsi="Arial" w:cs="Arial"/>
          <w:iCs/>
          <w:szCs w:val="24"/>
        </w:rPr>
        <w:t xml:space="preserve">On hyvä, että ohjausryhmä näkee </w:t>
      </w:r>
      <w:r>
        <w:rPr>
          <w:rFonts w:ascii="Arial" w:hAnsi="Arial" w:cs="Arial"/>
          <w:szCs w:val="24"/>
        </w:rPr>
        <w:t>tarkoituksenmukaiseksi</w:t>
      </w:r>
      <w:r w:rsidRPr="006A6BF3">
        <w:rPr>
          <w:rFonts w:ascii="Arial" w:hAnsi="Arial" w:cs="Arial"/>
          <w:szCs w:val="24"/>
        </w:rPr>
        <w:t xml:space="preserve"> kehittää jo olema</w:t>
      </w:r>
      <w:r w:rsidRPr="006A6BF3">
        <w:rPr>
          <w:rFonts w:ascii="Arial" w:hAnsi="Arial" w:cs="Arial"/>
          <w:szCs w:val="24"/>
        </w:rPr>
        <w:t>s</w:t>
      </w:r>
      <w:r w:rsidRPr="006A6BF3">
        <w:rPr>
          <w:rFonts w:ascii="Arial" w:hAnsi="Arial" w:cs="Arial"/>
          <w:szCs w:val="24"/>
        </w:rPr>
        <w:t>sa olevaa järjestel</w:t>
      </w:r>
      <w:r>
        <w:rPr>
          <w:rFonts w:ascii="Arial" w:hAnsi="Arial" w:cs="Arial"/>
          <w:szCs w:val="24"/>
        </w:rPr>
        <w:t>mää ja pyrkii näin entistä paremmin turvaamaan hakijoiden yhde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vertais</w:t>
      </w:r>
      <w:r w:rsidRPr="006A6BF3">
        <w:rPr>
          <w:rFonts w:ascii="Arial" w:hAnsi="Arial" w:cs="Arial"/>
          <w:szCs w:val="24"/>
        </w:rPr>
        <w:t>en koh</w:t>
      </w:r>
      <w:r>
        <w:rPr>
          <w:rFonts w:ascii="Arial" w:hAnsi="Arial" w:cs="Arial"/>
          <w:szCs w:val="24"/>
        </w:rPr>
        <w:t xml:space="preserve">telun.  Mielestäni on tarpeen ohjausryhmän suositusten mukaisesti </w:t>
      </w:r>
      <w:r>
        <w:rPr>
          <w:rFonts w:ascii="Arial" w:hAnsi="Arial" w:cs="Arial"/>
          <w:iCs/>
          <w:szCs w:val="24"/>
        </w:rPr>
        <w:t>jatkotyönä selvittää</w:t>
      </w:r>
      <w:r w:rsidRPr="006A6BF3">
        <w:rPr>
          <w:rFonts w:ascii="Arial" w:hAnsi="Arial" w:cs="Arial"/>
          <w:iCs/>
          <w:szCs w:val="24"/>
        </w:rPr>
        <w:t>, onko yleisestä oikeudellisesta neuvo</w:t>
      </w:r>
      <w:r w:rsidRPr="006A6BF3">
        <w:rPr>
          <w:rFonts w:ascii="Arial" w:hAnsi="Arial" w:cs="Arial"/>
          <w:iCs/>
          <w:szCs w:val="24"/>
        </w:rPr>
        <w:t>n</w:t>
      </w:r>
      <w:r w:rsidRPr="006A6BF3">
        <w:rPr>
          <w:rFonts w:ascii="Arial" w:hAnsi="Arial" w:cs="Arial"/>
          <w:iCs/>
          <w:szCs w:val="24"/>
        </w:rPr>
        <w:t xml:space="preserve">nasta tarpeen säätää ja missä laissa. </w:t>
      </w:r>
      <w:r>
        <w:rPr>
          <w:rFonts w:ascii="Arial" w:hAnsi="Arial" w:cs="Arial"/>
          <w:iCs/>
          <w:szCs w:val="24"/>
        </w:rPr>
        <w:t xml:space="preserve">Samalla on ensiarvoisen tärkeää </w:t>
      </w:r>
      <w:r w:rsidRPr="006A6BF3">
        <w:rPr>
          <w:rFonts w:ascii="Arial" w:hAnsi="Arial" w:cs="Arial"/>
          <w:iCs/>
          <w:szCs w:val="24"/>
        </w:rPr>
        <w:t>selvittää vaihtoehtoisia tapoja neuvonnan järjestämisessä. Palve</w:t>
      </w:r>
      <w:r>
        <w:rPr>
          <w:rFonts w:ascii="Arial" w:hAnsi="Arial" w:cs="Arial"/>
          <w:iCs/>
          <w:szCs w:val="24"/>
        </w:rPr>
        <w:t>lujen hankintaprosessi</w:t>
      </w:r>
      <w:r w:rsidRPr="006A6BF3">
        <w:rPr>
          <w:rFonts w:ascii="Arial" w:hAnsi="Arial" w:cs="Arial"/>
          <w:iCs/>
          <w:szCs w:val="24"/>
        </w:rPr>
        <w:t xml:space="preserve"> tulee selkiyttää ja neuvontapalvelut tulee järjestää hankintalain edellyttämällä tavalla. </w:t>
      </w:r>
      <w:r>
        <w:rPr>
          <w:rFonts w:ascii="Arial" w:hAnsi="Arial" w:cs="Arial"/>
          <w:szCs w:val="24"/>
        </w:rPr>
        <w:t>Kansainv</w:t>
      </w:r>
      <w:r>
        <w:rPr>
          <w:rFonts w:ascii="Arial" w:hAnsi="Arial" w:cs="Arial"/>
          <w:szCs w:val="24"/>
        </w:rPr>
        <w:t>ä</w:t>
      </w:r>
      <w:r>
        <w:rPr>
          <w:rFonts w:ascii="Arial" w:hAnsi="Arial" w:cs="Arial"/>
          <w:szCs w:val="24"/>
        </w:rPr>
        <w:t>listä suojelua hakevien oikeudellinen neuvonta voidaan mielestäni järjestää pääsääntöisesti kau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takulkukeskuksissa.</w:t>
      </w:r>
    </w:p>
    <w:p w:rsidR="00076AE4" w:rsidRPr="006A6BF3" w:rsidRDefault="00076AE4" w:rsidP="002C09A0">
      <w:pPr>
        <w:autoSpaceDE w:val="0"/>
        <w:autoSpaceDN w:val="0"/>
        <w:adjustRightInd w:val="0"/>
        <w:rPr>
          <w:rFonts w:ascii="Arial" w:hAnsi="Arial" w:cs="Arial"/>
          <w:iCs/>
          <w:szCs w:val="24"/>
        </w:rPr>
      </w:pPr>
    </w:p>
    <w:p w:rsidR="00076AE4" w:rsidRPr="006A6BF3" w:rsidRDefault="00076AE4" w:rsidP="002C09A0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Helsingin vastaanottokeskuksessa on käytännössä todettu, että </w:t>
      </w:r>
      <w:r w:rsidRPr="006A6BF3">
        <w:rPr>
          <w:rFonts w:ascii="Arial" w:hAnsi="Arial" w:cs="Arial"/>
          <w:szCs w:val="24"/>
        </w:rPr>
        <w:t>yksilöllisen oikeusavun antam</w:t>
      </w:r>
      <w:r w:rsidRPr="006A6BF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nen </w:t>
      </w:r>
      <w:r w:rsidRPr="006A6BF3">
        <w:rPr>
          <w:rFonts w:ascii="Arial" w:hAnsi="Arial" w:cs="Arial"/>
          <w:szCs w:val="24"/>
        </w:rPr>
        <w:t>vastaanottokeskusten</w:t>
      </w:r>
      <w:r>
        <w:rPr>
          <w:rFonts w:ascii="Arial" w:hAnsi="Arial" w:cs="Arial"/>
          <w:szCs w:val="24"/>
        </w:rPr>
        <w:t xml:space="preserve"> </w:t>
      </w:r>
      <w:r w:rsidRPr="006A6BF3">
        <w:rPr>
          <w:rFonts w:ascii="Arial" w:hAnsi="Arial" w:cs="Arial"/>
          <w:szCs w:val="24"/>
        </w:rPr>
        <w:t xml:space="preserve">järjestämänä on </w:t>
      </w:r>
      <w:r>
        <w:rPr>
          <w:rFonts w:ascii="Arial" w:hAnsi="Arial" w:cs="Arial"/>
          <w:szCs w:val="24"/>
        </w:rPr>
        <w:t xml:space="preserve">erittäin </w:t>
      </w:r>
      <w:r w:rsidRPr="006A6BF3">
        <w:rPr>
          <w:rFonts w:ascii="Arial" w:hAnsi="Arial" w:cs="Arial"/>
          <w:szCs w:val="24"/>
        </w:rPr>
        <w:t>haa</w:t>
      </w:r>
      <w:r>
        <w:rPr>
          <w:rFonts w:ascii="Arial" w:hAnsi="Arial" w:cs="Arial"/>
          <w:szCs w:val="24"/>
        </w:rPr>
        <w:t>steellista</w:t>
      </w:r>
      <w:r w:rsidRPr="006A6BF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Yhdyn ohjausryhmän näk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mykseen, että mikäli yksilöllistä</w:t>
      </w:r>
      <w:r w:rsidRPr="006A6BF3">
        <w:rPr>
          <w:rFonts w:ascii="Arial" w:hAnsi="Arial" w:cs="Arial"/>
          <w:szCs w:val="24"/>
        </w:rPr>
        <w:t xml:space="preserve"> oikeusapu</w:t>
      </w:r>
      <w:r>
        <w:rPr>
          <w:rFonts w:ascii="Arial" w:hAnsi="Arial" w:cs="Arial"/>
          <w:szCs w:val="24"/>
        </w:rPr>
        <w:t>a</w:t>
      </w:r>
      <w:r w:rsidRPr="006A6BF3">
        <w:rPr>
          <w:rFonts w:ascii="Arial" w:hAnsi="Arial" w:cs="Arial"/>
          <w:szCs w:val="24"/>
        </w:rPr>
        <w:t xml:space="preserve"> hakemusvaiheessa annettaisiin jatkossakin va</w:t>
      </w:r>
      <w:r w:rsidRPr="006A6BF3">
        <w:rPr>
          <w:rFonts w:ascii="Arial" w:hAnsi="Arial" w:cs="Arial"/>
          <w:szCs w:val="24"/>
        </w:rPr>
        <w:t>s</w:t>
      </w:r>
      <w:r w:rsidRPr="006A6BF3">
        <w:rPr>
          <w:rFonts w:ascii="Arial" w:hAnsi="Arial" w:cs="Arial"/>
          <w:szCs w:val="24"/>
        </w:rPr>
        <w:t>taanottokeskusten kautta järjestettynä, oikeusavun antamisesta tulisi säätää laissa. Lainmu</w:t>
      </w:r>
      <w:r w:rsidRPr="006A6BF3">
        <w:rPr>
          <w:rFonts w:ascii="Arial" w:hAnsi="Arial" w:cs="Arial"/>
          <w:szCs w:val="24"/>
        </w:rPr>
        <w:t>u</w:t>
      </w:r>
      <w:r w:rsidRPr="006A6BF3">
        <w:rPr>
          <w:rFonts w:ascii="Arial" w:hAnsi="Arial" w:cs="Arial"/>
          <w:szCs w:val="24"/>
        </w:rPr>
        <w:t>toksen lisäksi tar</w:t>
      </w:r>
      <w:r>
        <w:rPr>
          <w:rFonts w:ascii="Arial" w:hAnsi="Arial" w:cs="Arial"/>
          <w:szCs w:val="24"/>
        </w:rPr>
        <w:t>vitaan</w:t>
      </w:r>
      <w:r w:rsidRPr="006A6B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ehdottomasti </w:t>
      </w:r>
      <w:r w:rsidRPr="006A6BF3">
        <w:rPr>
          <w:rFonts w:ascii="Arial" w:hAnsi="Arial" w:cs="Arial"/>
          <w:szCs w:val="24"/>
        </w:rPr>
        <w:t xml:space="preserve">säännöksiä, joilla ohjataan mm. avustajien palkkioiden ja kulukorvausten maksamista. </w:t>
      </w:r>
      <w:r>
        <w:rPr>
          <w:rFonts w:ascii="Arial" w:hAnsi="Arial" w:cs="Arial"/>
          <w:szCs w:val="24"/>
        </w:rPr>
        <w:t>Myös o</w:t>
      </w:r>
      <w:r w:rsidRPr="006A6BF3">
        <w:rPr>
          <w:rFonts w:ascii="Arial" w:hAnsi="Arial" w:cs="Arial"/>
          <w:szCs w:val="24"/>
        </w:rPr>
        <w:t>ikeusapupalvelujen tuottajien hankintaprosessissa tulisi o</w:t>
      </w:r>
      <w:r w:rsidRPr="006A6BF3">
        <w:rPr>
          <w:rFonts w:ascii="Arial" w:hAnsi="Arial" w:cs="Arial"/>
          <w:szCs w:val="24"/>
        </w:rPr>
        <w:t>t</w:t>
      </w:r>
      <w:r w:rsidRPr="006A6BF3">
        <w:rPr>
          <w:rFonts w:ascii="Arial" w:hAnsi="Arial" w:cs="Arial"/>
          <w:szCs w:val="24"/>
        </w:rPr>
        <w:t>taa hu</w:t>
      </w:r>
      <w:r w:rsidRPr="006A6BF3">
        <w:rPr>
          <w:rFonts w:ascii="Arial" w:hAnsi="Arial" w:cs="Arial"/>
          <w:szCs w:val="24"/>
        </w:rPr>
        <w:t>o</w:t>
      </w:r>
      <w:r w:rsidRPr="006A6BF3">
        <w:rPr>
          <w:rFonts w:ascii="Arial" w:hAnsi="Arial" w:cs="Arial"/>
          <w:szCs w:val="24"/>
        </w:rPr>
        <w:t>mioon hankintalain säännökset. Palvelut tulisi kilpailuttaa, johon haasteita toisivat mm. tarve palvelujen tason yhdenmukaisuudesta valtakunnallisesti, kilpailukriteerien määrittely ja kansainvälistä suojelua hakevien määrän vuosittainen vaihtelu. Säädöspohjan luomisen ja ha</w:t>
      </w:r>
      <w:r w:rsidRPr="006A6BF3">
        <w:rPr>
          <w:rFonts w:ascii="Arial" w:hAnsi="Arial" w:cs="Arial"/>
          <w:szCs w:val="24"/>
        </w:rPr>
        <w:t>n</w:t>
      </w:r>
      <w:r w:rsidRPr="006A6BF3">
        <w:rPr>
          <w:rFonts w:ascii="Arial" w:hAnsi="Arial" w:cs="Arial"/>
          <w:szCs w:val="24"/>
        </w:rPr>
        <w:t>kintaprosessin selkiyttämisen jälkeenkin järjestelmä olisi edelleen osittain päällekkäinen oikeu</w:t>
      </w:r>
      <w:r w:rsidRPr="006A6BF3">
        <w:rPr>
          <w:rFonts w:ascii="Arial" w:hAnsi="Arial" w:cs="Arial"/>
          <w:szCs w:val="24"/>
        </w:rPr>
        <w:t>s</w:t>
      </w:r>
      <w:r w:rsidRPr="006A6BF3">
        <w:rPr>
          <w:rFonts w:ascii="Arial" w:hAnsi="Arial" w:cs="Arial"/>
          <w:szCs w:val="24"/>
        </w:rPr>
        <w:t>apulain mukaisen oikeusapujärje</w:t>
      </w:r>
      <w:r w:rsidRPr="006A6BF3">
        <w:rPr>
          <w:rFonts w:ascii="Arial" w:hAnsi="Arial" w:cs="Arial"/>
          <w:szCs w:val="24"/>
        </w:rPr>
        <w:t>s</w:t>
      </w:r>
      <w:r w:rsidRPr="006A6BF3">
        <w:rPr>
          <w:rFonts w:ascii="Arial" w:hAnsi="Arial" w:cs="Arial"/>
          <w:szCs w:val="24"/>
        </w:rPr>
        <w:t>telmän kanssa.</w:t>
      </w:r>
    </w:p>
    <w:p w:rsidR="00076AE4" w:rsidRPr="006A6BF3" w:rsidRDefault="00076AE4" w:rsidP="002C09A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076AE4" w:rsidRPr="006A6BF3" w:rsidRDefault="00076AE4" w:rsidP="002C09A0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Mielestäni </w:t>
      </w:r>
      <w:r w:rsidRPr="006A6BF3">
        <w:rPr>
          <w:rFonts w:ascii="Arial" w:hAnsi="Arial" w:cs="Arial"/>
          <w:szCs w:val="24"/>
        </w:rPr>
        <w:t>kansainvälistä suojelua hakevien yksilöllisen oikeusavun</w:t>
      </w:r>
      <w:r>
        <w:rPr>
          <w:rFonts w:ascii="Arial" w:hAnsi="Arial" w:cs="Arial"/>
          <w:szCs w:val="24"/>
        </w:rPr>
        <w:t xml:space="preserve"> </w:t>
      </w:r>
      <w:r w:rsidRPr="006A6BF3">
        <w:rPr>
          <w:rFonts w:ascii="Arial" w:hAnsi="Arial" w:cs="Arial"/>
          <w:szCs w:val="24"/>
        </w:rPr>
        <w:t>siirtäminen osaksi oikeu</w:t>
      </w:r>
      <w:r w:rsidRPr="006A6BF3">
        <w:rPr>
          <w:rFonts w:ascii="Arial" w:hAnsi="Arial" w:cs="Arial"/>
          <w:szCs w:val="24"/>
        </w:rPr>
        <w:t>s</w:t>
      </w:r>
      <w:r w:rsidRPr="006A6BF3">
        <w:rPr>
          <w:rFonts w:ascii="Arial" w:hAnsi="Arial" w:cs="Arial"/>
          <w:szCs w:val="24"/>
        </w:rPr>
        <w:t>apulain mukaista oikeusapujärjestelmää tarjoaisi vastauksen</w:t>
      </w:r>
      <w:r>
        <w:rPr>
          <w:rFonts w:ascii="Arial" w:hAnsi="Arial" w:cs="Arial"/>
          <w:szCs w:val="24"/>
        </w:rPr>
        <w:t xml:space="preserve"> </w:t>
      </w:r>
      <w:r w:rsidRPr="006A6BF3">
        <w:rPr>
          <w:rFonts w:ascii="Arial" w:hAnsi="Arial" w:cs="Arial"/>
          <w:szCs w:val="24"/>
        </w:rPr>
        <w:t>nykyjärjestelmän haasteisiin ja se</w:t>
      </w:r>
      <w:r w:rsidRPr="006A6BF3">
        <w:rPr>
          <w:rFonts w:ascii="Arial" w:hAnsi="Arial" w:cs="Arial"/>
          <w:szCs w:val="24"/>
        </w:rPr>
        <w:t>l</w:t>
      </w:r>
      <w:r w:rsidRPr="006A6BF3">
        <w:rPr>
          <w:rFonts w:ascii="Arial" w:hAnsi="Arial" w:cs="Arial"/>
          <w:szCs w:val="24"/>
        </w:rPr>
        <w:t>kiinnyttäisi järjestelmää.</w:t>
      </w:r>
      <w:r>
        <w:rPr>
          <w:rFonts w:ascii="Arial" w:hAnsi="Arial" w:cs="Arial"/>
          <w:szCs w:val="24"/>
        </w:rPr>
        <w:t xml:space="preserve"> </w:t>
      </w:r>
      <w:r w:rsidRPr="006A6BF3">
        <w:rPr>
          <w:rFonts w:ascii="Arial" w:hAnsi="Arial" w:cs="Arial"/>
          <w:szCs w:val="24"/>
        </w:rPr>
        <w:t xml:space="preserve">Oikeusaputoimistoilla on </w:t>
      </w:r>
      <w:r>
        <w:rPr>
          <w:rFonts w:ascii="Arial" w:hAnsi="Arial" w:cs="Arial"/>
          <w:szCs w:val="24"/>
        </w:rPr>
        <w:t xml:space="preserve">tarvittavaa </w:t>
      </w:r>
      <w:r w:rsidRPr="006A6BF3">
        <w:rPr>
          <w:rFonts w:ascii="Arial" w:hAnsi="Arial" w:cs="Arial"/>
          <w:szCs w:val="24"/>
        </w:rPr>
        <w:t>asiantuntemusta oikeusapuun liitt</w:t>
      </w:r>
      <w:r w:rsidRPr="006A6BF3">
        <w:rPr>
          <w:rFonts w:ascii="Arial" w:hAnsi="Arial" w:cs="Arial"/>
          <w:szCs w:val="24"/>
        </w:rPr>
        <w:t>y</w:t>
      </w:r>
      <w:r w:rsidRPr="006A6BF3">
        <w:rPr>
          <w:rFonts w:ascii="Arial" w:hAnsi="Arial" w:cs="Arial"/>
          <w:szCs w:val="24"/>
        </w:rPr>
        <w:t>vien säädösten soveltamisessa,</w:t>
      </w:r>
      <w:r>
        <w:rPr>
          <w:rFonts w:ascii="Arial" w:hAnsi="Arial" w:cs="Arial"/>
          <w:szCs w:val="24"/>
        </w:rPr>
        <w:t xml:space="preserve"> </w:t>
      </w:r>
      <w:r w:rsidRPr="006A6BF3">
        <w:rPr>
          <w:rFonts w:ascii="Arial" w:hAnsi="Arial" w:cs="Arial"/>
          <w:szCs w:val="24"/>
        </w:rPr>
        <w:t>kuten avun tarpeen määrittämisessä, asioiden hoitamiseen liitt</w:t>
      </w:r>
      <w:r w:rsidRPr="006A6BF3">
        <w:rPr>
          <w:rFonts w:ascii="Arial" w:hAnsi="Arial" w:cs="Arial"/>
          <w:szCs w:val="24"/>
        </w:rPr>
        <w:t>y</w:t>
      </w:r>
      <w:r w:rsidRPr="006A6BF3">
        <w:rPr>
          <w:rFonts w:ascii="Arial" w:hAnsi="Arial" w:cs="Arial"/>
          <w:szCs w:val="24"/>
        </w:rPr>
        <w:t>vien tehtävien</w:t>
      </w:r>
      <w:r>
        <w:rPr>
          <w:rFonts w:ascii="Arial" w:hAnsi="Arial" w:cs="Arial"/>
          <w:szCs w:val="24"/>
        </w:rPr>
        <w:t xml:space="preserve"> </w:t>
      </w:r>
      <w:r w:rsidRPr="006A6BF3">
        <w:rPr>
          <w:rFonts w:ascii="Arial" w:hAnsi="Arial" w:cs="Arial"/>
          <w:szCs w:val="24"/>
        </w:rPr>
        <w:t>keston arvioinnissa sekä rahavirtojen hallinnassa ja seurannassa. Oikeu</w:t>
      </w:r>
      <w:r w:rsidRPr="006A6BF3">
        <w:rPr>
          <w:rFonts w:ascii="Arial" w:hAnsi="Arial" w:cs="Arial"/>
          <w:szCs w:val="24"/>
        </w:rPr>
        <w:t>s</w:t>
      </w:r>
      <w:r w:rsidRPr="006A6BF3">
        <w:rPr>
          <w:rFonts w:ascii="Arial" w:hAnsi="Arial" w:cs="Arial"/>
          <w:szCs w:val="24"/>
        </w:rPr>
        <w:t>apulain mukainen</w:t>
      </w:r>
      <w:r>
        <w:rPr>
          <w:rFonts w:ascii="Arial" w:hAnsi="Arial" w:cs="Arial"/>
          <w:szCs w:val="24"/>
        </w:rPr>
        <w:t xml:space="preserve"> </w:t>
      </w:r>
      <w:r w:rsidRPr="006A6BF3">
        <w:rPr>
          <w:rFonts w:ascii="Arial" w:hAnsi="Arial" w:cs="Arial"/>
          <w:szCs w:val="24"/>
        </w:rPr>
        <w:t>oikeusapu ei ole hankintalain piirissä.</w:t>
      </w:r>
      <w:r>
        <w:rPr>
          <w:rFonts w:ascii="Arial" w:hAnsi="Arial" w:cs="Arial"/>
          <w:szCs w:val="24"/>
        </w:rPr>
        <w:t xml:space="preserve"> </w:t>
      </w:r>
    </w:p>
    <w:p w:rsidR="00076AE4" w:rsidRPr="006A6BF3" w:rsidRDefault="00076AE4" w:rsidP="002C09A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076AE4" w:rsidRDefault="00076AE4" w:rsidP="00AE3AB2">
      <w:pPr>
        <w:autoSpaceDE w:val="0"/>
        <w:autoSpaceDN w:val="0"/>
        <w:adjustRightInd w:val="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Ohjausryhmä suositus</w:t>
      </w:r>
      <w:r w:rsidRPr="006A6BF3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kansainvälistä suojelua hakevien </w:t>
      </w:r>
      <w:r w:rsidRPr="006A6BF3">
        <w:rPr>
          <w:rFonts w:ascii="Arial" w:hAnsi="Arial" w:cs="Arial"/>
          <w:iCs/>
          <w:szCs w:val="24"/>
        </w:rPr>
        <w:t>yks</w:t>
      </w:r>
      <w:r>
        <w:rPr>
          <w:rFonts w:ascii="Arial" w:hAnsi="Arial" w:cs="Arial"/>
          <w:iCs/>
          <w:szCs w:val="24"/>
        </w:rPr>
        <w:t>ilöllisen oikeusavun järjestämisen siirtämisestä</w:t>
      </w:r>
      <w:r w:rsidRPr="006A6BF3">
        <w:rPr>
          <w:rFonts w:ascii="Arial" w:hAnsi="Arial" w:cs="Arial"/>
          <w:iCs/>
          <w:szCs w:val="24"/>
        </w:rPr>
        <w:t xml:space="preserve"> kokonaisuudessaan</w:t>
      </w:r>
      <w:r>
        <w:rPr>
          <w:rFonts w:ascii="Arial" w:hAnsi="Arial" w:cs="Arial"/>
          <w:iCs/>
          <w:szCs w:val="24"/>
        </w:rPr>
        <w:t xml:space="preserve"> </w:t>
      </w:r>
      <w:r w:rsidRPr="006A6BF3">
        <w:rPr>
          <w:rFonts w:ascii="Arial" w:hAnsi="Arial" w:cs="Arial"/>
          <w:iCs/>
          <w:szCs w:val="24"/>
        </w:rPr>
        <w:t>oikeusapulain mukaise</w:t>
      </w:r>
      <w:r>
        <w:rPr>
          <w:rFonts w:ascii="Arial" w:hAnsi="Arial" w:cs="Arial"/>
          <w:iCs/>
          <w:szCs w:val="24"/>
        </w:rPr>
        <w:t>n oikeusapujärjestelmän piiriin on mi</w:t>
      </w:r>
      <w:r>
        <w:rPr>
          <w:rFonts w:ascii="Arial" w:hAnsi="Arial" w:cs="Arial"/>
          <w:iCs/>
          <w:szCs w:val="24"/>
        </w:rPr>
        <w:t>e</w:t>
      </w:r>
      <w:r>
        <w:rPr>
          <w:rFonts w:ascii="Arial" w:hAnsi="Arial" w:cs="Arial"/>
          <w:iCs/>
          <w:szCs w:val="24"/>
        </w:rPr>
        <w:t>lestäni perusteltu ja hyvä kannanotto kansainvälistä suojelua hakevien oikeuspalvelujen taka</w:t>
      </w:r>
      <w:r>
        <w:rPr>
          <w:rFonts w:ascii="Arial" w:hAnsi="Arial" w:cs="Arial"/>
          <w:iCs/>
          <w:szCs w:val="24"/>
        </w:rPr>
        <w:t>a</w:t>
      </w:r>
      <w:r>
        <w:rPr>
          <w:rFonts w:ascii="Arial" w:hAnsi="Arial" w:cs="Arial"/>
          <w:iCs/>
          <w:szCs w:val="24"/>
        </w:rPr>
        <w:t>miseksi ja palvelun selkeyttämiseksi. Tärkeää on, että s</w:t>
      </w:r>
      <w:r w:rsidRPr="006A6BF3">
        <w:rPr>
          <w:rFonts w:ascii="Arial" w:hAnsi="Arial" w:cs="Arial"/>
          <w:iCs/>
          <w:szCs w:val="24"/>
        </w:rPr>
        <w:t>iir</w:t>
      </w:r>
      <w:r>
        <w:rPr>
          <w:rFonts w:ascii="Arial" w:hAnsi="Arial" w:cs="Arial"/>
          <w:iCs/>
          <w:szCs w:val="24"/>
        </w:rPr>
        <w:t xml:space="preserve">to ei </w:t>
      </w:r>
      <w:r w:rsidRPr="006A6BF3">
        <w:rPr>
          <w:rFonts w:ascii="Arial" w:hAnsi="Arial" w:cs="Arial"/>
          <w:iCs/>
          <w:szCs w:val="24"/>
        </w:rPr>
        <w:t>sulje pois oikeusavun antajien pi</w:t>
      </w:r>
      <w:r w:rsidRPr="006A6BF3">
        <w:rPr>
          <w:rFonts w:ascii="Arial" w:hAnsi="Arial" w:cs="Arial"/>
          <w:iCs/>
          <w:szCs w:val="24"/>
        </w:rPr>
        <w:t>i</w:t>
      </w:r>
      <w:r w:rsidRPr="006A6BF3">
        <w:rPr>
          <w:rFonts w:ascii="Arial" w:hAnsi="Arial" w:cs="Arial"/>
          <w:iCs/>
          <w:szCs w:val="24"/>
        </w:rPr>
        <w:t>ristä niitä, jotka antavat yksilöllistä oikeusapua tällä hetkellä vastaanottokeskusten maksaman jä</w:t>
      </w:r>
      <w:r w:rsidRPr="006A6BF3">
        <w:rPr>
          <w:rFonts w:ascii="Arial" w:hAnsi="Arial" w:cs="Arial"/>
          <w:iCs/>
          <w:szCs w:val="24"/>
        </w:rPr>
        <w:t>r</w:t>
      </w:r>
      <w:r w:rsidRPr="006A6BF3">
        <w:rPr>
          <w:rFonts w:ascii="Arial" w:hAnsi="Arial" w:cs="Arial"/>
          <w:iCs/>
          <w:szCs w:val="24"/>
        </w:rPr>
        <w:t>jestelmän kautta</w:t>
      </w:r>
      <w:r>
        <w:rPr>
          <w:rFonts w:ascii="Arial" w:hAnsi="Arial" w:cs="Arial"/>
          <w:iCs/>
          <w:szCs w:val="24"/>
        </w:rPr>
        <w:t xml:space="preserve">. Ennen siirtoa tulee myös varmistaa </w:t>
      </w:r>
      <w:r w:rsidRPr="006A6BF3">
        <w:rPr>
          <w:rFonts w:ascii="Arial" w:hAnsi="Arial" w:cs="Arial"/>
          <w:iCs/>
          <w:szCs w:val="24"/>
        </w:rPr>
        <w:t>oikeusapulain säännö</w:t>
      </w:r>
      <w:r>
        <w:rPr>
          <w:rFonts w:ascii="Arial" w:hAnsi="Arial" w:cs="Arial"/>
          <w:iCs/>
          <w:szCs w:val="24"/>
        </w:rPr>
        <w:t>sten riittävyys.</w:t>
      </w:r>
    </w:p>
    <w:p w:rsidR="00076AE4" w:rsidRDefault="00076AE4" w:rsidP="00AE3AB2">
      <w:pPr>
        <w:autoSpaceDE w:val="0"/>
        <w:autoSpaceDN w:val="0"/>
        <w:adjustRightInd w:val="0"/>
        <w:rPr>
          <w:rFonts w:ascii="Arial" w:hAnsi="Arial" w:cs="Arial"/>
          <w:iCs/>
          <w:szCs w:val="24"/>
        </w:rPr>
      </w:pPr>
    </w:p>
    <w:p w:rsidR="00076AE4" w:rsidRPr="00E55DCC" w:rsidRDefault="00076AE4" w:rsidP="00AE3AB2">
      <w:pPr>
        <w:autoSpaceDE w:val="0"/>
        <w:autoSpaceDN w:val="0"/>
        <w:adjustRightInd w:val="0"/>
        <w:rPr>
          <w:rFonts w:ascii="Arial" w:hAnsi="Arial" w:cs="Arial"/>
          <w:iCs/>
          <w:szCs w:val="24"/>
        </w:rPr>
      </w:pPr>
    </w:p>
    <w:p w:rsidR="00076AE4" w:rsidRPr="006A6BF3" w:rsidRDefault="00076AE4">
      <w:pPr>
        <w:rPr>
          <w:rFonts w:ascii="Arial" w:hAnsi="Arial" w:cs="Arial"/>
          <w:szCs w:val="24"/>
        </w:rPr>
      </w:pPr>
    </w:p>
    <w:p w:rsidR="00076AE4" w:rsidRPr="006A6BF3" w:rsidRDefault="00076AE4">
      <w:pPr>
        <w:rPr>
          <w:rFonts w:ascii="Arial" w:hAnsi="Arial" w:cs="Arial"/>
          <w:szCs w:val="24"/>
        </w:rPr>
      </w:pPr>
    </w:p>
    <w:p w:rsidR="00076AE4" w:rsidRPr="006A6BF3" w:rsidRDefault="00076AE4">
      <w:pPr>
        <w:rPr>
          <w:rFonts w:ascii="Arial" w:hAnsi="Arial" w:cs="Arial"/>
          <w:szCs w:val="24"/>
        </w:rPr>
      </w:pPr>
      <w:r w:rsidRPr="006A6BF3">
        <w:rPr>
          <w:rFonts w:ascii="Arial" w:hAnsi="Arial" w:cs="Arial"/>
          <w:szCs w:val="24"/>
        </w:rPr>
        <w:t>Helsingin vastaanottokeskuksen puolesta</w:t>
      </w:r>
      <w:r>
        <w:rPr>
          <w:rFonts w:ascii="Arial" w:hAnsi="Arial" w:cs="Arial"/>
          <w:szCs w:val="24"/>
        </w:rPr>
        <w:t>,</w:t>
      </w:r>
      <w:r w:rsidRPr="006A6BF3">
        <w:rPr>
          <w:rFonts w:ascii="Arial" w:hAnsi="Arial" w:cs="Arial"/>
          <w:szCs w:val="24"/>
        </w:rPr>
        <w:t xml:space="preserve"> </w:t>
      </w:r>
    </w:p>
    <w:p w:rsidR="00076AE4" w:rsidRPr="006A6BF3" w:rsidRDefault="00076AE4">
      <w:pPr>
        <w:rPr>
          <w:rFonts w:ascii="Arial" w:hAnsi="Arial" w:cs="Arial"/>
          <w:szCs w:val="24"/>
        </w:rPr>
      </w:pPr>
    </w:p>
    <w:p w:rsidR="00076AE4" w:rsidRPr="006A6BF3" w:rsidRDefault="00076AE4">
      <w:pPr>
        <w:rPr>
          <w:rFonts w:ascii="Arial" w:hAnsi="Arial" w:cs="Arial"/>
          <w:szCs w:val="24"/>
        </w:rPr>
      </w:pPr>
      <w:r w:rsidRPr="006A6BF3">
        <w:rPr>
          <w:rFonts w:ascii="Arial" w:hAnsi="Arial" w:cs="Arial"/>
          <w:szCs w:val="24"/>
        </w:rPr>
        <w:t>Mari Saari</w:t>
      </w:r>
    </w:p>
    <w:p w:rsidR="00076AE4" w:rsidRPr="006A6BF3" w:rsidRDefault="00076AE4">
      <w:pPr>
        <w:rPr>
          <w:rFonts w:ascii="Arial" w:hAnsi="Arial" w:cs="Arial"/>
          <w:szCs w:val="24"/>
        </w:rPr>
      </w:pPr>
      <w:r w:rsidRPr="006A6BF3">
        <w:rPr>
          <w:rFonts w:ascii="Arial" w:hAnsi="Arial" w:cs="Arial"/>
          <w:szCs w:val="24"/>
        </w:rPr>
        <w:t>vs. johtaja</w:t>
      </w:r>
    </w:p>
    <w:sectPr w:rsidR="00076AE4" w:rsidRPr="006A6BF3" w:rsidSect="00647BCB">
      <w:headerReference w:type="default" r:id="rId6"/>
      <w:footerReference w:type="default" r:id="rId7"/>
      <w:pgSz w:w="11907" w:h="16840" w:code="9"/>
      <w:pgMar w:top="567" w:right="567" w:bottom="1701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E4" w:rsidRDefault="00076AE4">
      <w:r>
        <w:separator/>
      </w:r>
    </w:p>
  </w:endnote>
  <w:endnote w:type="continuationSeparator" w:id="1">
    <w:p w:rsidR="00076AE4" w:rsidRDefault="0007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1560"/>
      <w:gridCol w:w="992"/>
      <w:gridCol w:w="1312"/>
      <w:gridCol w:w="531"/>
      <w:gridCol w:w="1417"/>
      <w:gridCol w:w="1418"/>
      <w:gridCol w:w="3118"/>
    </w:tblGrid>
    <w:tr w:rsidR="00076AE4">
      <w:tc>
        <w:tcPr>
          <w:tcW w:w="10348" w:type="dxa"/>
          <w:gridSpan w:val="7"/>
        </w:tcPr>
        <w:p w:rsidR="00076AE4" w:rsidRDefault="00076AE4">
          <w:pPr>
            <w:rPr>
              <w:sz w:val="16"/>
            </w:rPr>
          </w:pPr>
        </w:p>
      </w:tc>
    </w:tr>
    <w:tr w:rsidR="00076AE4">
      <w:tblPrEx>
        <w:tblBorders>
          <w:top w:val="single" w:sz="6" w:space="0" w:color="auto"/>
        </w:tblBorders>
      </w:tblPrEx>
      <w:trPr>
        <w:trHeight w:val="234"/>
      </w:trPr>
      <w:tc>
        <w:tcPr>
          <w:tcW w:w="1560" w:type="dxa"/>
          <w:tcBorders>
            <w:top w:val="single" w:sz="6" w:space="0" w:color="auto"/>
          </w:tcBorders>
        </w:tcPr>
        <w:p w:rsidR="00076AE4" w:rsidRDefault="00076AE4">
          <w:pPr>
            <w:rPr>
              <w:b/>
              <w:sz w:val="16"/>
            </w:rPr>
          </w:pPr>
          <w:r>
            <w:rPr>
              <w:b/>
              <w:sz w:val="16"/>
            </w:rPr>
            <w:t>Postiosoite</w:t>
          </w:r>
        </w:p>
      </w:tc>
      <w:tc>
        <w:tcPr>
          <w:tcW w:w="992" w:type="dxa"/>
          <w:tcBorders>
            <w:top w:val="single" w:sz="6" w:space="0" w:color="auto"/>
          </w:tcBorders>
        </w:tcPr>
        <w:p w:rsidR="00076AE4" w:rsidRDefault="00076AE4">
          <w:pPr>
            <w:rPr>
              <w:b/>
              <w:sz w:val="16"/>
            </w:rPr>
          </w:pPr>
        </w:p>
      </w:tc>
      <w:tc>
        <w:tcPr>
          <w:tcW w:w="1312" w:type="dxa"/>
          <w:tcBorders>
            <w:top w:val="single" w:sz="6" w:space="0" w:color="auto"/>
          </w:tcBorders>
        </w:tcPr>
        <w:p w:rsidR="00076AE4" w:rsidRDefault="00076AE4">
          <w:pPr>
            <w:rPr>
              <w:b/>
              <w:sz w:val="16"/>
            </w:rPr>
          </w:pPr>
          <w:r>
            <w:rPr>
              <w:b/>
              <w:sz w:val="16"/>
            </w:rPr>
            <w:t>Käyntiosoite</w:t>
          </w:r>
        </w:p>
      </w:tc>
      <w:tc>
        <w:tcPr>
          <w:tcW w:w="531" w:type="dxa"/>
          <w:tcBorders>
            <w:top w:val="single" w:sz="6" w:space="0" w:color="auto"/>
          </w:tcBorders>
        </w:tcPr>
        <w:p w:rsidR="00076AE4" w:rsidRDefault="00076AE4">
          <w:pPr>
            <w:rPr>
              <w:b/>
              <w:sz w:val="16"/>
            </w:rPr>
          </w:pPr>
        </w:p>
      </w:tc>
      <w:tc>
        <w:tcPr>
          <w:tcW w:w="1417" w:type="dxa"/>
          <w:tcBorders>
            <w:top w:val="single" w:sz="6" w:space="0" w:color="auto"/>
          </w:tcBorders>
        </w:tcPr>
        <w:p w:rsidR="00076AE4" w:rsidRDefault="00076AE4">
          <w:pPr>
            <w:rPr>
              <w:b/>
              <w:sz w:val="16"/>
            </w:rPr>
          </w:pPr>
          <w:r>
            <w:rPr>
              <w:b/>
              <w:sz w:val="16"/>
            </w:rPr>
            <w:t>Puhelin</w:t>
          </w:r>
        </w:p>
      </w:tc>
      <w:tc>
        <w:tcPr>
          <w:tcW w:w="1418" w:type="dxa"/>
          <w:tcBorders>
            <w:top w:val="single" w:sz="6" w:space="0" w:color="auto"/>
          </w:tcBorders>
        </w:tcPr>
        <w:p w:rsidR="00076AE4" w:rsidRDefault="00076AE4">
          <w:pPr>
            <w:rPr>
              <w:b/>
              <w:sz w:val="16"/>
            </w:rPr>
          </w:pPr>
          <w:r>
            <w:rPr>
              <w:b/>
              <w:sz w:val="16"/>
            </w:rPr>
            <w:t>Telefax</w:t>
          </w:r>
        </w:p>
      </w:tc>
      <w:tc>
        <w:tcPr>
          <w:tcW w:w="3118" w:type="dxa"/>
          <w:tcBorders>
            <w:top w:val="single" w:sz="6" w:space="0" w:color="auto"/>
          </w:tcBorders>
        </w:tcPr>
        <w:p w:rsidR="00076AE4" w:rsidRDefault="00076AE4">
          <w:pPr>
            <w:rPr>
              <w:b/>
              <w:sz w:val="16"/>
            </w:rPr>
          </w:pPr>
          <w:r>
            <w:rPr>
              <w:b/>
              <w:sz w:val="16"/>
            </w:rPr>
            <w:t>E-mail</w:t>
          </w:r>
        </w:p>
      </w:tc>
    </w:tr>
    <w:tr w:rsidR="00076AE4">
      <w:tblPrEx>
        <w:tblBorders>
          <w:top w:val="single" w:sz="6" w:space="0" w:color="auto"/>
        </w:tblBorders>
      </w:tblPrEx>
      <w:trPr>
        <w:trHeight w:val="124"/>
      </w:trPr>
      <w:tc>
        <w:tcPr>
          <w:tcW w:w="1560" w:type="dxa"/>
        </w:tcPr>
        <w:p w:rsidR="00076AE4" w:rsidRDefault="00076AE4">
          <w:pPr>
            <w:rPr>
              <w:sz w:val="16"/>
            </w:rPr>
          </w:pPr>
          <w:r>
            <w:rPr>
              <w:sz w:val="16"/>
            </w:rPr>
            <w:t>PL 58850</w:t>
          </w:r>
        </w:p>
      </w:tc>
      <w:tc>
        <w:tcPr>
          <w:tcW w:w="992" w:type="dxa"/>
        </w:tcPr>
        <w:p w:rsidR="00076AE4" w:rsidRDefault="00076AE4">
          <w:pPr>
            <w:rPr>
              <w:sz w:val="16"/>
            </w:rPr>
          </w:pPr>
        </w:p>
      </w:tc>
      <w:tc>
        <w:tcPr>
          <w:tcW w:w="1312" w:type="dxa"/>
        </w:tcPr>
        <w:p w:rsidR="00076AE4" w:rsidRDefault="00076AE4">
          <w:pPr>
            <w:rPr>
              <w:sz w:val="16"/>
            </w:rPr>
          </w:pPr>
          <w:r>
            <w:rPr>
              <w:sz w:val="16"/>
            </w:rPr>
            <w:t>Kyläsaarenkatu 10</w:t>
          </w:r>
        </w:p>
      </w:tc>
      <w:tc>
        <w:tcPr>
          <w:tcW w:w="531" w:type="dxa"/>
        </w:tcPr>
        <w:p w:rsidR="00076AE4" w:rsidRDefault="00076AE4">
          <w:pPr>
            <w:rPr>
              <w:sz w:val="16"/>
            </w:rPr>
          </w:pPr>
        </w:p>
      </w:tc>
      <w:tc>
        <w:tcPr>
          <w:tcW w:w="1417" w:type="dxa"/>
        </w:tcPr>
        <w:p w:rsidR="00076AE4" w:rsidRDefault="00076AE4">
          <w:pPr>
            <w:rPr>
              <w:sz w:val="16"/>
            </w:rPr>
          </w:pPr>
          <w:r>
            <w:rPr>
              <w:sz w:val="16"/>
            </w:rPr>
            <w:t>09-310 42900</w:t>
          </w:r>
        </w:p>
      </w:tc>
      <w:tc>
        <w:tcPr>
          <w:tcW w:w="1418" w:type="dxa"/>
        </w:tcPr>
        <w:p w:rsidR="00076AE4" w:rsidRDefault="00076AE4">
          <w:pPr>
            <w:rPr>
              <w:sz w:val="16"/>
            </w:rPr>
          </w:pPr>
          <w:r>
            <w:rPr>
              <w:sz w:val="16"/>
            </w:rPr>
            <w:t>09-310 42912</w:t>
          </w:r>
        </w:p>
      </w:tc>
      <w:tc>
        <w:tcPr>
          <w:tcW w:w="3118" w:type="dxa"/>
        </w:tcPr>
        <w:p w:rsidR="00076AE4" w:rsidRDefault="00076AE4">
          <w:pPr>
            <w:rPr>
              <w:sz w:val="16"/>
            </w:rPr>
          </w:pPr>
          <w:r>
            <w:rPr>
              <w:sz w:val="16"/>
            </w:rPr>
            <w:t>helsingin.vastaanottokeskus@hel.fi</w:t>
          </w:r>
        </w:p>
      </w:tc>
    </w:tr>
    <w:tr w:rsidR="00076AE4">
      <w:tblPrEx>
        <w:tblBorders>
          <w:top w:val="single" w:sz="6" w:space="0" w:color="auto"/>
        </w:tblBorders>
      </w:tblPrEx>
      <w:tc>
        <w:tcPr>
          <w:tcW w:w="2552" w:type="dxa"/>
          <w:gridSpan w:val="2"/>
        </w:tcPr>
        <w:p w:rsidR="00076AE4" w:rsidRDefault="00076AE4">
          <w:pPr>
            <w:rPr>
              <w:sz w:val="16"/>
            </w:rPr>
          </w:pPr>
          <w:r>
            <w:rPr>
              <w:sz w:val="16"/>
            </w:rPr>
            <w:t>00099 HELSINGIN KAUPUNKI</w:t>
          </w:r>
        </w:p>
      </w:tc>
      <w:tc>
        <w:tcPr>
          <w:tcW w:w="1843" w:type="dxa"/>
          <w:gridSpan w:val="2"/>
        </w:tcPr>
        <w:p w:rsidR="00076AE4" w:rsidRDefault="00076AE4">
          <w:pPr>
            <w:rPr>
              <w:sz w:val="16"/>
            </w:rPr>
          </w:pPr>
          <w:r>
            <w:rPr>
              <w:sz w:val="16"/>
            </w:rPr>
            <w:t>Helsinki 58</w:t>
          </w:r>
        </w:p>
      </w:tc>
      <w:tc>
        <w:tcPr>
          <w:tcW w:w="1417" w:type="dxa"/>
        </w:tcPr>
        <w:p w:rsidR="00076AE4" w:rsidRDefault="00076AE4">
          <w:pPr>
            <w:rPr>
              <w:sz w:val="16"/>
            </w:rPr>
          </w:pPr>
        </w:p>
      </w:tc>
      <w:tc>
        <w:tcPr>
          <w:tcW w:w="1418" w:type="dxa"/>
        </w:tcPr>
        <w:p w:rsidR="00076AE4" w:rsidRDefault="00076AE4">
          <w:pPr>
            <w:rPr>
              <w:sz w:val="16"/>
            </w:rPr>
          </w:pPr>
        </w:p>
      </w:tc>
      <w:tc>
        <w:tcPr>
          <w:tcW w:w="3118" w:type="dxa"/>
        </w:tcPr>
        <w:p w:rsidR="00076AE4" w:rsidRDefault="00076AE4">
          <w:pPr>
            <w:rPr>
              <w:sz w:val="16"/>
            </w:rPr>
          </w:pPr>
        </w:p>
      </w:tc>
    </w:tr>
    <w:tr w:rsidR="00076AE4">
      <w:tblPrEx>
        <w:tblBorders>
          <w:top w:val="single" w:sz="6" w:space="0" w:color="auto"/>
        </w:tblBorders>
      </w:tblPrEx>
      <w:tc>
        <w:tcPr>
          <w:tcW w:w="2552" w:type="dxa"/>
          <w:gridSpan w:val="2"/>
        </w:tcPr>
        <w:p w:rsidR="00076AE4" w:rsidRDefault="00076AE4">
          <w:pPr>
            <w:rPr>
              <w:sz w:val="16"/>
            </w:rPr>
          </w:pPr>
        </w:p>
      </w:tc>
      <w:tc>
        <w:tcPr>
          <w:tcW w:w="1843" w:type="dxa"/>
          <w:gridSpan w:val="2"/>
        </w:tcPr>
        <w:p w:rsidR="00076AE4" w:rsidRDefault="00076AE4">
          <w:pPr>
            <w:rPr>
              <w:sz w:val="16"/>
            </w:rPr>
          </w:pPr>
        </w:p>
      </w:tc>
      <w:tc>
        <w:tcPr>
          <w:tcW w:w="1417" w:type="dxa"/>
        </w:tcPr>
        <w:p w:rsidR="00076AE4" w:rsidRDefault="00076AE4">
          <w:pPr>
            <w:rPr>
              <w:sz w:val="16"/>
            </w:rPr>
          </w:pPr>
        </w:p>
      </w:tc>
      <w:tc>
        <w:tcPr>
          <w:tcW w:w="1418" w:type="dxa"/>
        </w:tcPr>
        <w:p w:rsidR="00076AE4" w:rsidRDefault="00076AE4">
          <w:pPr>
            <w:rPr>
              <w:sz w:val="16"/>
            </w:rPr>
          </w:pPr>
        </w:p>
      </w:tc>
      <w:tc>
        <w:tcPr>
          <w:tcW w:w="3118" w:type="dxa"/>
        </w:tcPr>
        <w:p w:rsidR="00076AE4" w:rsidRDefault="00076AE4">
          <w:pPr>
            <w:rPr>
              <w:sz w:val="16"/>
            </w:rPr>
          </w:pPr>
        </w:p>
      </w:tc>
    </w:tr>
  </w:tbl>
  <w:p w:rsidR="00076AE4" w:rsidRDefault="00076AE4">
    <w:pPr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E4" w:rsidRDefault="00076AE4">
      <w:r>
        <w:separator/>
      </w:r>
    </w:p>
  </w:footnote>
  <w:footnote w:type="continuationSeparator" w:id="1">
    <w:p w:rsidR="00076AE4" w:rsidRDefault="00076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E4" w:rsidRDefault="00076AE4">
    <w:pPr>
      <w:framePr w:hSpace="142" w:wrap="around" w:vAnchor="page" w:hAnchor="page" w:x="291" w:y="577"/>
    </w:pPr>
    <w:r>
      <w:t>.</w:t>
    </w:r>
    <w:r w:rsidRPr="003D14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1" o:spid="_x0000_i1026" type="#_x0000_t75" style="width:30.75pt;height:36pt;visibility:visible">
          <v:imagedata r:id="rId1" o:title=""/>
        </v:shape>
      </w:pict>
    </w:r>
  </w:p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104"/>
      <w:gridCol w:w="2551"/>
      <w:gridCol w:w="1559"/>
      <w:gridCol w:w="992"/>
    </w:tblGrid>
    <w:tr w:rsidR="00076AE4">
      <w:tc>
        <w:tcPr>
          <w:tcW w:w="5104" w:type="dxa"/>
        </w:tcPr>
        <w:p w:rsidR="00076AE4" w:rsidRDefault="00076AE4">
          <w:r>
            <w:t>HELSINGIN KAUPUNKI</w:t>
          </w:r>
        </w:p>
      </w:tc>
      <w:tc>
        <w:tcPr>
          <w:tcW w:w="2551" w:type="dxa"/>
        </w:tcPr>
        <w:p w:rsidR="00076AE4" w:rsidRDefault="00076AE4"/>
      </w:tc>
      <w:tc>
        <w:tcPr>
          <w:tcW w:w="1559" w:type="dxa"/>
        </w:tcPr>
        <w:p w:rsidR="00076AE4" w:rsidRDefault="00076AE4"/>
      </w:tc>
      <w:tc>
        <w:tcPr>
          <w:tcW w:w="992" w:type="dxa"/>
        </w:tcPr>
        <w:p w:rsidR="00076AE4" w:rsidRDefault="00076AE4"/>
      </w:tc>
    </w:tr>
    <w:tr w:rsidR="00076AE4">
      <w:tc>
        <w:tcPr>
          <w:tcW w:w="5104" w:type="dxa"/>
        </w:tcPr>
        <w:p w:rsidR="00076AE4" w:rsidRDefault="00076AE4">
          <w:r>
            <w:t>SOSIAALIVIRASTO</w:t>
          </w:r>
        </w:p>
      </w:tc>
      <w:tc>
        <w:tcPr>
          <w:tcW w:w="2551" w:type="dxa"/>
        </w:tcPr>
        <w:p w:rsidR="00076AE4" w:rsidRDefault="00076AE4"/>
      </w:tc>
      <w:tc>
        <w:tcPr>
          <w:tcW w:w="1559" w:type="dxa"/>
        </w:tcPr>
        <w:p w:rsidR="00076AE4" w:rsidRDefault="00076AE4"/>
      </w:tc>
      <w:tc>
        <w:tcPr>
          <w:tcW w:w="992" w:type="dxa"/>
        </w:tcPr>
        <w:p w:rsidR="00076AE4" w:rsidRDefault="00076AE4"/>
      </w:tc>
    </w:tr>
    <w:tr w:rsidR="00076AE4">
      <w:tc>
        <w:tcPr>
          <w:tcW w:w="5104" w:type="dxa"/>
        </w:tcPr>
        <w:p w:rsidR="00076AE4" w:rsidRDefault="00076AE4">
          <w:r>
            <w:t>Maahanmuuttajapalvelut</w:t>
          </w:r>
        </w:p>
      </w:tc>
      <w:tc>
        <w:tcPr>
          <w:tcW w:w="2551" w:type="dxa"/>
        </w:tcPr>
        <w:p w:rsidR="00076AE4" w:rsidRDefault="00076AE4"/>
      </w:tc>
      <w:tc>
        <w:tcPr>
          <w:tcW w:w="2551" w:type="dxa"/>
          <w:gridSpan w:val="2"/>
        </w:tcPr>
        <w:p w:rsidR="00076AE4" w:rsidRDefault="00076AE4"/>
      </w:tc>
    </w:tr>
    <w:tr w:rsidR="00076AE4">
      <w:tc>
        <w:tcPr>
          <w:tcW w:w="5104" w:type="dxa"/>
          <w:tcBorders>
            <w:bottom w:val="single" w:sz="6" w:space="0" w:color="auto"/>
          </w:tcBorders>
        </w:tcPr>
        <w:p w:rsidR="00076AE4" w:rsidRDefault="00076AE4">
          <w:r>
            <w:t>Helsingin vastaanottokeskus</w:t>
          </w:r>
        </w:p>
      </w:tc>
      <w:tc>
        <w:tcPr>
          <w:tcW w:w="5102" w:type="dxa"/>
          <w:gridSpan w:val="3"/>
          <w:tcBorders>
            <w:bottom w:val="single" w:sz="6" w:space="0" w:color="auto"/>
          </w:tcBorders>
        </w:tcPr>
        <w:p w:rsidR="00076AE4" w:rsidRDefault="00076AE4" w:rsidP="002F4773">
          <w:r>
            <w:t>Päivämäärä 29.4 2011</w:t>
          </w:r>
        </w:p>
      </w:tc>
    </w:tr>
  </w:tbl>
  <w:p w:rsidR="00076AE4" w:rsidRDefault="00076AE4"/>
  <w:p w:rsidR="00076AE4" w:rsidRDefault="00076AE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E70"/>
    <w:rsid w:val="00043E5F"/>
    <w:rsid w:val="00045D5A"/>
    <w:rsid w:val="000602E0"/>
    <w:rsid w:val="00076AE4"/>
    <w:rsid w:val="0009367A"/>
    <w:rsid w:val="0011327F"/>
    <w:rsid w:val="0012254C"/>
    <w:rsid w:val="001C2D29"/>
    <w:rsid w:val="00224B89"/>
    <w:rsid w:val="00254687"/>
    <w:rsid w:val="00272A7C"/>
    <w:rsid w:val="002C09A0"/>
    <w:rsid w:val="002F4773"/>
    <w:rsid w:val="003C55E8"/>
    <w:rsid w:val="003D1429"/>
    <w:rsid w:val="004A1570"/>
    <w:rsid w:val="004A5721"/>
    <w:rsid w:val="004E58AC"/>
    <w:rsid w:val="00514828"/>
    <w:rsid w:val="0053573A"/>
    <w:rsid w:val="00575380"/>
    <w:rsid w:val="00647BCB"/>
    <w:rsid w:val="00672590"/>
    <w:rsid w:val="006A6BF3"/>
    <w:rsid w:val="006D70FA"/>
    <w:rsid w:val="006E0EE2"/>
    <w:rsid w:val="00741FB7"/>
    <w:rsid w:val="007B1E26"/>
    <w:rsid w:val="007E36EF"/>
    <w:rsid w:val="00804719"/>
    <w:rsid w:val="008D608C"/>
    <w:rsid w:val="009049E0"/>
    <w:rsid w:val="0093729F"/>
    <w:rsid w:val="0094300F"/>
    <w:rsid w:val="00967E70"/>
    <w:rsid w:val="00970E81"/>
    <w:rsid w:val="00A0560C"/>
    <w:rsid w:val="00A16ADD"/>
    <w:rsid w:val="00A54210"/>
    <w:rsid w:val="00A978E1"/>
    <w:rsid w:val="00AA2E90"/>
    <w:rsid w:val="00AE3AB2"/>
    <w:rsid w:val="00BE30FA"/>
    <w:rsid w:val="00C557CC"/>
    <w:rsid w:val="00D43921"/>
    <w:rsid w:val="00D9422A"/>
    <w:rsid w:val="00DD7FBA"/>
    <w:rsid w:val="00E55DCC"/>
    <w:rsid w:val="00F40890"/>
    <w:rsid w:val="00F47318"/>
    <w:rsid w:val="00F84D04"/>
    <w:rsid w:val="00F9201A"/>
    <w:rsid w:val="00F9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CB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7BCB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06B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647BCB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6BD3"/>
    <w:rPr>
      <w:sz w:val="24"/>
      <w:szCs w:val="20"/>
    </w:rPr>
  </w:style>
  <w:style w:type="paragraph" w:customStyle="1" w:styleId="HKIAPUOts">
    <w:name w:val="HKI APUOts"/>
    <w:basedOn w:val="Normal"/>
    <w:next w:val="Normal"/>
    <w:uiPriority w:val="99"/>
    <w:rsid w:val="00647BCB"/>
    <w:pPr>
      <w:ind w:left="2608" w:hanging="1304"/>
    </w:pPr>
  </w:style>
  <w:style w:type="paragraph" w:customStyle="1" w:styleId="HKIkirjainluettelo">
    <w:name w:val="HKI kirjainluettelo"/>
    <w:basedOn w:val="Normal"/>
    <w:uiPriority w:val="99"/>
    <w:rsid w:val="00647BCB"/>
    <w:pPr>
      <w:ind w:left="2596" w:hanging="1298"/>
    </w:pPr>
  </w:style>
  <w:style w:type="paragraph" w:customStyle="1" w:styleId="HKIluetelmaviiva">
    <w:name w:val="HKI luetelmaviiva"/>
    <w:basedOn w:val="Normal"/>
    <w:uiPriority w:val="99"/>
    <w:rsid w:val="00647BCB"/>
    <w:pPr>
      <w:ind w:left="2596" w:hanging="1298"/>
    </w:pPr>
  </w:style>
  <w:style w:type="paragraph" w:customStyle="1" w:styleId="HKInormaali">
    <w:name w:val="HKI normaali"/>
    <w:basedOn w:val="Normal"/>
    <w:uiPriority w:val="99"/>
    <w:rsid w:val="00647BCB"/>
  </w:style>
  <w:style w:type="paragraph" w:customStyle="1" w:styleId="HKInumeroluettelo">
    <w:name w:val="HKI numeroluettelo"/>
    <w:basedOn w:val="Normal"/>
    <w:uiPriority w:val="99"/>
    <w:rsid w:val="00647BCB"/>
    <w:pPr>
      <w:ind w:left="2596" w:hanging="1298"/>
    </w:pPr>
  </w:style>
  <w:style w:type="paragraph" w:customStyle="1" w:styleId="HKIOTS">
    <w:name w:val="HKI OTS"/>
    <w:basedOn w:val="Normal"/>
    <w:next w:val="HKInormaali"/>
    <w:uiPriority w:val="99"/>
    <w:rsid w:val="00647BCB"/>
    <w:pPr>
      <w:ind w:left="1304" w:hanging="1304"/>
    </w:pPr>
  </w:style>
  <w:style w:type="paragraph" w:customStyle="1" w:styleId="HKIOTSsis">
    <w:name w:val="HKI OTS/sis"/>
    <w:basedOn w:val="HKIOTS"/>
    <w:next w:val="Normal"/>
    <w:uiPriority w:val="99"/>
    <w:rsid w:val="00647BCB"/>
    <w:pPr>
      <w:ind w:left="2608" w:hanging="2608"/>
    </w:pPr>
  </w:style>
  <w:style w:type="paragraph" w:styleId="Header">
    <w:name w:val="header"/>
    <w:basedOn w:val="Normal"/>
    <w:link w:val="HeaderChar"/>
    <w:uiPriority w:val="99"/>
    <w:rsid w:val="00647BCB"/>
  </w:style>
  <w:style w:type="character" w:customStyle="1" w:styleId="HeaderChar">
    <w:name w:val="Header Char"/>
    <w:basedOn w:val="DefaultParagraphFont"/>
    <w:link w:val="Header"/>
    <w:uiPriority w:val="99"/>
    <w:semiHidden/>
    <w:rsid w:val="00F06BD3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647B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72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504</Words>
  <Characters>4086</Characters>
  <Application>Microsoft Office Outlook</Application>
  <DocSecurity>0</DocSecurity>
  <Lines>0</Lines>
  <Paragraphs>0</Paragraphs>
  <ScaleCrop>false</ScaleCrop>
  <Company>HKI/SOSV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Perusasiakirja (ns. yleinen asiakirjapohja)</dc:title>
  <dc:subject/>
  <dc:creator>Helsingin kaupunki</dc:creator>
  <cp:keywords/>
  <dc:description/>
  <cp:lastModifiedBy>p39250</cp:lastModifiedBy>
  <cp:revision>2</cp:revision>
  <cp:lastPrinted>2011-05-02T14:19:00Z</cp:lastPrinted>
  <dcterms:created xsi:type="dcterms:W3CDTF">2011-05-04T05:03:00Z</dcterms:created>
  <dcterms:modified xsi:type="dcterms:W3CDTF">2011-05-04T05:03:00Z</dcterms:modified>
</cp:coreProperties>
</file>