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ook w:val="04A0" w:firstRow="1" w:lastRow="0" w:firstColumn="1" w:lastColumn="0" w:noHBand="0" w:noVBand="1"/>
      </w:tblPr>
      <w:tblGrid>
        <w:gridCol w:w="1682"/>
        <w:gridCol w:w="3563"/>
        <w:gridCol w:w="2552"/>
        <w:gridCol w:w="1942"/>
        <w:gridCol w:w="42"/>
      </w:tblGrid>
      <w:tr w:rsidR="005E1F66" w:rsidRPr="00177C6F" w:rsidTr="00177C6F">
        <w:trPr>
          <w:trHeight w:hRule="exact" w:val="255"/>
        </w:trPr>
        <w:tc>
          <w:tcPr>
            <w:tcW w:w="5245" w:type="dxa"/>
            <w:gridSpan w:val="2"/>
            <w:vMerge w:val="restart"/>
          </w:tcPr>
          <w:p w:rsidR="005E1F66" w:rsidRPr="00177C6F" w:rsidRDefault="005E1F66" w:rsidP="00CB6272">
            <w:pPr>
              <w:pStyle w:val="Yltunniste"/>
            </w:pPr>
          </w:p>
        </w:tc>
        <w:tc>
          <w:tcPr>
            <w:tcW w:w="4536" w:type="dxa"/>
            <w:gridSpan w:val="3"/>
          </w:tcPr>
          <w:p w:rsidR="005E1F66" w:rsidRPr="00177C6F" w:rsidRDefault="005E1F66" w:rsidP="001974DB">
            <w:pPr>
              <w:rPr>
                <w:rStyle w:val="YltunnisteChar"/>
              </w:rPr>
            </w:pPr>
          </w:p>
          <w:p w:rsidR="005E1F66" w:rsidRPr="00177C6F" w:rsidRDefault="005E1F66" w:rsidP="001974DB"/>
        </w:tc>
      </w:tr>
      <w:tr w:rsidR="005E1F66" w:rsidRPr="00177C6F" w:rsidTr="00177C6F">
        <w:trPr>
          <w:trHeight w:hRule="exact" w:val="255"/>
        </w:trPr>
        <w:tc>
          <w:tcPr>
            <w:tcW w:w="5245" w:type="dxa"/>
            <w:gridSpan w:val="2"/>
            <w:vMerge/>
          </w:tcPr>
          <w:p w:rsidR="005E1F66" w:rsidRPr="00177C6F" w:rsidRDefault="005E1F66" w:rsidP="00CB6272">
            <w:pPr>
              <w:pStyle w:val="Yltunniste"/>
            </w:pPr>
          </w:p>
        </w:tc>
        <w:tc>
          <w:tcPr>
            <w:tcW w:w="4536" w:type="dxa"/>
            <w:gridSpan w:val="3"/>
          </w:tcPr>
          <w:p w:rsidR="005E1F66" w:rsidRPr="00177C6F" w:rsidRDefault="005E1F66" w:rsidP="001974DB">
            <w:pPr>
              <w:rPr>
                <w:rStyle w:val="YltunnisteChar"/>
              </w:rPr>
            </w:pPr>
          </w:p>
          <w:p w:rsidR="005E1F66" w:rsidRPr="00177C6F" w:rsidRDefault="005E1F66" w:rsidP="001974DB"/>
        </w:tc>
      </w:tr>
      <w:tr w:rsidR="005E1F66" w:rsidRPr="00177C6F" w:rsidTr="00177C6F">
        <w:trPr>
          <w:trHeight w:hRule="exact" w:val="255"/>
        </w:trPr>
        <w:tc>
          <w:tcPr>
            <w:tcW w:w="5245" w:type="dxa"/>
            <w:gridSpan w:val="2"/>
            <w:vMerge/>
          </w:tcPr>
          <w:p w:rsidR="005E1F66" w:rsidRPr="00177C6F" w:rsidRDefault="005E1F66" w:rsidP="00CB6272">
            <w:pPr>
              <w:pStyle w:val="Yltunniste"/>
            </w:pPr>
          </w:p>
        </w:tc>
        <w:tc>
          <w:tcPr>
            <w:tcW w:w="4536" w:type="dxa"/>
            <w:gridSpan w:val="3"/>
          </w:tcPr>
          <w:p w:rsidR="005E1F66" w:rsidRPr="00177C6F" w:rsidRDefault="005E1F66" w:rsidP="00CB6272">
            <w:pPr>
              <w:pStyle w:val="Yltunniste"/>
            </w:pPr>
          </w:p>
        </w:tc>
      </w:tr>
      <w:tr w:rsidR="005E1F66" w:rsidRPr="00177C6F" w:rsidTr="005A100B">
        <w:trPr>
          <w:cantSplit/>
          <w:trHeight w:hRule="exact" w:val="366"/>
        </w:trPr>
        <w:tc>
          <w:tcPr>
            <w:tcW w:w="1682" w:type="dxa"/>
          </w:tcPr>
          <w:p w:rsidR="005E1F66" w:rsidRPr="00177C6F" w:rsidRDefault="005E1F66" w:rsidP="00CB6272">
            <w:pPr>
              <w:pStyle w:val="Yltunniste"/>
            </w:pPr>
          </w:p>
        </w:tc>
        <w:tc>
          <w:tcPr>
            <w:tcW w:w="3563" w:type="dxa"/>
          </w:tcPr>
          <w:p w:rsidR="005E1F66" w:rsidRPr="00177C6F" w:rsidRDefault="00BF37E0" w:rsidP="00CB6272">
            <w:pPr>
              <w:pStyle w:val="Yltunniste"/>
              <w:rPr>
                <w:sz w:val="16"/>
                <w:szCs w:val="16"/>
              </w:rPr>
            </w:pPr>
            <w:r>
              <w:rPr>
                <w:sz w:val="16"/>
                <w:szCs w:val="16"/>
              </w:rPr>
              <w:t xml:space="preserve">Uudenmaan </w:t>
            </w:r>
            <w:r w:rsidR="005E1F66" w:rsidRPr="00177C6F">
              <w:rPr>
                <w:sz w:val="16"/>
                <w:szCs w:val="16"/>
              </w:rPr>
              <w:t>työ- ja elinkeinotoimisto</w:t>
            </w:r>
          </w:p>
        </w:tc>
        <w:tc>
          <w:tcPr>
            <w:tcW w:w="2552" w:type="dxa"/>
          </w:tcPr>
          <w:p w:rsidR="005E1F66" w:rsidRDefault="00E82BB0" w:rsidP="001974DB">
            <w:r>
              <w:t>18.5.2018</w:t>
            </w:r>
          </w:p>
          <w:p w:rsidR="00C11DA4" w:rsidRDefault="00C11DA4" w:rsidP="001974DB"/>
          <w:p w:rsidR="00C11DA4" w:rsidRPr="00177C6F" w:rsidRDefault="00C11DA4" w:rsidP="001974DB"/>
        </w:tc>
        <w:tc>
          <w:tcPr>
            <w:tcW w:w="1984" w:type="dxa"/>
            <w:gridSpan w:val="2"/>
          </w:tcPr>
          <w:p w:rsidR="005E1F66" w:rsidRPr="00177C6F" w:rsidRDefault="005E1F66" w:rsidP="00CB6272">
            <w:pPr>
              <w:pStyle w:val="Yltunniste"/>
            </w:pPr>
          </w:p>
        </w:tc>
      </w:tr>
      <w:tr w:rsidR="00A8408C" w:rsidRPr="00177C6F" w:rsidTr="005A100B">
        <w:tblPrEx>
          <w:tblLook w:val="01E0" w:firstRow="1" w:lastRow="1" w:firstColumn="1" w:lastColumn="1" w:noHBand="0" w:noVBand="0"/>
        </w:tblPrEx>
        <w:trPr>
          <w:gridAfter w:val="1"/>
          <w:wAfter w:w="42" w:type="dxa"/>
          <w:trHeight w:val="80"/>
        </w:trPr>
        <w:tc>
          <w:tcPr>
            <w:tcW w:w="9739" w:type="dxa"/>
            <w:gridSpan w:val="4"/>
          </w:tcPr>
          <w:p w:rsidR="00A8408C" w:rsidRPr="00177C6F" w:rsidRDefault="00A8408C" w:rsidP="00372760"/>
        </w:tc>
      </w:tr>
      <w:tr w:rsidR="005E1F66" w:rsidRPr="00177C6F" w:rsidTr="00177C6F">
        <w:tblPrEx>
          <w:tblLook w:val="01E0" w:firstRow="1" w:lastRow="1" w:firstColumn="1" w:lastColumn="1" w:noHBand="0" w:noVBand="0"/>
        </w:tblPrEx>
        <w:trPr>
          <w:gridAfter w:val="1"/>
          <w:wAfter w:w="42" w:type="dxa"/>
          <w:cantSplit/>
          <w:trHeight w:hRule="exact" w:val="510"/>
        </w:trPr>
        <w:tc>
          <w:tcPr>
            <w:tcW w:w="9739" w:type="dxa"/>
            <w:gridSpan w:val="4"/>
          </w:tcPr>
          <w:p w:rsidR="005E1F66" w:rsidRPr="00177C6F" w:rsidRDefault="005E1F66" w:rsidP="001974DB"/>
        </w:tc>
      </w:tr>
    </w:tbl>
    <w:p w:rsidR="00C11DA4" w:rsidRPr="00093393" w:rsidRDefault="00C11DA4" w:rsidP="00C11DA4">
      <w:pPr>
        <w:pStyle w:val="Vaintekstin"/>
        <w:spacing w:after="120"/>
        <w:jc w:val="both"/>
        <w:rPr>
          <w:rFonts w:ascii="Arial" w:hAnsi="Arial" w:cs="Arial"/>
        </w:rPr>
      </w:pPr>
      <w:r w:rsidRPr="00093393">
        <w:rPr>
          <w:rFonts w:ascii="Arial" w:hAnsi="Arial" w:cs="Arial"/>
        </w:rPr>
        <w:t>Työ- ja elinkeinoministeriö</w:t>
      </w:r>
    </w:p>
    <w:p w:rsidR="00C11DA4" w:rsidRPr="00093393" w:rsidRDefault="00C11DA4" w:rsidP="00C11DA4">
      <w:pPr>
        <w:pStyle w:val="Vaintekstin"/>
        <w:spacing w:after="120"/>
        <w:jc w:val="both"/>
        <w:rPr>
          <w:rFonts w:ascii="Arial" w:hAnsi="Arial" w:cs="Arial"/>
        </w:rPr>
      </w:pPr>
      <w:r w:rsidRPr="00093393">
        <w:rPr>
          <w:rFonts w:ascii="Arial" w:hAnsi="Arial" w:cs="Arial"/>
        </w:rPr>
        <w:t>Alueet ja kasvupalvelut -osasto</w:t>
      </w:r>
    </w:p>
    <w:p w:rsidR="00C11DA4" w:rsidRPr="00093393" w:rsidRDefault="00C11DA4" w:rsidP="00C11DA4">
      <w:pPr>
        <w:pStyle w:val="AVIjaELYNormaaliSisentmtn"/>
        <w:spacing w:before="120" w:after="120" w:line="276" w:lineRule="auto"/>
        <w:ind w:right="305"/>
        <w:jc w:val="both"/>
        <w:rPr>
          <w:rFonts w:cs="Arial"/>
          <w:b/>
        </w:rPr>
      </w:pPr>
    </w:p>
    <w:p w:rsidR="00C11DA4" w:rsidRDefault="00C11DA4" w:rsidP="00C11DA4">
      <w:pPr>
        <w:pStyle w:val="AVIjaELYNormaaliSisentmtn"/>
        <w:spacing w:before="120" w:after="120" w:line="276" w:lineRule="auto"/>
        <w:ind w:right="305"/>
        <w:jc w:val="both"/>
        <w:rPr>
          <w:rFonts w:cs="Arial"/>
        </w:rPr>
      </w:pPr>
      <w:r w:rsidRPr="00093393">
        <w:rPr>
          <w:rFonts w:cs="Arial"/>
        </w:rPr>
        <w:t xml:space="preserve">Viite: </w:t>
      </w:r>
      <w:bookmarkStart w:id="0" w:name="tweb_doc_title"/>
      <w:r w:rsidRPr="00093393">
        <w:rPr>
          <w:rFonts w:cs="Arial"/>
        </w:rPr>
        <w:t>lausuntopyyntö 9.5.2018, TEM/1260/03.01.01/2016, TEM030:00/2018</w:t>
      </w:r>
    </w:p>
    <w:p w:rsidR="00C11DA4" w:rsidRDefault="00C11DA4" w:rsidP="00C11DA4">
      <w:pPr>
        <w:pStyle w:val="AVIjaELYNormaaliSisentmtn"/>
        <w:spacing w:before="120" w:after="120" w:line="276" w:lineRule="auto"/>
        <w:ind w:right="305"/>
        <w:jc w:val="both"/>
        <w:rPr>
          <w:rFonts w:cs="Arial"/>
        </w:rPr>
      </w:pPr>
    </w:p>
    <w:p w:rsidR="00C11DA4" w:rsidRPr="00093393" w:rsidRDefault="00C11DA4" w:rsidP="00C11DA4">
      <w:pPr>
        <w:pStyle w:val="AVIjaELYNormaaliSisentmtn"/>
        <w:spacing w:before="120" w:after="120" w:line="276" w:lineRule="auto"/>
        <w:ind w:right="305"/>
        <w:jc w:val="both"/>
        <w:rPr>
          <w:rFonts w:cs="Arial"/>
        </w:rPr>
      </w:pPr>
    </w:p>
    <w:p w:rsidR="00C11DA4" w:rsidRPr="00093393" w:rsidRDefault="00C11DA4" w:rsidP="00C11DA4">
      <w:pPr>
        <w:pStyle w:val="AVIjaELYNormaaliSisentmtn"/>
        <w:spacing w:after="120" w:line="276" w:lineRule="auto"/>
        <w:ind w:right="306"/>
        <w:jc w:val="both"/>
        <w:rPr>
          <w:rFonts w:cs="Arial"/>
          <w:sz w:val="24"/>
          <w:szCs w:val="24"/>
        </w:rPr>
      </w:pPr>
      <w:r w:rsidRPr="00093393">
        <w:rPr>
          <w:rFonts w:cs="Arial"/>
          <w:b/>
          <w:sz w:val="24"/>
          <w:szCs w:val="24"/>
        </w:rPr>
        <w:t>Uudenmaan</w:t>
      </w:r>
      <w:r>
        <w:rPr>
          <w:rFonts w:cs="Arial"/>
          <w:b/>
          <w:sz w:val="24"/>
          <w:szCs w:val="24"/>
        </w:rPr>
        <w:t xml:space="preserve"> TE-toimiston</w:t>
      </w:r>
      <w:r w:rsidRPr="00093393">
        <w:rPr>
          <w:rFonts w:cs="Arial"/>
          <w:b/>
          <w:sz w:val="24"/>
          <w:szCs w:val="24"/>
        </w:rPr>
        <w:t xml:space="preserve"> lausunto </w:t>
      </w:r>
      <w:bookmarkEnd w:id="0"/>
      <w:r w:rsidRPr="00093393">
        <w:rPr>
          <w:rFonts w:cs="Arial"/>
          <w:b/>
          <w:sz w:val="24"/>
          <w:szCs w:val="24"/>
        </w:rPr>
        <w:t xml:space="preserve">hallituksen </w:t>
      </w:r>
      <w:r>
        <w:rPr>
          <w:rFonts w:cs="Arial"/>
          <w:b/>
          <w:sz w:val="24"/>
          <w:szCs w:val="24"/>
        </w:rPr>
        <w:t>esitysluonnoksesta</w:t>
      </w:r>
      <w:r w:rsidRPr="00093393">
        <w:rPr>
          <w:rFonts w:cs="Arial"/>
          <w:b/>
          <w:sz w:val="24"/>
          <w:szCs w:val="24"/>
        </w:rPr>
        <w:t xml:space="preserve"> laiksi kasvupalveluvirastosta</w:t>
      </w:r>
    </w:p>
    <w:p w:rsidR="00C11DA4" w:rsidRPr="00093393" w:rsidRDefault="00C11DA4" w:rsidP="00C11DA4">
      <w:pPr>
        <w:autoSpaceDE w:val="0"/>
        <w:autoSpaceDN w:val="0"/>
        <w:adjustRightInd w:val="0"/>
        <w:ind w:left="2608"/>
        <w:jc w:val="both"/>
      </w:pPr>
    </w:p>
    <w:p w:rsidR="00C11DA4" w:rsidRDefault="00C11DA4" w:rsidP="00C11DA4">
      <w:pPr>
        <w:autoSpaceDE w:val="0"/>
        <w:autoSpaceDN w:val="0"/>
        <w:adjustRightInd w:val="0"/>
        <w:ind w:left="2608"/>
        <w:jc w:val="both"/>
      </w:pPr>
      <w:r w:rsidRPr="00C11DA4">
        <w:rPr>
          <w:sz w:val="22"/>
        </w:rPr>
        <w:t>Työ- ja elinkeinoministeriö on pyytänyt Uudenmaan ELY-keskuksilta ja TE-toimistoilta lausuntoa kasvupalveluvirastoa koskevasta hallituksen esitysluonnoksesta. Uudenmaan TE-toimisto lausuu hallituksen esitysluonnoksesta seuraavaa:</w:t>
      </w:r>
    </w:p>
    <w:p w:rsidR="00C11DA4" w:rsidRDefault="00C11DA4" w:rsidP="00C11DA4">
      <w:pPr>
        <w:pStyle w:val="Default"/>
        <w:rPr>
          <w:rFonts w:ascii="Arial" w:hAnsi="Arial" w:cs="Arial"/>
          <w:i/>
          <w:iCs/>
          <w:sz w:val="22"/>
          <w:szCs w:val="22"/>
        </w:rPr>
      </w:pPr>
    </w:p>
    <w:p w:rsidR="00C11DA4" w:rsidRPr="00EB4FE1" w:rsidRDefault="00C11DA4" w:rsidP="00C11DA4">
      <w:pPr>
        <w:pStyle w:val="Default"/>
        <w:ind w:left="2608"/>
        <w:rPr>
          <w:rFonts w:ascii="Arial" w:hAnsi="Arial" w:cs="Arial"/>
          <w:i/>
          <w:iCs/>
          <w:sz w:val="22"/>
          <w:szCs w:val="22"/>
          <w:u w:val="single"/>
        </w:rPr>
      </w:pPr>
      <w:r w:rsidRPr="00EB4FE1">
        <w:rPr>
          <w:rFonts w:ascii="Arial" w:hAnsi="Arial" w:cs="Arial"/>
          <w:i/>
          <w:iCs/>
          <w:sz w:val="22"/>
          <w:szCs w:val="22"/>
          <w:u w:val="single"/>
        </w:rPr>
        <w:t>Tietojärjestelmät ja käytön tukipalvelut</w:t>
      </w:r>
    </w:p>
    <w:p w:rsidR="00C11DA4" w:rsidRPr="00EB4FE1" w:rsidRDefault="00C11DA4" w:rsidP="00C11DA4">
      <w:pPr>
        <w:pStyle w:val="Default"/>
        <w:ind w:left="2608"/>
        <w:rPr>
          <w:rFonts w:ascii="Arial" w:hAnsi="Arial" w:cs="Arial"/>
          <w:i/>
          <w:iCs/>
          <w:sz w:val="22"/>
          <w:szCs w:val="22"/>
          <w:u w:val="single"/>
        </w:rPr>
      </w:pPr>
    </w:p>
    <w:p w:rsidR="00C11DA4" w:rsidRDefault="00C11DA4" w:rsidP="00C11DA4">
      <w:pPr>
        <w:pStyle w:val="Default"/>
        <w:ind w:left="2608"/>
        <w:rPr>
          <w:rFonts w:ascii="Arial" w:hAnsi="Arial" w:cs="Arial"/>
          <w:sz w:val="22"/>
          <w:szCs w:val="22"/>
        </w:rPr>
      </w:pPr>
      <w:r>
        <w:rPr>
          <w:rFonts w:ascii="Arial" w:hAnsi="Arial" w:cs="Arial"/>
          <w:sz w:val="22"/>
          <w:szCs w:val="22"/>
        </w:rPr>
        <w:t>Pidämme hyvänä</w:t>
      </w:r>
      <w:r w:rsidRPr="00FC53B4">
        <w:rPr>
          <w:rFonts w:ascii="Arial" w:hAnsi="Arial" w:cs="Arial"/>
          <w:sz w:val="22"/>
          <w:szCs w:val="22"/>
        </w:rPr>
        <w:t>, e</w:t>
      </w:r>
      <w:r>
        <w:rPr>
          <w:rFonts w:ascii="Arial" w:hAnsi="Arial" w:cs="Arial"/>
          <w:sz w:val="22"/>
          <w:szCs w:val="22"/>
        </w:rPr>
        <w:t xml:space="preserve">ttä </w:t>
      </w:r>
      <w:r w:rsidRPr="00FC53B4">
        <w:rPr>
          <w:rFonts w:ascii="Arial" w:hAnsi="Arial" w:cs="Arial"/>
          <w:sz w:val="22"/>
          <w:szCs w:val="22"/>
        </w:rPr>
        <w:t>järjestelmien ja alustojen tuottaminen ja yleinen ICT-ratkaisuihin liittyvä tuki ja palvelu</w:t>
      </w:r>
      <w:r>
        <w:rPr>
          <w:rFonts w:ascii="Arial" w:hAnsi="Arial" w:cs="Arial"/>
          <w:sz w:val="22"/>
          <w:szCs w:val="22"/>
        </w:rPr>
        <w:t xml:space="preserve"> keskitetään valtakunnallisesti</w:t>
      </w:r>
      <w:r w:rsidRPr="00FC53B4">
        <w:rPr>
          <w:rFonts w:ascii="Arial" w:hAnsi="Arial" w:cs="Arial"/>
          <w:sz w:val="22"/>
          <w:szCs w:val="22"/>
        </w:rPr>
        <w:t>.  Digiratkaisut edellyttävät valtakunnallisuutta, sillä se, että toimijat käyttäisivät kaikki omia järjestelmiään (asiakastietojärjestelmät, seurannan ja johtamisen tekniset välineet ja alustat) olisi paitsi tehotonta, saattaisi johtaa myös siihen, että järjestelmät eivät toimisi keskenään yhteen t</w:t>
      </w:r>
      <w:r>
        <w:rPr>
          <w:rFonts w:ascii="Arial" w:hAnsi="Arial" w:cs="Arial"/>
          <w:sz w:val="22"/>
          <w:szCs w:val="22"/>
        </w:rPr>
        <w:t>arkoituksenmukaisella tavalla. Digiratkaisujen tulisi siis olla valtakunnallisia ja j</w:t>
      </w:r>
      <w:r w:rsidRPr="00FC53B4">
        <w:rPr>
          <w:rFonts w:ascii="Arial" w:hAnsi="Arial" w:cs="Arial"/>
          <w:sz w:val="22"/>
          <w:szCs w:val="22"/>
        </w:rPr>
        <w:t>ärjestelmien rajapinnat tulis</w:t>
      </w:r>
      <w:r>
        <w:rPr>
          <w:rFonts w:ascii="Arial" w:hAnsi="Arial" w:cs="Arial"/>
          <w:sz w:val="22"/>
          <w:szCs w:val="22"/>
        </w:rPr>
        <w:t>i olla</w:t>
      </w:r>
      <w:r w:rsidRPr="00FC53B4">
        <w:rPr>
          <w:rFonts w:ascii="Arial" w:hAnsi="Arial" w:cs="Arial"/>
          <w:sz w:val="22"/>
          <w:szCs w:val="22"/>
        </w:rPr>
        <w:t xml:space="preserve"> avoimia</w:t>
      </w:r>
      <w:r>
        <w:rPr>
          <w:rFonts w:ascii="Arial" w:hAnsi="Arial" w:cs="Arial"/>
          <w:sz w:val="22"/>
          <w:szCs w:val="22"/>
        </w:rPr>
        <w:t xml:space="preserve"> niin</w:t>
      </w:r>
      <w:r w:rsidRPr="00FC53B4">
        <w:rPr>
          <w:rFonts w:ascii="Arial" w:hAnsi="Arial" w:cs="Arial"/>
          <w:sz w:val="22"/>
          <w:szCs w:val="22"/>
        </w:rPr>
        <w:t xml:space="preserve">, että niihin on mahdollista luoda yhdyspinnat eri palveluntuottajien ja maakuntien erilaisiin palveluratkaisuihin. </w:t>
      </w:r>
      <w:proofErr w:type="spellStart"/>
      <w:r>
        <w:rPr>
          <w:rFonts w:ascii="Arial" w:hAnsi="Arial" w:cs="Arial"/>
          <w:sz w:val="22"/>
          <w:szCs w:val="22"/>
        </w:rPr>
        <w:t>Tietoojärjestelmiin</w:t>
      </w:r>
      <w:proofErr w:type="spellEnd"/>
      <w:r>
        <w:rPr>
          <w:rFonts w:ascii="Arial" w:hAnsi="Arial" w:cs="Arial"/>
          <w:sz w:val="22"/>
          <w:szCs w:val="22"/>
        </w:rPr>
        <w:t xml:space="preserve"> liittyvät </w:t>
      </w:r>
      <w:proofErr w:type="spellStart"/>
      <w:r>
        <w:rPr>
          <w:rFonts w:ascii="Arial" w:hAnsi="Arial" w:cs="Arial"/>
          <w:sz w:val="22"/>
          <w:szCs w:val="22"/>
        </w:rPr>
        <w:t>tuottamis</w:t>
      </w:r>
      <w:proofErr w:type="spellEnd"/>
      <w:r>
        <w:rPr>
          <w:rFonts w:ascii="Arial" w:hAnsi="Arial" w:cs="Arial"/>
          <w:sz w:val="22"/>
          <w:szCs w:val="22"/>
        </w:rPr>
        <w:t xml:space="preserve">- ja tukitehtävät tehtävät sopisivat hyvin esim. </w:t>
      </w:r>
      <w:proofErr w:type="spellStart"/>
      <w:r>
        <w:rPr>
          <w:rFonts w:ascii="Arial" w:hAnsi="Arial" w:cs="Arial"/>
          <w:sz w:val="22"/>
          <w:szCs w:val="22"/>
        </w:rPr>
        <w:t>Vimana</w:t>
      </w:r>
      <w:proofErr w:type="spellEnd"/>
      <w:r>
        <w:rPr>
          <w:rFonts w:ascii="Arial" w:hAnsi="Arial" w:cs="Arial"/>
          <w:sz w:val="22"/>
          <w:szCs w:val="22"/>
        </w:rPr>
        <w:t xml:space="preserve"> Oy:n tehtäviksi.</w:t>
      </w:r>
    </w:p>
    <w:p w:rsidR="00C11DA4" w:rsidRDefault="00C11DA4" w:rsidP="00C11DA4">
      <w:pPr>
        <w:pStyle w:val="Default"/>
        <w:ind w:left="2608"/>
        <w:rPr>
          <w:rFonts w:ascii="Arial" w:hAnsi="Arial" w:cs="Arial"/>
          <w:sz w:val="22"/>
          <w:szCs w:val="22"/>
        </w:rPr>
      </w:pPr>
    </w:p>
    <w:p w:rsidR="00C11DA4" w:rsidRPr="00C11DA4" w:rsidRDefault="00C11DA4" w:rsidP="00C11DA4">
      <w:pPr>
        <w:ind w:left="2608"/>
        <w:rPr>
          <w:i/>
          <w:color w:val="000000"/>
          <w:sz w:val="22"/>
          <w:u w:val="single"/>
        </w:rPr>
      </w:pPr>
      <w:r w:rsidRPr="00C11DA4">
        <w:rPr>
          <w:i/>
          <w:color w:val="000000"/>
          <w:sz w:val="22"/>
          <w:u w:val="single"/>
        </w:rPr>
        <w:t>Avustusten ja korvausten maksatustehtävät</w:t>
      </w:r>
    </w:p>
    <w:p w:rsidR="00C11DA4" w:rsidRPr="00C11DA4" w:rsidRDefault="00C11DA4" w:rsidP="00C11DA4">
      <w:pPr>
        <w:ind w:left="2608"/>
        <w:rPr>
          <w:color w:val="000000"/>
          <w:sz w:val="22"/>
          <w:u w:val="single"/>
        </w:rPr>
      </w:pPr>
    </w:p>
    <w:p w:rsidR="00C11DA4" w:rsidRPr="00C11DA4" w:rsidRDefault="00C11DA4" w:rsidP="00C11DA4">
      <w:pPr>
        <w:ind w:left="2608"/>
        <w:rPr>
          <w:color w:val="000000"/>
          <w:sz w:val="22"/>
        </w:rPr>
      </w:pPr>
      <w:r w:rsidRPr="00C11DA4">
        <w:rPr>
          <w:color w:val="000000"/>
          <w:sz w:val="22"/>
        </w:rPr>
        <w:t xml:space="preserve">Emme pidä edellä mainittujen tehtävien keskittämistä kasvupalveluvirastoon tarkoituksenmukaisena. Maakuntien tulisi pystyä alueellaan hoitamaan palveluita ja niihin liittyvää maksatusta yhtenäisenä kokonaisuutena palveluprosessin sujuvuuden turvaamiseksi. Tukien maksamista ja myöntämistä ei ole toiminnallisesti tarkoituksenmukaista erottaa toisistaan. Tuen myöntävän tahon tulee vastata asiakkaalle myös maksatuksen sujuvuudesta. Samoin takaisinperintätilanteissa tuen myöntävän tahon on luonnollista ja tarkoituksenmukaisempaa tutkia tuen takaisinperinnän edellytysten täyttyminen.  </w:t>
      </w:r>
    </w:p>
    <w:p w:rsidR="00C11DA4" w:rsidRPr="00C11DA4" w:rsidRDefault="00C11DA4" w:rsidP="00C11DA4">
      <w:pPr>
        <w:ind w:left="2608"/>
        <w:rPr>
          <w:color w:val="000000"/>
          <w:sz w:val="22"/>
        </w:rPr>
      </w:pPr>
    </w:p>
    <w:p w:rsidR="00C11DA4" w:rsidRPr="00C11DA4" w:rsidRDefault="00C11DA4" w:rsidP="00C11DA4">
      <w:pPr>
        <w:ind w:left="2608"/>
        <w:rPr>
          <w:color w:val="000000"/>
          <w:sz w:val="22"/>
        </w:rPr>
      </w:pPr>
      <w:r w:rsidRPr="00C11DA4">
        <w:rPr>
          <w:color w:val="000000"/>
          <w:sz w:val="22"/>
        </w:rPr>
        <w:t xml:space="preserve">Maksatustehtävien hoitaminen maakunnassa mahdollistaisi myös eri rahoitus- ja maksatustehtävien tehokkaan synergian hyödyntämisen maakunnassa, koska maakunnalle jää kuitenkin useiden substanssilakien perusteella </w:t>
      </w:r>
      <w:r w:rsidRPr="00C11DA4">
        <w:rPr>
          <w:color w:val="000000"/>
          <w:sz w:val="22"/>
        </w:rPr>
        <w:lastRenderedPageBreak/>
        <w:t xml:space="preserve">maksatustehtäviä hoidettavaksi. Maakunnalla on velvollisuus huolehtia vastuullaan olevien rahojen käytöstä, mikä sisältää myös maksatukset. </w:t>
      </w:r>
    </w:p>
    <w:p w:rsidR="00C11DA4" w:rsidRPr="002616B0" w:rsidRDefault="00C11DA4" w:rsidP="00C11DA4">
      <w:pPr>
        <w:ind w:left="2608"/>
        <w:rPr>
          <w:color w:val="000000"/>
        </w:rPr>
      </w:pPr>
    </w:p>
    <w:p w:rsidR="00C11DA4" w:rsidRPr="00EB4FE1" w:rsidRDefault="00C11DA4" w:rsidP="00C11DA4">
      <w:pPr>
        <w:pStyle w:val="Default"/>
        <w:ind w:left="2608"/>
        <w:rPr>
          <w:rFonts w:ascii="Arial" w:hAnsi="Arial" w:cs="Arial"/>
          <w:i/>
          <w:sz w:val="22"/>
          <w:szCs w:val="22"/>
          <w:u w:val="single"/>
        </w:rPr>
      </w:pPr>
      <w:r w:rsidRPr="00EB4FE1">
        <w:rPr>
          <w:rFonts w:ascii="Arial" w:hAnsi="Arial" w:cs="Arial"/>
          <w:i/>
          <w:sz w:val="22"/>
          <w:szCs w:val="22"/>
          <w:u w:val="single"/>
        </w:rPr>
        <w:t>Valtakunnallinen asiakaspalvelu</w:t>
      </w:r>
    </w:p>
    <w:p w:rsidR="00C11DA4" w:rsidRDefault="00C11DA4" w:rsidP="00C11DA4">
      <w:pPr>
        <w:pStyle w:val="Default"/>
        <w:ind w:left="2608"/>
        <w:rPr>
          <w:rFonts w:ascii="Arial" w:hAnsi="Arial" w:cs="Arial"/>
          <w:sz w:val="22"/>
          <w:szCs w:val="22"/>
        </w:rPr>
      </w:pPr>
    </w:p>
    <w:p w:rsidR="00C11DA4" w:rsidRDefault="00C11DA4" w:rsidP="00C11DA4">
      <w:pPr>
        <w:pStyle w:val="Default"/>
        <w:ind w:left="2608"/>
        <w:rPr>
          <w:rFonts w:ascii="Arial" w:hAnsi="Arial" w:cs="Arial"/>
          <w:iCs/>
          <w:sz w:val="22"/>
          <w:szCs w:val="22"/>
        </w:rPr>
      </w:pPr>
      <w:r>
        <w:rPr>
          <w:rFonts w:ascii="Arial" w:hAnsi="Arial" w:cs="Arial"/>
          <w:sz w:val="22"/>
          <w:szCs w:val="22"/>
        </w:rPr>
        <w:t xml:space="preserve">Viraston toimialaa koskevassa lainkohdassa on viraston yhdeksi tehtäväksi määritelty toiminta </w:t>
      </w:r>
      <w:r w:rsidRPr="009E3ADF">
        <w:rPr>
          <w:rFonts w:ascii="Arial" w:hAnsi="Arial" w:cs="Arial"/>
          <w:i/>
          <w:sz w:val="22"/>
          <w:szCs w:val="22"/>
        </w:rPr>
        <w:t>”yhteisenä asiakaspalvelukeskuksena”</w:t>
      </w:r>
      <w:r>
        <w:rPr>
          <w:rFonts w:ascii="Arial" w:hAnsi="Arial" w:cs="Arial"/>
          <w:i/>
          <w:sz w:val="22"/>
          <w:szCs w:val="22"/>
        </w:rPr>
        <w:t xml:space="preserve">. </w:t>
      </w:r>
      <w:r>
        <w:rPr>
          <w:rFonts w:ascii="Arial" w:hAnsi="Arial" w:cs="Arial"/>
          <w:sz w:val="22"/>
          <w:szCs w:val="22"/>
        </w:rPr>
        <w:t xml:space="preserve"> </w:t>
      </w:r>
      <w:r>
        <w:rPr>
          <w:rFonts w:ascii="Arial" w:hAnsi="Arial" w:cs="Arial"/>
          <w:iCs/>
          <w:sz w:val="22"/>
          <w:szCs w:val="22"/>
        </w:rPr>
        <w:t>Maakuntien itsehallinnon näkökulmasta keskeinen lähtökohta on, että eri alueet voivat järjestää kasvupalvelunsa sääntelyn rajoissa itsenäisesti ja parhaaksi katsomallaan tavalla, joten palvelut ovat eri alueilla voivat olla erilaisia. Valtakunnallinen asiakaspalvelu ei siten palvelisi toiminnallista tarvetta, eikä istuisi erityisen hyvin maakuntamalliin, jossa maakunta päättää kuinka se palvelunsa järjestää ja tuottaa.</w:t>
      </w:r>
    </w:p>
    <w:p w:rsidR="00C11DA4" w:rsidRDefault="00C11DA4" w:rsidP="00C11DA4">
      <w:pPr>
        <w:pStyle w:val="Default"/>
        <w:ind w:left="2608"/>
        <w:rPr>
          <w:rFonts w:ascii="Arial" w:hAnsi="Arial" w:cs="Arial"/>
          <w:iCs/>
          <w:sz w:val="22"/>
          <w:szCs w:val="22"/>
        </w:rPr>
      </w:pPr>
    </w:p>
    <w:p w:rsidR="00C11DA4" w:rsidRDefault="00C11DA4" w:rsidP="00C11DA4">
      <w:pPr>
        <w:pStyle w:val="Default"/>
        <w:ind w:left="2608"/>
        <w:rPr>
          <w:rFonts w:ascii="Arial" w:hAnsi="Arial" w:cs="Arial"/>
          <w:iCs/>
          <w:sz w:val="22"/>
          <w:szCs w:val="22"/>
        </w:rPr>
      </w:pPr>
      <w:r>
        <w:rPr>
          <w:rFonts w:ascii="Arial" w:hAnsi="Arial" w:cs="Arial"/>
          <w:iCs/>
          <w:sz w:val="22"/>
          <w:szCs w:val="22"/>
        </w:rPr>
        <w:t>Työttömyysturvan toimeenpanoon liittyvistä tehtävistä taas suuri osa on siirtymässä työttömyysetuuden maksajille, joilla tulee jatkossa olla myös etuuksiin liittyvä laajempi neuvontavastuu.</w:t>
      </w:r>
    </w:p>
    <w:p w:rsidR="00C11DA4" w:rsidRDefault="00C11DA4" w:rsidP="00C11DA4">
      <w:pPr>
        <w:pStyle w:val="Default"/>
        <w:ind w:left="2608"/>
        <w:rPr>
          <w:rFonts w:ascii="Arial" w:hAnsi="Arial" w:cs="Arial"/>
          <w:iCs/>
          <w:sz w:val="22"/>
          <w:szCs w:val="22"/>
        </w:rPr>
      </w:pPr>
    </w:p>
    <w:p w:rsidR="00C11DA4" w:rsidRDefault="00C11DA4" w:rsidP="00C11DA4">
      <w:pPr>
        <w:pStyle w:val="Default"/>
        <w:rPr>
          <w:rFonts w:ascii="Arial" w:hAnsi="Arial" w:cs="Arial"/>
          <w:iCs/>
          <w:sz w:val="22"/>
          <w:szCs w:val="22"/>
        </w:rPr>
      </w:pPr>
    </w:p>
    <w:p w:rsidR="00C11DA4" w:rsidRDefault="00C11DA4" w:rsidP="00E82BB0">
      <w:pPr>
        <w:pStyle w:val="Default"/>
        <w:ind w:left="1300" w:firstLine="1304"/>
        <w:rPr>
          <w:rFonts w:ascii="Arial" w:hAnsi="Arial" w:cs="Arial"/>
          <w:i/>
          <w:iCs/>
          <w:sz w:val="22"/>
          <w:szCs w:val="22"/>
        </w:rPr>
      </w:pPr>
      <w:r w:rsidRPr="00FE104C">
        <w:rPr>
          <w:rFonts w:ascii="Arial" w:hAnsi="Arial" w:cs="Arial"/>
          <w:i/>
          <w:iCs/>
          <w:sz w:val="22"/>
          <w:szCs w:val="22"/>
        </w:rPr>
        <w:t>Yleisesti hallituksen esitysluonnoksesta</w:t>
      </w:r>
    </w:p>
    <w:p w:rsidR="00C11DA4" w:rsidRDefault="00C11DA4" w:rsidP="00C11DA4">
      <w:pPr>
        <w:pStyle w:val="Default"/>
        <w:rPr>
          <w:rFonts w:ascii="Arial" w:hAnsi="Arial" w:cs="Arial"/>
          <w:i/>
          <w:iCs/>
          <w:sz w:val="22"/>
          <w:szCs w:val="22"/>
        </w:rPr>
      </w:pPr>
    </w:p>
    <w:p w:rsidR="00C11DA4" w:rsidRDefault="00C11DA4" w:rsidP="00C11DA4">
      <w:pPr>
        <w:pStyle w:val="Default"/>
        <w:ind w:left="2604"/>
        <w:rPr>
          <w:rFonts w:ascii="Arial" w:hAnsi="Arial" w:cs="Arial"/>
          <w:iCs/>
          <w:sz w:val="22"/>
          <w:szCs w:val="22"/>
        </w:rPr>
      </w:pPr>
      <w:r>
        <w:rPr>
          <w:rFonts w:ascii="Arial" w:hAnsi="Arial" w:cs="Arial"/>
          <w:iCs/>
          <w:sz w:val="22"/>
          <w:szCs w:val="22"/>
        </w:rPr>
        <w:t xml:space="preserve">Virastolle kaavailluista tehtävistä ainoastaan tietojärjestelmien hankkiminen ja tuottaminen, sekä niihin liittyvä tuki tulisi järjestää valtakunnallisena toimintona. Tätä tehtävää varten erillisen kasvupalveluviraston perustaminen ei ole tarpeen, toiminnot voitaisiin hyvin liittää osaksi </w:t>
      </w:r>
      <w:proofErr w:type="spellStart"/>
      <w:r>
        <w:rPr>
          <w:rFonts w:ascii="Arial" w:hAnsi="Arial" w:cs="Arial"/>
          <w:iCs/>
          <w:sz w:val="22"/>
          <w:szCs w:val="22"/>
        </w:rPr>
        <w:t>Vimana</w:t>
      </w:r>
      <w:proofErr w:type="spellEnd"/>
      <w:r>
        <w:rPr>
          <w:rFonts w:ascii="Arial" w:hAnsi="Arial" w:cs="Arial"/>
          <w:iCs/>
          <w:sz w:val="22"/>
          <w:szCs w:val="22"/>
        </w:rPr>
        <w:t xml:space="preserve"> Oy:n toimialaa ja tehtäviä.</w:t>
      </w:r>
    </w:p>
    <w:p w:rsidR="00C11DA4" w:rsidRDefault="00C11DA4" w:rsidP="00C11DA4">
      <w:pPr>
        <w:pStyle w:val="Default"/>
        <w:ind w:left="2604"/>
        <w:rPr>
          <w:rFonts w:ascii="Arial" w:hAnsi="Arial" w:cs="Arial"/>
          <w:iCs/>
          <w:sz w:val="22"/>
          <w:szCs w:val="22"/>
        </w:rPr>
      </w:pPr>
    </w:p>
    <w:p w:rsidR="00E82BB0" w:rsidRDefault="00C11DA4" w:rsidP="00C11DA4">
      <w:pPr>
        <w:pStyle w:val="Default"/>
        <w:ind w:left="2604"/>
        <w:rPr>
          <w:rFonts w:ascii="Arial" w:hAnsi="Arial" w:cs="Arial"/>
          <w:iCs/>
          <w:sz w:val="22"/>
          <w:szCs w:val="22"/>
        </w:rPr>
      </w:pPr>
      <w:r>
        <w:rPr>
          <w:rFonts w:ascii="Arial" w:hAnsi="Arial" w:cs="Arial"/>
          <w:iCs/>
          <w:sz w:val="22"/>
          <w:szCs w:val="22"/>
        </w:rPr>
        <w:t>Kasvupalveluvirastolle kaavailtujen tehtävien järjestämisessä tulisi tavoitella kestävää, maakuntien toiminnallisuuden kannalta tehokasta ratkaisua, sen sijaan että keskitytään turvaamaan tietyt toiminnot siirtymävaiheen ajalle. Alueiden kehittämistä ja kasvupalveluja koskeva laki antaa maakunnille huomattavasti enemmän liikkumavaraa tehtävien järjestämiselle kuin voimassa oleva sääntely TE-toimistoille ja ELY-keskuksille. On olennaista, että myös tukipalvelut on järjestetty muuttuvan toimintaympäristön tarpeisiin.</w:t>
      </w:r>
    </w:p>
    <w:p w:rsidR="00E82BB0" w:rsidRDefault="00E82BB0" w:rsidP="00C11DA4">
      <w:pPr>
        <w:pStyle w:val="Default"/>
        <w:ind w:left="2604"/>
        <w:rPr>
          <w:rFonts w:ascii="Arial" w:hAnsi="Arial" w:cs="Arial"/>
          <w:iCs/>
          <w:sz w:val="22"/>
          <w:szCs w:val="22"/>
        </w:rPr>
      </w:pPr>
    </w:p>
    <w:p w:rsidR="00E82BB0" w:rsidRDefault="00E82BB0" w:rsidP="00C11DA4">
      <w:pPr>
        <w:pStyle w:val="Default"/>
        <w:ind w:left="2604"/>
        <w:rPr>
          <w:rFonts w:ascii="Arial" w:hAnsi="Arial" w:cs="Arial"/>
          <w:iCs/>
          <w:sz w:val="22"/>
          <w:szCs w:val="22"/>
        </w:rPr>
      </w:pPr>
    </w:p>
    <w:p w:rsidR="00E82BB0" w:rsidRDefault="00E82BB0" w:rsidP="00C11DA4">
      <w:pPr>
        <w:pStyle w:val="Default"/>
        <w:ind w:left="2604"/>
        <w:rPr>
          <w:rFonts w:ascii="Arial" w:hAnsi="Arial" w:cs="Arial"/>
          <w:iCs/>
          <w:sz w:val="22"/>
          <w:szCs w:val="22"/>
        </w:rPr>
      </w:pPr>
    </w:p>
    <w:p w:rsidR="00E82BB0" w:rsidRDefault="00E82BB0" w:rsidP="00C11DA4">
      <w:pPr>
        <w:pStyle w:val="Default"/>
        <w:ind w:left="2604"/>
        <w:rPr>
          <w:rFonts w:ascii="Arial" w:hAnsi="Arial" w:cs="Arial"/>
          <w:iCs/>
          <w:sz w:val="22"/>
          <w:szCs w:val="22"/>
        </w:rPr>
      </w:pPr>
      <w:r>
        <w:rPr>
          <w:rFonts w:ascii="Arial" w:hAnsi="Arial" w:cs="Arial"/>
          <w:iCs/>
          <w:sz w:val="22"/>
          <w:szCs w:val="22"/>
        </w:rPr>
        <w:t>Jarmo Ukkonen</w:t>
      </w:r>
    </w:p>
    <w:p w:rsidR="00C11DA4" w:rsidRDefault="00E82BB0" w:rsidP="00C11DA4">
      <w:pPr>
        <w:pStyle w:val="Default"/>
        <w:ind w:left="2604"/>
        <w:rPr>
          <w:rFonts w:ascii="Arial" w:hAnsi="Arial" w:cs="Arial"/>
          <w:iCs/>
          <w:sz w:val="22"/>
          <w:szCs w:val="22"/>
        </w:rPr>
      </w:pPr>
      <w:r>
        <w:rPr>
          <w:rFonts w:ascii="Arial" w:hAnsi="Arial" w:cs="Arial"/>
          <w:iCs/>
          <w:sz w:val="22"/>
          <w:szCs w:val="22"/>
        </w:rPr>
        <w:t>J</w:t>
      </w:r>
      <w:bookmarkStart w:id="1" w:name="_GoBack"/>
      <w:bookmarkEnd w:id="1"/>
      <w:r>
        <w:rPr>
          <w:rFonts w:ascii="Arial" w:hAnsi="Arial" w:cs="Arial"/>
          <w:iCs/>
          <w:sz w:val="22"/>
          <w:szCs w:val="22"/>
        </w:rPr>
        <w:t>ohtaja</w:t>
      </w:r>
      <w:r w:rsidR="00C11DA4">
        <w:rPr>
          <w:rFonts w:ascii="Arial" w:hAnsi="Arial" w:cs="Arial"/>
          <w:iCs/>
          <w:sz w:val="22"/>
          <w:szCs w:val="22"/>
        </w:rPr>
        <w:t xml:space="preserve"> </w:t>
      </w:r>
    </w:p>
    <w:p w:rsidR="00B3300B" w:rsidRPr="00260ED1" w:rsidRDefault="00B3300B" w:rsidP="00A44B5B">
      <w:pPr>
        <w:pStyle w:val="Otsikko1"/>
      </w:pPr>
    </w:p>
    <w:sectPr w:rsidR="00B3300B" w:rsidRPr="00260ED1" w:rsidSect="005E1F66">
      <w:headerReference w:type="default" r:id="rId7"/>
      <w:headerReference w:type="first" r:id="rId8"/>
      <w:footerReference w:type="first" r:id="rId9"/>
      <w:pgSz w:w="11906" w:h="16838"/>
      <w:pgMar w:top="1049" w:right="567" w:bottom="720" w:left="1134" w:header="544"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91D" w:rsidRDefault="00AC391D" w:rsidP="000A15A0">
      <w:pPr>
        <w:spacing w:line="240" w:lineRule="auto"/>
      </w:pPr>
      <w:r>
        <w:separator/>
      </w:r>
    </w:p>
  </w:endnote>
  <w:endnote w:type="continuationSeparator" w:id="0">
    <w:p w:rsidR="00AC391D" w:rsidRDefault="00AC391D" w:rsidP="000A1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CC" w:rsidRPr="00704321" w:rsidRDefault="00267ACC" w:rsidP="00704321">
    <w:pPr>
      <w:pStyle w:val="Alatunniste"/>
    </w:pPr>
  </w:p>
  <w:p w:rsidR="003C6447" w:rsidRPr="005D7157" w:rsidRDefault="00BF37E0" w:rsidP="001673D1">
    <w:pPr>
      <w:pStyle w:val="Alatunniste"/>
      <w:rPr>
        <w:lang w:val="sv-SE"/>
      </w:rPr>
    </w:pPr>
    <w:r w:rsidRPr="005D7157">
      <w:rPr>
        <w:lang w:val="sv-SE"/>
      </w:rPr>
      <w:t>UUDEN</w:t>
    </w:r>
    <w:r w:rsidR="00704321" w:rsidRPr="005D7157">
      <w:rPr>
        <w:lang w:val="sv-SE"/>
      </w:rPr>
      <w:t>MAAN</w:t>
    </w:r>
    <w:r w:rsidRPr="005D7157">
      <w:rPr>
        <w:lang w:val="sv-SE"/>
      </w:rPr>
      <w:t xml:space="preserve"> TYÖ- JA ELINKEINOTOIMISTO I  NYLAND</w:t>
    </w:r>
    <w:r w:rsidR="00704321" w:rsidRPr="005D7157">
      <w:rPr>
        <w:lang w:val="sv-SE"/>
      </w:rPr>
      <w:t>S</w:t>
    </w:r>
    <w:r w:rsidR="00267ACC" w:rsidRPr="005D7157">
      <w:rPr>
        <w:lang w:val="sv-SE"/>
      </w:rPr>
      <w:t xml:space="preserve"> ARBETS- OCH NÄRINGS</w:t>
    </w:r>
    <w:r w:rsidR="00704321" w:rsidRPr="005D7157">
      <w:rPr>
        <w:lang w:val="sv-SE"/>
      </w:rPr>
      <w:t>BYRÅ</w:t>
    </w:r>
  </w:p>
  <w:p w:rsidR="00267ACC" w:rsidRPr="00E83A47" w:rsidRDefault="001673D1" w:rsidP="001673D1">
    <w:pPr>
      <w:pStyle w:val="Alatunniste"/>
      <w:rPr>
        <w:lang w:val="sv-SE"/>
      </w:rPr>
    </w:pPr>
    <w:r w:rsidRPr="00E83A47">
      <w:rPr>
        <w:lang w:val="sv-SE"/>
      </w:rPr>
      <w:t xml:space="preserve">PL 1003, 00521 Helsinki  </w:t>
    </w:r>
    <w:r w:rsidR="003C6447" w:rsidRPr="00E83A47">
      <w:rPr>
        <w:lang w:val="sv-SE"/>
      </w:rPr>
      <w:t xml:space="preserve">l  </w:t>
    </w:r>
    <w:r w:rsidRPr="00E83A47">
      <w:rPr>
        <w:lang w:val="sv-SE"/>
      </w:rPr>
      <w:t xml:space="preserve">PB 1003, 00521 Helsingfors  </w:t>
    </w:r>
  </w:p>
  <w:p w:rsidR="001673D1" w:rsidRPr="00E83A47" w:rsidRDefault="001673D1" w:rsidP="001673D1">
    <w:pPr>
      <w:pStyle w:val="Alatunniste"/>
      <w:rPr>
        <w:lang w:val="sv-SE"/>
      </w:rPr>
    </w:pPr>
  </w:p>
  <w:p w:rsidR="00267ACC" w:rsidRPr="00704321" w:rsidRDefault="00267ACC" w:rsidP="00704321">
    <w:pPr>
      <w:pStyle w:val="Alatunniste"/>
    </w:pPr>
    <w:r w:rsidRPr="00704321">
      <w:t>Puh</w:t>
    </w:r>
    <w:r w:rsidR="001673D1">
      <w:t xml:space="preserve"> (</w:t>
    </w:r>
    <w:proofErr w:type="gramStart"/>
    <w:r w:rsidR="001673D1">
      <w:t>vaihde)</w:t>
    </w:r>
    <w:r w:rsidR="00213B32">
      <w:t xml:space="preserve"> </w:t>
    </w:r>
    <w:r w:rsidR="00704321">
      <w:t xml:space="preserve">  </w:t>
    </w:r>
    <w:proofErr w:type="gramEnd"/>
    <w:r w:rsidR="00F464E3">
      <w:t>029</w:t>
    </w:r>
    <w:r w:rsidRPr="00704321">
      <w:t>5</w:t>
    </w:r>
    <w:r w:rsidR="00F464E3">
      <w:t xml:space="preserve"> </w:t>
    </w:r>
    <w:r w:rsidR="002B711B">
      <w:t>040</w:t>
    </w:r>
    <w:r w:rsidR="00283E6B">
      <w:t> </w:t>
    </w:r>
    <w:r w:rsidR="00C836AA">
      <w:t>000</w:t>
    </w:r>
    <w:r w:rsidR="005D7157">
      <w:t xml:space="preserve"> </w:t>
    </w:r>
    <w:r w:rsidR="00487FE7">
      <w:tab/>
    </w:r>
    <w:r w:rsidR="002E789F">
      <w:tab/>
    </w:r>
    <w:r w:rsidR="00645A6C">
      <w:t>www.te-toimisto.fi</w:t>
    </w:r>
    <w:r w:rsidR="00260ED1">
      <w:t>/uusimaa</w:t>
    </w:r>
  </w:p>
  <w:p w:rsidR="00267ACC" w:rsidRPr="00BF37E0" w:rsidRDefault="00267ACC" w:rsidP="00704321">
    <w:pPr>
      <w:pStyle w:val="Alatunniste"/>
      <w:rPr>
        <w:lang w:val="sv-SE"/>
      </w:rPr>
    </w:pPr>
    <w:r w:rsidRPr="00487FE7">
      <w:rPr>
        <w:lang w:val="sv-SE"/>
      </w:rPr>
      <w:t>Tfn</w:t>
    </w:r>
    <w:r w:rsidR="001673D1" w:rsidRPr="00487FE7">
      <w:rPr>
        <w:lang w:val="sv-SE"/>
      </w:rPr>
      <w:t xml:space="preserve"> (växel) </w:t>
    </w:r>
    <w:r w:rsidRPr="00487FE7">
      <w:rPr>
        <w:lang w:val="sv-SE"/>
      </w:rPr>
      <w:t xml:space="preserve"> </w:t>
    </w:r>
    <w:r w:rsidR="00704321" w:rsidRPr="00487FE7">
      <w:rPr>
        <w:lang w:val="sv-SE"/>
      </w:rPr>
      <w:t xml:space="preserve">  </w:t>
    </w:r>
    <w:r w:rsidR="001673D1" w:rsidRPr="00487FE7">
      <w:rPr>
        <w:lang w:val="sv-SE"/>
      </w:rPr>
      <w:t xml:space="preserve"> </w:t>
    </w:r>
    <w:r w:rsidR="00704321" w:rsidRPr="00487FE7">
      <w:rPr>
        <w:lang w:val="sv-SE"/>
      </w:rPr>
      <w:t xml:space="preserve"> </w:t>
    </w:r>
    <w:r w:rsidR="00F464E3" w:rsidRPr="00487FE7">
      <w:rPr>
        <w:lang w:val="sv-SE"/>
      </w:rPr>
      <w:t>029</w:t>
    </w:r>
    <w:r w:rsidRPr="00487FE7">
      <w:rPr>
        <w:lang w:val="sv-SE"/>
      </w:rPr>
      <w:t>5</w:t>
    </w:r>
    <w:r w:rsidR="00F464E3" w:rsidRPr="00487FE7">
      <w:rPr>
        <w:lang w:val="sv-SE"/>
      </w:rPr>
      <w:t xml:space="preserve"> </w:t>
    </w:r>
    <w:r w:rsidR="002B711B" w:rsidRPr="00487FE7">
      <w:rPr>
        <w:lang w:val="sv-SE"/>
      </w:rPr>
      <w:t>040</w:t>
    </w:r>
    <w:r w:rsidR="00283E6B">
      <w:rPr>
        <w:lang w:val="sv-SE"/>
      </w:rPr>
      <w:t> </w:t>
    </w:r>
    <w:r w:rsidR="001673D1" w:rsidRPr="00487FE7">
      <w:rPr>
        <w:lang w:val="sv-SE"/>
      </w:rPr>
      <w:t>000</w:t>
    </w:r>
    <w:r w:rsidR="005D7157">
      <w:rPr>
        <w:lang w:val="sv-SE"/>
      </w:rPr>
      <w:t xml:space="preserve"> </w:t>
    </w:r>
    <w:r w:rsidR="00213B32" w:rsidRPr="00487FE7">
      <w:rPr>
        <w:lang w:val="sv-SE"/>
      </w:rPr>
      <w:tab/>
    </w:r>
    <w:r w:rsidR="002B711B" w:rsidRPr="001673D1">
      <w:rPr>
        <w:lang w:val="sv-S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91D" w:rsidRDefault="00AC391D" w:rsidP="000A15A0">
      <w:pPr>
        <w:spacing w:line="240" w:lineRule="auto"/>
      </w:pPr>
      <w:r>
        <w:separator/>
      </w:r>
    </w:p>
  </w:footnote>
  <w:footnote w:type="continuationSeparator" w:id="0">
    <w:p w:rsidR="00AC391D" w:rsidRDefault="00AC391D" w:rsidP="000A1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CC" w:rsidRDefault="00267ACC">
    <w:pPr>
      <w:pStyle w:val="Yltunniste"/>
    </w:pPr>
  </w:p>
  <w:tbl>
    <w:tblPr>
      <w:tblW w:w="0" w:type="auto"/>
      <w:jc w:val="right"/>
      <w:tblLook w:val="04A0" w:firstRow="1" w:lastRow="0" w:firstColumn="1" w:lastColumn="0" w:noHBand="0" w:noVBand="1"/>
    </w:tblPr>
    <w:tblGrid>
      <w:gridCol w:w="4459"/>
      <w:gridCol w:w="1913"/>
      <w:gridCol w:w="814"/>
    </w:tblGrid>
    <w:tr w:rsidR="00267ACC" w:rsidRPr="00177C6F" w:rsidTr="00177C6F">
      <w:trPr>
        <w:jc w:val="right"/>
      </w:trPr>
      <w:tc>
        <w:tcPr>
          <w:tcW w:w="4459" w:type="dxa"/>
        </w:tcPr>
        <w:p w:rsidR="00267ACC" w:rsidRPr="00177C6F" w:rsidRDefault="00267ACC" w:rsidP="00177C6F">
          <w:pPr>
            <w:pStyle w:val="Yltunniste"/>
            <w:jc w:val="right"/>
          </w:pPr>
        </w:p>
      </w:tc>
      <w:tc>
        <w:tcPr>
          <w:tcW w:w="1913" w:type="dxa"/>
        </w:tcPr>
        <w:p w:rsidR="00267ACC" w:rsidRPr="00177C6F" w:rsidRDefault="008C1E6A" w:rsidP="00177C6F">
          <w:pPr>
            <w:pStyle w:val="Yltunniste"/>
            <w:jc w:val="right"/>
          </w:pPr>
          <w:r w:rsidRPr="00177C6F">
            <w:fldChar w:fldCharType="begin"/>
          </w:r>
          <w:r w:rsidR="00267ACC" w:rsidRPr="00177C6F">
            <w:instrText>PAGE</w:instrText>
          </w:r>
          <w:r w:rsidRPr="00177C6F">
            <w:rPr>
              <w:lang w:val="en-GB"/>
            </w:rPr>
            <w:fldChar w:fldCharType="separate"/>
          </w:r>
          <w:r w:rsidR="00E82BB0">
            <w:rPr>
              <w:noProof/>
            </w:rPr>
            <w:t>2</w:t>
          </w:r>
          <w:r w:rsidRPr="00177C6F">
            <w:rPr>
              <w:noProof/>
            </w:rPr>
            <w:fldChar w:fldCharType="end"/>
          </w:r>
          <w:r w:rsidR="00267ACC" w:rsidRPr="00177C6F">
            <w:t>(</w:t>
          </w:r>
          <w:r w:rsidRPr="00177C6F">
            <w:fldChar w:fldCharType="begin"/>
          </w:r>
          <w:r w:rsidR="00267ACC" w:rsidRPr="00177C6F">
            <w:instrText>NUMPAGES</w:instrText>
          </w:r>
          <w:r w:rsidRPr="00177C6F">
            <w:rPr>
              <w:lang w:val="en-GB"/>
            </w:rPr>
            <w:fldChar w:fldCharType="separate"/>
          </w:r>
          <w:r w:rsidR="00E82BB0">
            <w:rPr>
              <w:noProof/>
            </w:rPr>
            <w:t>2</w:t>
          </w:r>
          <w:r w:rsidRPr="00177C6F">
            <w:rPr>
              <w:noProof/>
            </w:rPr>
            <w:fldChar w:fldCharType="end"/>
          </w:r>
          <w:r w:rsidR="00267ACC" w:rsidRPr="00177C6F">
            <w:t>)</w:t>
          </w:r>
        </w:p>
      </w:tc>
      <w:tc>
        <w:tcPr>
          <w:tcW w:w="814" w:type="dxa"/>
        </w:tcPr>
        <w:p w:rsidR="00267ACC" w:rsidRPr="00177C6F" w:rsidRDefault="00267ACC" w:rsidP="00177C6F">
          <w:pPr>
            <w:pStyle w:val="Yltunniste"/>
            <w:jc w:val="right"/>
          </w:pPr>
        </w:p>
      </w:tc>
    </w:tr>
  </w:tbl>
  <w:p w:rsidR="00267ACC" w:rsidRDefault="00267ACC">
    <w:pPr>
      <w:pStyle w:val="Yltunniste"/>
    </w:pPr>
  </w:p>
  <w:p w:rsidR="000A15A0" w:rsidRDefault="000A15A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66" w:rsidRDefault="00041A27">
    <w:pPr>
      <w:pStyle w:val="Yltunniste"/>
    </w:pPr>
    <w:r>
      <w:rPr>
        <w:noProof/>
        <w:lang w:eastAsia="fi-FI"/>
      </w:rPr>
      <w:drawing>
        <wp:anchor distT="0" distB="0" distL="114300" distR="114300" simplePos="0" relativeHeight="251657728" behindDoc="1" locked="1" layoutInCell="0" allowOverlap="1">
          <wp:simplePos x="0" y="0"/>
          <wp:positionH relativeFrom="page">
            <wp:posOffset>633730</wp:posOffset>
          </wp:positionH>
          <wp:positionV relativeFrom="page">
            <wp:posOffset>331470</wp:posOffset>
          </wp:positionV>
          <wp:extent cx="2520315" cy="777875"/>
          <wp:effectExtent l="19050" t="0" r="0" b="0"/>
          <wp:wrapNone/>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srcRect/>
                  <a:stretch>
                    <a:fillRect/>
                  </a:stretch>
                </pic:blipFill>
                <pic:spPr bwMode="auto">
                  <a:xfrm>
                    <a:off x="0" y="0"/>
                    <a:ext cx="2520315" cy="777875"/>
                  </a:xfrm>
                  <a:prstGeom prst="rect">
                    <a:avLst/>
                  </a:prstGeom>
                  <a:noFill/>
                  <a:ln w="9525">
                    <a:noFill/>
                    <a:miter lim="800000"/>
                    <a:headEnd/>
                    <a:tailEnd/>
                  </a:ln>
                </pic:spPr>
              </pic:pic>
            </a:graphicData>
          </a:graphic>
        </wp:anchor>
      </w:drawing>
    </w:r>
    <w:r w:rsidR="005E1F66">
      <w:rPr>
        <w:noProof/>
        <w:lang w:eastAsia="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537D"/>
    <w:multiLevelType w:val="hybridMultilevel"/>
    <w:tmpl w:val="363CF3E2"/>
    <w:lvl w:ilvl="0" w:tplc="CD340020">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23C1708"/>
    <w:multiLevelType w:val="hybridMultilevel"/>
    <w:tmpl w:val="BFF4A4D2"/>
    <w:lvl w:ilvl="0" w:tplc="4732BCAC">
      <w:start w:val="1"/>
      <w:numFmt w:val="bullet"/>
      <w:pStyle w:val="Luettelo"/>
      <w:lvlText w:val="•"/>
      <w:lvlJc w:val="left"/>
      <w:pPr>
        <w:ind w:left="166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72"/>
    <w:rsid w:val="00007DDB"/>
    <w:rsid w:val="00041A27"/>
    <w:rsid w:val="000510D8"/>
    <w:rsid w:val="00080E41"/>
    <w:rsid w:val="000A15A0"/>
    <w:rsid w:val="000A4FC0"/>
    <w:rsid w:val="000F363A"/>
    <w:rsid w:val="001673D1"/>
    <w:rsid w:val="00177C6F"/>
    <w:rsid w:val="00181A11"/>
    <w:rsid w:val="001974DB"/>
    <w:rsid w:val="001D7A61"/>
    <w:rsid w:val="00213B32"/>
    <w:rsid w:val="00260ED1"/>
    <w:rsid w:val="00267ACC"/>
    <w:rsid w:val="0027398D"/>
    <w:rsid w:val="00283216"/>
    <w:rsid w:val="00283E6B"/>
    <w:rsid w:val="00293037"/>
    <w:rsid w:val="002A22E9"/>
    <w:rsid w:val="002B711B"/>
    <w:rsid w:val="002E789F"/>
    <w:rsid w:val="00330AD5"/>
    <w:rsid w:val="003518A4"/>
    <w:rsid w:val="00356A62"/>
    <w:rsid w:val="00372760"/>
    <w:rsid w:val="003C6447"/>
    <w:rsid w:val="003F4342"/>
    <w:rsid w:val="0043570D"/>
    <w:rsid w:val="00487FE7"/>
    <w:rsid w:val="004D5AE8"/>
    <w:rsid w:val="005417FD"/>
    <w:rsid w:val="005A100B"/>
    <w:rsid w:val="005B06A7"/>
    <w:rsid w:val="005D7157"/>
    <w:rsid w:val="005E1F66"/>
    <w:rsid w:val="00636E37"/>
    <w:rsid w:val="00645A6C"/>
    <w:rsid w:val="00677174"/>
    <w:rsid w:val="00687055"/>
    <w:rsid w:val="00690B55"/>
    <w:rsid w:val="006A7026"/>
    <w:rsid w:val="006B3176"/>
    <w:rsid w:val="00704321"/>
    <w:rsid w:val="00764353"/>
    <w:rsid w:val="0078662E"/>
    <w:rsid w:val="007F08C9"/>
    <w:rsid w:val="00825860"/>
    <w:rsid w:val="008622B8"/>
    <w:rsid w:val="00862F09"/>
    <w:rsid w:val="008C1E6A"/>
    <w:rsid w:val="00932119"/>
    <w:rsid w:val="00941626"/>
    <w:rsid w:val="00984E49"/>
    <w:rsid w:val="009A7EDB"/>
    <w:rsid w:val="009F5CD3"/>
    <w:rsid w:val="00A02F4D"/>
    <w:rsid w:val="00A44B5B"/>
    <w:rsid w:val="00A65FD2"/>
    <w:rsid w:val="00A66E87"/>
    <w:rsid w:val="00A8408C"/>
    <w:rsid w:val="00A973BA"/>
    <w:rsid w:val="00AC1A38"/>
    <w:rsid w:val="00AC391D"/>
    <w:rsid w:val="00AE74A8"/>
    <w:rsid w:val="00B06142"/>
    <w:rsid w:val="00B3300B"/>
    <w:rsid w:val="00B41405"/>
    <w:rsid w:val="00BA6F57"/>
    <w:rsid w:val="00BE105E"/>
    <w:rsid w:val="00BF37E0"/>
    <w:rsid w:val="00C11DA4"/>
    <w:rsid w:val="00C4248D"/>
    <w:rsid w:val="00C479A0"/>
    <w:rsid w:val="00C67FA3"/>
    <w:rsid w:val="00C71A39"/>
    <w:rsid w:val="00C836AA"/>
    <w:rsid w:val="00CA302C"/>
    <w:rsid w:val="00CB6272"/>
    <w:rsid w:val="00D174BA"/>
    <w:rsid w:val="00D7667B"/>
    <w:rsid w:val="00D91AEC"/>
    <w:rsid w:val="00DF013D"/>
    <w:rsid w:val="00DF0C05"/>
    <w:rsid w:val="00E00852"/>
    <w:rsid w:val="00E10E9C"/>
    <w:rsid w:val="00E360A7"/>
    <w:rsid w:val="00E65018"/>
    <w:rsid w:val="00E82BB0"/>
    <w:rsid w:val="00E83A47"/>
    <w:rsid w:val="00E86BDF"/>
    <w:rsid w:val="00EF4DF0"/>
    <w:rsid w:val="00F26562"/>
    <w:rsid w:val="00F464E3"/>
    <w:rsid w:val="00F736BE"/>
    <w:rsid w:val="00F840F7"/>
    <w:rsid w:val="00F92D54"/>
    <w:rsid w:val="00FD11F8"/>
    <w:rsid w:val="00FF75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EA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464E3"/>
    <w:pPr>
      <w:tabs>
        <w:tab w:val="left" w:pos="1304"/>
        <w:tab w:val="left" w:pos="2608"/>
        <w:tab w:val="left" w:pos="3912"/>
      </w:tabs>
      <w:spacing w:line="250" w:lineRule="atLeast"/>
    </w:pPr>
    <w:rPr>
      <w:sz w:val="18"/>
      <w:szCs w:val="22"/>
      <w:lang w:eastAsia="en-US"/>
    </w:rPr>
  </w:style>
  <w:style w:type="paragraph" w:styleId="Otsikko1">
    <w:name w:val="heading 1"/>
    <w:basedOn w:val="Normaali"/>
    <w:next w:val="Leipteksti"/>
    <w:link w:val="Otsikko1Char"/>
    <w:uiPriority w:val="9"/>
    <w:qFormat/>
    <w:rsid w:val="000A15A0"/>
    <w:pPr>
      <w:keepNext/>
      <w:keepLines/>
      <w:outlineLvl w:val="0"/>
    </w:pPr>
    <w:rPr>
      <w:rFonts w:eastAsia="Times New Roman"/>
      <w:b/>
      <w:bCs/>
      <w:caps/>
      <w:sz w:val="20"/>
      <w:szCs w:val="28"/>
    </w:rPr>
  </w:style>
  <w:style w:type="paragraph" w:styleId="Otsikko2">
    <w:name w:val="heading 2"/>
    <w:basedOn w:val="Otsikko1"/>
    <w:next w:val="Leipteksti"/>
    <w:link w:val="Otsikko2Char"/>
    <w:uiPriority w:val="9"/>
    <w:qFormat/>
    <w:rsid w:val="00A973BA"/>
    <w:pPr>
      <w:contextualSpacing/>
      <w:outlineLvl w:val="1"/>
    </w:pPr>
    <w:rPr>
      <w:bCs w:val="0"/>
      <w:caps w:val="0"/>
      <w:szCs w:val="26"/>
    </w:rPr>
  </w:style>
  <w:style w:type="paragraph" w:styleId="Otsikko3">
    <w:name w:val="heading 3"/>
    <w:basedOn w:val="Otsikko1"/>
    <w:next w:val="Leipteksti"/>
    <w:link w:val="Otsikko3Char"/>
    <w:uiPriority w:val="9"/>
    <w:semiHidden/>
    <w:unhideWhenUsed/>
    <w:qFormat/>
    <w:rsid w:val="00A973BA"/>
    <w:pPr>
      <w:outlineLvl w:val="2"/>
    </w:pPr>
    <w:rPr>
      <w:bCs w:val="0"/>
      <w:caps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A15A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A15A0"/>
  </w:style>
  <w:style w:type="paragraph" w:styleId="Alatunniste">
    <w:name w:val="footer"/>
    <w:basedOn w:val="Normaali"/>
    <w:link w:val="AlatunnisteChar"/>
    <w:uiPriority w:val="99"/>
    <w:unhideWhenUsed/>
    <w:rsid w:val="00267ACC"/>
    <w:pPr>
      <w:tabs>
        <w:tab w:val="clear" w:pos="1304"/>
        <w:tab w:val="clear" w:pos="2608"/>
        <w:tab w:val="clear" w:pos="3912"/>
        <w:tab w:val="left" w:pos="1701"/>
        <w:tab w:val="left" w:pos="4820"/>
        <w:tab w:val="left" w:pos="8505"/>
      </w:tabs>
      <w:spacing w:line="180" w:lineRule="exact"/>
    </w:pPr>
    <w:rPr>
      <w:sz w:val="14"/>
    </w:rPr>
  </w:style>
  <w:style w:type="character" w:customStyle="1" w:styleId="AlatunnisteChar">
    <w:name w:val="Alatunniste Char"/>
    <w:basedOn w:val="Kappaleenoletusfontti"/>
    <w:link w:val="Alatunniste"/>
    <w:uiPriority w:val="99"/>
    <w:rsid w:val="00267ACC"/>
    <w:rPr>
      <w:sz w:val="14"/>
    </w:rPr>
  </w:style>
  <w:style w:type="paragraph" w:styleId="Seliteteksti">
    <w:name w:val="Balloon Text"/>
    <w:basedOn w:val="Normaali"/>
    <w:link w:val="SelitetekstiChar"/>
    <w:uiPriority w:val="99"/>
    <w:semiHidden/>
    <w:unhideWhenUsed/>
    <w:rsid w:val="000A15A0"/>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15A0"/>
    <w:rPr>
      <w:rFonts w:ascii="Tahoma" w:hAnsi="Tahoma" w:cs="Tahoma"/>
      <w:sz w:val="16"/>
      <w:szCs w:val="16"/>
    </w:rPr>
  </w:style>
  <w:style w:type="paragraph" w:styleId="Leipteksti">
    <w:name w:val="Body Text"/>
    <w:basedOn w:val="Normaali"/>
    <w:link w:val="LeiptekstiChar"/>
    <w:uiPriority w:val="99"/>
    <w:qFormat/>
    <w:rsid w:val="00A973BA"/>
    <w:pPr>
      <w:ind w:left="1304"/>
    </w:pPr>
  </w:style>
  <w:style w:type="character" w:customStyle="1" w:styleId="LeiptekstiChar">
    <w:name w:val="Leipäteksti Char"/>
    <w:basedOn w:val="Kappaleenoletusfontti"/>
    <w:link w:val="Leipteksti"/>
    <w:uiPriority w:val="99"/>
    <w:rsid w:val="00A973BA"/>
    <w:rPr>
      <w:sz w:val="18"/>
    </w:rPr>
  </w:style>
  <w:style w:type="character" w:customStyle="1" w:styleId="Otsikko1Char">
    <w:name w:val="Otsikko 1 Char"/>
    <w:basedOn w:val="Kappaleenoletusfontti"/>
    <w:link w:val="Otsikko1"/>
    <w:uiPriority w:val="9"/>
    <w:rsid w:val="000A15A0"/>
    <w:rPr>
      <w:rFonts w:ascii="Arial" w:eastAsia="Times New Roman" w:hAnsi="Arial" w:cs="Arial"/>
      <w:b/>
      <w:bCs/>
      <w:caps/>
      <w:sz w:val="20"/>
      <w:szCs w:val="28"/>
    </w:rPr>
  </w:style>
  <w:style w:type="character" w:customStyle="1" w:styleId="Otsikko2Char">
    <w:name w:val="Otsikko 2 Char"/>
    <w:basedOn w:val="Kappaleenoletusfontti"/>
    <w:link w:val="Otsikko2"/>
    <w:uiPriority w:val="9"/>
    <w:rsid w:val="00A973BA"/>
    <w:rPr>
      <w:rFonts w:ascii="Arial" w:eastAsia="Times New Roman" w:hAnsi="Arial" w:cs="Arial"/>
      <w:b/>
      <w:sz w:val="20"/>
      <w:szCs w:val="26"/>
    </w:rPr>
  </w:style>
  <w:style w:type="table" w:styleId="TaulukkoRuudukko">
    <w:name w:val="Table Grid"/>
    <w:basedOn w:val="Normaalitaulukko"/>
    <w:uiPriority w:val="59"/>
    <w:rsid w:val="00E3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26562"/>
    <w:rPr>
      <w:color w:val="808080"/>
    </w:rPr>
  </w:style>
  <w:style w:type="character" w:customStyle="1" w:styleId="Otsikko3Char">
    <w:name w:val="Otsikko 3 Char"/>
    <w:basedOn w:val="Kappaleenoletusfontti"/>
    <w:link w:val="Otsikko3"/>
    <w:uiPriority w:val="9"/>
    <w:semiHidden/>
    <w:rsid w:val="00A973BA"/>
    <w:rPr>
      <w:rFonts w:ascii="Arial" w:eastAsia="Times New Roman" w:hAnsi="Arial" w:cs="Arial"/>
      <w:b/>
      <w:sz w:val="20"/>
      <w:szCs w:val="28"/>
    </w:rPr>
  </w:style>
  <w:style w:type="paragraph" w:styleId="Luettelo">
    <w:name w:val="List"/>
    <w:basedOn w:val="Leipteksti"/>
    <w:uiPriority w:val="99"/>
    <w:qFormat/>
    <w:rsid w:val="00B3300B"/>
    <w:pPr>
      <w:numPr>
        <w:numId w:val="1"/>
      </w:numPr>
      <w:ind w:left="1588" w:hanging="284"/>
      <w:contextualSpacing/>
    </w:pPr>
  </w:style>
  <w:style w:type="character" w:styleId="Hyperlinkki">
    <w:name w:val="Hyperlink"/>
    <w:basedOn w:val="Kappaleenoletusfontti"/>
    <w:uiPriority w:val="99"/>
    <w:unhideWhenUsed/>
    <w:rsid w:val="001673D1"/>
    <w:rPr>
      <w:color w:val="0000FF"/>
      <w:u w:val="single"/>
    </w:rPr>
  </w:style>
  <w:style w:type="paragraph" w:styleId="Vaintekstin">
    <w:name w:val="Plain Text"/>
    <w:basedOn w:val="Normaali"/>
    <w:link w:val="VaintekstinChar"/>
    <w:uiPriority w:val="99"/>
    <w:semiHidden/>
    <w:rsid w:val="00C11DA4"/>
    <w:pPr>
      <w:tabs>
        <w:tab w:val="clear" w:pos="1304"/>
        <w:tab w:val="clear" w:pos="2608"/>
        <w:tab w:val="clear" w:pos="3912"/>
      </w:tabs>
      <w:spacing w:line="240" w:lineRule="auto"/>
    </w:pPr>
    <w:rPr>
      <w:rFonts w:ascii="Consolas" w:eastAsiaTheme="minorHAnsi" w:hAnsi="Consolas" w:cstheme="minorHAnsi"/>
      <w:sz w:val="21"/>
      <w:szCs w:val="21"/>
    </w:rPr>
  </w:style>
  <w:style w:type="character" w:customStyle="1" w:styleId="VaintekstinChar">
    <w:name w:val="Vain tekstinä Char"/>
    <w:basedOn w:val="Kappaleenoletusfontti"/>
    <w:link w:val="Vaintekstin"/>
    <w:uiPriority w:val="99"/>
    <w:semiHidden/>
    <w:rsid w:val="00C11DA4"/>
    <w:rPr>
      <w:rFonts w:ascii="Consolas" w:eastAsiaTheme="minorHAnsi" w:hAnsi="Consolas" w:cstheme="minorHAnsi"/>
      <w:sz w:val="21"/>
      <w:szCs w:val="21"/>
      <w:lang w:eastAsia="en-US"/>
    </w:rPr>
  </w:style>
  <w:style w:type="paragraph" w:customStyle="1" w:styleId="Default">
    <w:name w:val="Default"/>
    <w:rsid w:val="00C11DA4"/>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AVIjaELYNormaaliSisentmtn">
    <w:name w:val="AVI ja ELY_Normaali_Sisentämätön"/>
    <w:qFormat/>
    <w:rsid w:val="00C11DA4"/>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7560\Desktop\UudTE_uudet%20lomakkeet%202013\KIRJE_FI_V_A4_RGB.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KIRJE_FI_V_A4_RGB.dotx</Template>
  <TotalTime>0</TotalTime>
  <Pages>2</Pages>
  <Words>445</Words>
  <Characters>3610</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2018-05-21T08:19:00Z</dcterms:created>
  <dcterms:modified xsi:type="dcterms:W3CDTF">2018-05-21T08:21:00Z</dcterms:modified>
</cp:coreProperties>
</file>