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5D940" w14:textId="77777777" w:rsidR="00DE3D29" w:rsidRPr="00991498" w:rsidRDefault="00DE3D29"/>
    <w:p w14:paraId="075C2426" w14:textId="77777777" w:rsidR="00DE3D29" w:rsidRPr="008B02CA" w:rsidRDefault="00DE3D29" w:rsidP="00DE3D29">
      <w:pPr>
        <w:rPr>
          <w:b/>
        </w:rPr>
      </w:pPr>
      <w:r w:rsidRPr="008B02CA">
        <w:rPr>
          <w:b/>
        </w:rPr>
        <w:t>Tekijänoikeuskirjetyöryhmä 1.6.2017 – 31.12.2017</w:t>
      </w:r>
    </w:p>
    <w:p w14:paraId="74E38C9C" w14:textId="77777777" w:rsidR="00DE3D29" w:rsidRPr="008B02CA" w:rsidRDefault="00561B3B" w:rsidP="00DE3D29">
      <w:pPr>
        <w:rPr>
          <w:b/>
        </w:rPr>
      </w:pPr>
      <w:r w:rsidRPr="008B02CA">
        <w:rPr>
          <w:b/>
        </w:rPr>
        <w:t>Neljäs</w:t>
      </w:r>
      <w:r w:rsidR="001119E7" w:rsidRPr="008B02CA">
        <w:rPr>
          <w:b/>
        </w:rPr>
        <w:t xml:space="preserve"> kokous, ti 19</w:t>
      </w:r>
      <w:r w:rsidR="00996EF3" w:rsidRPr="008B02CA">
        <w:rPr>
          <w:b/>
        </w:rPr>
        <w:t>.9</w:t>
      </w:r>
      <w:r w:rsidR="00DE3D29" w:rsidRPr="008B02CA">
        <w:rPr>
          <w:b/>
        </w:rPr>
        <w:t xml:space="preserve"> klo 13-15, Kalevala, Meritullinkatu 10</w:t>
      </w:r>
    </w:p>
    <w:p w14:paraId="58962F76" w14:textId="77777777" w:rsidR="00FF38F8" w:rsidRPr="008B02CA" w:rsidRDefault="00FF38F8" w:rsidP="00DE3D29">
      <w:pPr>
        <w:rPr>
          <w:b/>
        </w:rPr>
      </w:pPr>
    </w:p>
    <w:p w14:paraId="14A7A633" w14:textId="77777777" w:rsidR="00DE3D29" w:rsidRPr="008B02CA" w:rsidRDefault="00FF38F8" w:rsidP="00DE3D29">
      <w:r w:rsidRPr="008B02CA">
        <w:t xml:space="preserve">Läsnä: Jaana Pihkala, Tero Koistinen, Kaija Kärkinen, Tiina Tirkkonen, Jussi Mäkinen, Tommi </w:t>
      </w:r>
      <w:proofErr w:type="spellStart"/>
      <w:r w:rsidRPr="008B02CA">
        <w:t>Haaja</w:t>
      </w:r>
      <w:proofErr w:type="spellEnd"/>
      <w:r w:rsidRPr="008B02CA">
        <w:t xml:space="preserve">, Joni </w:t>
      </w:r>
      <w:proofErr w:type="spellStart"/>
      <w:r w:rsidRPr="008B02CA">
        <w:t>Hatanmaa</w:t>
      </w:r>
      <w:proofErr w:type="spellEnd"/>
      <w:r w:rsidRPr="008B02CA">
        <w:t>, Ahto Apajalahti, Hertta Hartikainen</w:t>
      </w:r>
    </w:p>
    <w:p w14:paraId="7E9FAE51" w14:textId="77777777" w:rsidR="006B6CA9" w:rsidRPr="008B02CA" w:rsidRDefault="00DE3D29" w:rsidP="00A86917">
      <w:pPr>
        <w:pStyle w:val="Luettelokappale"/>
        <w:numPr>
          <w:ilvl w:val="0"/>
          <w:numId w:val="1"/>
        </w:numPr>
        <w:rPr>
          <w:b/>
        </w:rPr>
      </w:pPr>
      <w:r w:rsidRPr="008B02CA">
        <w:rPr>
          <w:b/>
        </w:rPr>
        <w:t>Ajankohtaista</w:t>
      </w:r>
    </w:p>
    <w:p w14:paraId="7D2893B2" w14:textId="2615C0D2" w:rsidR="0000370D" w:rsidRDefault="006B6CA9" w:rsidP="00BB2B91">
      <w:r w:rsidRPr="008B02CA">
        <w:t>Työryhmä kävi lyhyen keskustelun liittyen uusimpaan markkinaoikeuden tuomioon</w:t>
      </w:r>
      <w:r w:rsidR="00A86917" w:rsidRPr="008B02CA">
        <w:t xml:space="preserve"> liittyen</w:t>
      </w:r>
      <w:r w:rsidRPr="008B02CA">
        <w:t>, jossa kanteen hävinnee</w:t>
      </w:r>
      <w:r w:rsidR="00A86917" w:rsidRPr="008B02CA">
        <w:t xml:space="preserve">lle määrättiin maksettavaksi </w:t>
      </w:r>
      <w:r w:rsidR="001D19B7" w:rsidRPr="008B02CA">
        <w:t>3</w:t>
      </w:r>
      <w:r w:rsidR="001D19B7">
        <w:t>3</w:t>
      </w:r>
      <w:r w:rsidR="001D19B7" w:rsidRPr="008B02CA">
        <w:t xml:space="preserve"> </w:t>
      </w:r>
      <w:r w:rsidRPr="008B02CA">
        <w:t>000 euron oikeudenkäyntikulut. Hedman Partners</w:t>
      </w:r>
      <w:r w:rsidR="008E0CB4" w:rsidRPr="008B02CA">
        <w:t xml:space="preserve"> esitteli tapauksen</w:t>
      </w:r>
      <w:r w:rsidRPr="008B02CA">
        <w:t xml:space="preserve"> ja </w:t>
      </w:r>
      <w:r w:rsidR="00FE1CCF">
        <w:t>selvitti työryhmälle mistä oikeudenkäynnin suuret kulut aiheutuivat.</w:t>
      </w:r>
      <w:r w:rsidRPr="008B02CA">
        <w:t xml:space="preserve"> </w:t>
      </w:r>
      <w:r w:rsidR="00FE1CCF">
        <w:t xml:space="preserve">Yksityishenkilölle koituvat oikeudenkäyntikulut </w:t>
      </w:r>
      <w:r w:rsidRPr="008B02CA">
        <w:t>ovat hyvin</w:t>
      </w:r>
      <w:r w:rsidR="00760DDA" w:rsidRPr="008B02CA">
        <w:t xml:space="preserve"> </w:t>
      </w:r>
      <w:r w:rsidR="00F63919" w:rsidRPr="008B02CA">
        <w:t xml:space="preserve">valitettavia mutta </w:t>
      </w:r>
      <w:r w:rsidR="0096501B">
        <w:t xml:space="preserve">tapauksen selvittämisen kannalta </w:t>
      </w:r>
      <w:r w:rsidR="00FE1CCF">
        <w:t xml:space="preserve">kaikki oikeudenkäynnissä tehdyt toimenpiteet olivat </w:t>
      </w:r>
      <w:r w:rsidR="00F63919" w:rsidRPr="008B02CA">
        <w:t>tarpeellisia</w:t>
      </w:r>
      <w:r w:rsidRPr="008B02CA">
        <w:t xml:space="preserve">. </w:t>
      </w:r>
      <w:r w:rsidR="004D2DE5" w:rsidRPr="008B02CA">
        <w:t xml:space="preserve">Pysyvä asiantuntija </w:t>
      </w:r>
      <w:r w:rsidRPr="008B02CA">
        <w:t xml:space="preserve">KKV tiedusteli oliko vastaajalla ollut avustajaa ja </w:t>
      </w:r>
      <w:r w:rsidR="001D19B7">
        <w:t xml:space="preserve">siten </w:t>
      </w:r>
      <w:r w:rsidRPr="008B02CA">
        <w:t xml:space="preserve">ollut kykyä mm. paljoksua korvausten määrää. </w:t>
      </w:r>
      <w:r w:rsidR="0096501B">
        <w:t>Joni Hata</w:t>
      </w:r>
      <w:r w:rsidR="00FE1CCF">
        <w:t>n</w:t>
      </w:r>
      <w:r w:rsidR="0096501B">
        <w:t xml:space="preserve">maa kertoi, että </w:t>
      </w:r>
      <w:r w:rsidR="00FE1CCF">
        <w:t xml:space="preserve">vastaajalla oli </w:t>
      </w:r>
      <w:r w:rsidR="00536BA6">
        <w:t xml:space="preserve">ollut </w:t>
      </w:r>
      <w:r w:rsidR="00FE1CCF">
        <w:t>hyvin tekijänoikeusriitoja tunteva avustaja, joka oli edustanut vastaajaa myös aiemmin vastaajan kannalle kääntyneessä markkinaoikeuden ratkaisussa MAO:55/17</w:t>
      </w:r>
      <w:r w:rsidR="001D19B7">
        <w:t xml:space="preserve"> ja tuoreessakin tapauksessa teki täsmällisiä huomautuksia kantajan toimenpiteistä</w:t>
      </w:r>
      <w:r w:rsidR="00FE1CCF">
        <w:t>.</w:t>
      </w:r>
      <w:r w:rsidR="005F2978">
        <w:t xml:space="preserve"> T</w:t>
      </w:r>
      <w:r w:rsidRPr="008B02CA">
        <w:t>austalla oli tapaus, j</w:t>
      </w:r>
      <w:r w:rsidR="00A86917" w:rsidRPr="008B02CA">
        <w:t>ota koskev</w:t>
      </w:r>
      <w:r w:rsidRPr="008B02CA">
        <w:t xml:space="preserve">aan sovittelupyyntöön vastaaja </w:t>
      </w:r>
      <w:r w:rsidRPr="007A32DE">
        <w:t>ei ollut vastannut</w:t>
      </w:r>
      <w:r w:rsidR="007A32DE">
        <w:t xml:space="preserve"> lainkaan</w:t>
      </w:r>
      <w:r w:rsidRPr="008B02CA">
        <w:t xml:space="preserve">, vaan </w:t>
      </w:r>
      <w:r w:rsidR="00A86917" w:rsidRPr="008B02CA">
        <w:t>oli esittänyt oikeudessa erilaisia</w:t>
      </w:r>
      <w:r w:rsidRPr="008B02CA">
        <w:t xml:space="preserve"> väitteitä</w:t>
      </w:r>
      <w:r w:rsidR="005F2978">
        <w:t xml:space="preserve">, joiden selvittäminen </w:t>
      </w:r>
      <w:r w:rsidR="0000370D">
        <w:t>johti kulujen ka</w:t>
      </w:r>
      <w:r w:rsidR="001D19B7">
        <w:t>s</w:t>
      </w:r>
      <w:r w:rsidR="0000370D">
        <w:t>vuun</w:t>
      </w:r>
      <w:r w:rsidRPr="008B02CA">
        <w:t xml:space="preserve">. </w:t>
      </w:r>
    </w:p>
    <w:p w14:paraId="4EEF57AE" w14:textId="65F16425" w:rsidR="006D2EDC" w:rsidRPr="008B02CA" w:rsidRDefault="0000370D" w:rsidP="00BB2B91">
      <w:r>
        <w:t>Yleisellä tasolla kirjeen saajille</w:t>
      </w:r>
      <w:r w:rsidRPr="008B02CA">
        <w:t xml:space="preserve"> </w:t>
      </w:r>
      <w:r w:rsidR="006B6CA9" w:rsidRPr="008B02CA">
        <w:t>saatta</w:t>
      </w:r>
      <w:r>
        <w:t>a</w:t>
      </w:r>
      <w:r w:rsidR="006B6CA9" w:rsidRPr="008B02CA">
        <w:t xml:space="preserve"> tulla yllätyksenä siviili- ja rikosprosessin e</w:t>
      </w:r>
      <w:r w:rsidR="006D2EDC" w:rsidRPr="008B02CA">
        <w:t xml:space="preserve">rot. </w:t>
      </w:r>
      <w:r w:rsidR="00A86917" w:rsidRPr="008B02CA">
        <w:t>Rikosasiassa</w:t>
      </w:r>
      <w:r w:rsidR="006D2EDC" w:rsidRPr="008B02CA">
        <w:t xml:space="preserve"> syytetyn ei tarvitse pysyä totuudessa</w:t>
      </w:r>
      <w:r>
        <w:t>,</w:t>
      </w:r>
      <w:r w:rsidR="006D2EDC" w:rsidRPr="008B02CA">
        <w:t xml:space="preserve"> mutta siviiliprosessissa </w:t>
      </w:r>
      <w:r>
        <w:t xml:space="preserve">täytyy ja </w:t>
      </w:r>
      <w:r w:rsidR="006D2EDC" w:rsidRPr="008B02CA">
        <w:t xml:space="preserve">vastaajan </w:t>
      </w:r>
      <w:r>
        <w:t xml:space="preserve">paikkansa pitämättömien </w:t>
      </w:r>
      <w:r w:rsidR="006D2EDC" w:rsidRPr="008B02CA">
        <w:t>vasta</w:t>
      </w:r>
      <w:r w:rsidR="00A86917" w:rsidRPr="008B02CA">
        <w:t>väitteiden kumoamisesta saattaa aiheutua</w:t>
      </w:r>
      <w:r w:rsidR="006D2EDC" w:rsidRPr="008B02CA">
        <w:t xml:space="preserve"> paljon lisäkustannuksia. </w:t>
      </w:r>
    </w:p>
    <w:p w14:paraId="4F038A99" w14:textId="6F7F1E4C" w:rsidR="006D2EDC" w:rsidRPr="008B02CA" w:rsidRDefault="006778BA" w:rsidP="00BB2B91">
      <w:r w:rsidRPr="008B02CA">
        <w:t xml:space="preserve">Kirjeitä </w:t>
      </w:r>
      <w:r w:rsidR="0096501B">
        <w:t xml:space="preserve">lähettäviä </w:t>
      </w:r>
      <w:r w:rsidRPr="008B02CA">
        <w:t>edusta</w:t>
      </w:r>
      <w:r w:rsidR="004D2DE5" w:rsidRPr="008B02CA">
        <w:t>va taho</w:t>
      </w:r>
      <w:r w:rsidR="006D2EDC" w:rsidRPr="008B02CA">
        <w:t xml:space="preserve"> korosti, että kun</w:t>
      </w:r>
      <w:r w:rsidR="00B12394">
        <w:t xml:space="preserve"> </w:t>
      </w:r>
      <w:r w:rsidR="0088186B">
        <w:t xml:space="preserve">sovitteluun tähtäävässä </w:t>
      </w:r>
      <w:r w:rsidR="00B12394">
        <w:t>kirjeprosessista ollutta</w:t>
      </w:r>
      <w:r w:rsidR="008E0CB4" w:rsidRPr="008B02CA">
        <w:t xml:space="preserve"> tapausta </w:t>
      </w:r>
      <w:r w:rsidR="006D2EDC" w:rsidRPr="008B02CA">
        <w:t xml:space="preserve">lähdetään selvittämään kanteita koskevalla </w:t>
      </w:r>
      <w:r w:rsidR="008E0CB4" w:rsidRPr="008B02CA">
        <w:t>täysmittaisella prosessilla</w:t>
      </w:r>
      <w:r w:rsidR="00A86917" w:rsidRPr="008B02CA">
        <w:t>,</w:t>
      </w:r>
      <w:r w:rsidR="004D2DE5" w:rsidRPr="008B02CA">
        <w:t xml:space="preserve"> ovat</w:t>
      </w:r>
      <w:r w:rsidR="006D2EDC" w:rsidRPr="008B02CA">
        <w:t xml:space="preserve"> </w:t>
      </w:r>
      <w:r w:rsidR="001E1B31" w:rsidRPr="008B02CA">
        <w:t xml:space="preserve">syntyvät </w:t>
      </w:r>
      <w:r w:rsidR="006D2EDC" w:rsidRPr="008B02CA">
        <w:t>oikeudenkäynti</w:t>
      </w:r>
      <w:r w:rsidR="004D2DE5" w:rsidRPr="008B02CA">
        <w:t>kulut</w:t>
      </w:r>
      <w:r w:rsidR="001E1B31" w:rsidRPr="008B02CA">
        <w:t xml:space="preserve"> usein</w:t>
      </w:r>
      <w:r w:rsidR="004D2DE5" w:rsidRPr="008B02CA">
        <w:t xml:space="preserve"> erittäin suuret</w:t>
      </w:r>
      <w:r w:rsidR="006D2EDC" w:rsidRPr="008B02CA">
        <w:t>.</w:t>
      </w:r>
    </w:p>
    <w:p w14:paraId="55E8E7FF" w14:textId="0AD4E65E" w:rsidR="00FF38F8" w:rsidRPr="008B02CA" w:rsidRDefault="004D2DE5" w:rsidP="00BB2B91">
      <w:r w:rsidRPr="008B02CA">
        <w:t>Kirjeiden vastaanottajia edustava taho totesi</w:t>
      </w:r>
      <w:r w:rsidR="006D2EDC" w:rsidRPr="008B02CA">
        <w:t xml:space="preserve">, että vain </w:t>
      </w:r>
      <w:r w:rsidR="00760DDA" w:rsidRPr="008B02CA">
        <w:t xml:space="preserve">harvalla </w:t>
      </w:r>
      <w:r w:rsidR="006D2EDC" w:rsidRPr="008B02CA">
        <w:t xml:space="preserve">oikeudenhaltijalla on </w:t>
      </w:r>
      <w:r w:rsidR="00760DDA" w:rsidRPr="008B02CA">
        <w:t>mahdollisuus ajaa</w:t>
      </w:r>
      <w:r w:rsidR="006D2EDC" w:rsidRPr="008B02CA">
        <w:t xml:space="preserve"> kanteita.</w:t>
      </w:r>
      <w:r w:rsidRPr="008B02CA">
        <w:t xml:space="preserve"> </w:t>
      </w:r>
      <w:r w:rsidR="004951B1">
        <w:t>On hyvä, että o</w:t>
      </w:r>
      <w:r w:rsidRPr="008B02CA">
        <w:t>ikeusministeriö</w:t>
      </w:r>
      <w:r w:rsidR="004951B1">
        <w:t xml:space="preserve">lle on esitetty uuden </w:t>
      </w:r>
      <w:r w:rsidR="00B12394" w:rsidRPr="00B12394">
        <w:t>työryhmä</w:t>
      </w:r>
      <w:r w:rsidR="004951B1">
        <w:t>n asettamista</w:t>
      </w:r>
      <w:r w:rsidR="00B12394" w:rsidRPr="00B12394">
        <w:t xml:space="preserve"> selvittä</w:t>
      </w:r>
      <w:r w:rsidR="004951B1">
        <w:t>mään</w:t>
      </w:r>
      <w:r w:rsidR="00B12394">
        <w:t xml:space="preserve"> </w:t>
      </w:r>
      <w:r w:rsidR="00B12394" w:rsidRPr="00B12394">
        <w:t>yleisesti oikeudenkäyntikulujen oikeudenmukaisuutta</w:t>
      </w:r>
      <w:r w:rsidR="006D2EDC" w:rsidRPr="008B02CA">
        <w:t>.</w:t>
      </w:r>
      <w:r w:rsidR="00760DDA" w:rsidRPr="008B02CA">
        <w:t xml:space="preserve"> </w:t>
      </w:r>
      <w:r w:rsidRPr="008B02CA">
        <w:t xml:space="preserve">Kirjeitä lähettävä taho </w:t>
      </w:r>
      <w:r w:rsidR="004951B1">
        <w:t xml:space="preserve">totesi, </w:t>
      </w:r>
      <w:r w:rsidR="006D2EDC" w:rsidRPr="008B02CA">
        <w:t>että</w:t>
      </w:r>
      <w:r w:rsidR="00FF38F8" w:rsidRPr="008B02CA">
        <w:t xml:space="preserve"> epäselvää asiaa ei</w:t>
      </w:r>
      <w:r w:rsidRPr="008B02CA">
        <w:t xml:space="preserve"> oikeudenhaltija</w:t>
      </w:r>
      <w:r w:rsidR="00FF38F8" w:rsidRPr="008B02CA">
        <w:t xml:space="preserve"> lähde </w:t>
      </w:r>
      <w:r w:rsidRPr="008B02CA">
        <w:t xml:space="preserve">koskaan </w:t>
      </w:r>
      <w:r w:rsidR="00FF38F8" w:rsidRPr="008B02CA">
        <w:t>ajamaan,</w:t>
      </w:r>
      <w:r w:rsidRPr="008B02CA">
        <w:t xml:space="preserve"> ja sen vuoksi</w:t>
      </w:r>
      <w:r w:rsidR="00FF38F8" w:rsidRPr="008B02CA">
        <w:t xml:space="preserve"> syytön ei joudu </w:t>
      </w:r>
      <w:r w:rsidRPr="008B02CA">
        <w:t xml:space="preserve">koskaan maksamaan. Huomioitava on myös, että </w:t>
      </w:r>
      <w:r w:rsidR="00FF38F8" w:rsidRPr="008B02CA">
        <w:t>oikeudenhaltijat joutuvat itse tutkimaan ja keräämään</w:t>
      </w:r>
      <w:r w:rsidR="006D2EDC" w:rsidRPr="008B02CA">
        <w:t xml:space="preserve"> paljon todisteita ennen tätä.</w:t>
      </w:r>
    </w:p>
    <w:p w14:paraId="6319085D" w14:textId="77777777" w:rsidR="00DE3D29" w:rsidRPr="008B02CA" w:rsidRDefault="00DE3D29" w:rsidP="00DE3D29">
      <w:pPr>
        <w:pStyle w:val="Luettelokappale"/>
      </w:pPr>
    </w:p>
    <w:p w14:paraId="5262B2BF" w14:textId="77777777" w:rsidR="00DE3D29" w:rsidRPr="008B02CA" w:rsidRDefault="00996EF3" w:rsidP="00DE3D29">
      <w:pPr>
        <w:pStyle w:val="Luettelokappale"/>
        <w:numPr>
          <w:ilvl w:val="0"/>
          <w:numId w:val="1"/>
        </w:numPr>
        <w:rPr>
          <w:b/>
        </w:rPr>
      </w:pPr>
      <w:r w:rsidRPr="008B02CA">
        <w:rPr>
          <w:b/>
        </w:rPr>
        <w:t>Hyvät käytännöt I</w:t>
      </w:r>
      <w:r w:rsidR="001119E7" w:rsidRPr="008B02CA">
        <w:rPr>
          <w:b/>
        </w:rPr>
        <w:t>I</w:t>
      </w:r>
      <w:r w:rsidRPr="008B02CA">
        <w:rPr>
          <w:b/>
        </w:rPr>
        <w:t xml:space="preserve"> – esittely ja alustava keskustelu</w:t>
      </w:r>
    </w:p>
    <w:p w14:paraId="2F7036DC" w14:textId="77777777" w:rsidR="003E62E4" w:rsidRPr="008B02CA" w:rsidRDefault="00897BC4" w:rsidP="006778BA">
      <w:r w:rsidRPr="008B02CA">
        <w:t xml:space="preserve">Jussi Mäkinen </w:t>
      </w:r>
      <w:proofErr w:type="spellStart"/>
      <w:r w:rsidRPr="008B02CA">
        <w:t>Ficom</w:t>
      </w:r>
      <w:proofErr w:type="spellEnd"/>
      <w:r w:rsidRPr="008B02CA">
        <w:t xml:space="preserve"> ry:stä pohjusti keskustelun ja kuultaville esitetyt kysymykset liittyen Hyvät käytännöt II-pakettiin. </w:t>
      </w:r>
      <w:r w:rsidR="003E62E4" w:rsidRPr="008B02CA">
        <w:t xml:space="preserve">Luettelo on tehty DNA:n aiemman esityksen perusteella. </w:t>
      </w:r>
    </w:p>
    <w:p w14:paraId="7EF557DB" w14:textId="13512579" w:rsidR="001324E0" w:rsidRPr="008B02CA" w:rsidRDefault="006778BA" w:rsidP="006778BA">
      <w:r w:rsidRPr="008B02CA">
        <w:t>Jäsenet keskustelivat vielä kirjeessä olevista i</w:t>
      </w:r>
      <w:r w:rsidR="00CE5B4C" w:rsidRPr="008B02CA">
        <w:t>lmaisu</w:t>
      </w:r>
      <w:r w:rsidRPr="008B02CA">
        <w:t>ist</w:t>
      </w:r>
      <w:r w:rsidR="003E62E4" w:rsidRPr="008B02CA">
        <w:t>a</w:t>
      </w:r>
      <w:r w:rsidR="001324E0" w:rsidRPr="008B02CA">
        <w:t xml:space="preserve"> (Osio –I)</w:t>
      </w:r>
      <w:r w:rsidRPr="008B02CA">
        <w:t>. Niiden tul</w:t>
      </w:r>
      <w:r w:rsidR="001E1B31" w:rsidRPr="008B02CA">
        <w:t>isi</w:t>
      </w:r>
      <w:r w:rsidRPr="008B02CA">
        <w:t xml:space="preserve"> olla kirjeen saajan kannalta</w:t>
      </w:r>
      <w:r w:rsidR="00CE5B4C" w:rsidRPr="008B02CA">
        <w:t xml:space="preserve"> ymmärrettäv</w:t>
      </w:r>
      <w:r w:rsidRPr="008B02CA">
        <w:t>i</w:t>
      </w:r>
      <w:r w:rsidR="00CE5B4C" w:rsidRPr="008B02CA">
        <w:t>ä</w:t>
      </w:r>
      <w:r w:rsidRPr="008B02CA">
        <w:t xml:space="preserve">. </w:t>
      </w:r>
    </w:p>
    <w:p w14:paraId="253866C5" w14:textId="359B93BD" w:rsidR="00CE5B4C" w:rsidRPr="008B02CA" w:rsidRDefault="001324E0" w:rsidP="006778BA">
      <w:r w:rsidRPr="008B02CA">
        <w:lastRenderedPageBreak/>
        <w:t xml:space="preserve">Oikeudenhaltijoita edustava taho katsoi, että </w:t>
      </w:r>
      <w:r w:rsidR="0000370D">
        <w:t xml:space="preserve">kaikissa </w:t>
      </w:r>
      <w:r w:rsidRPr="008B02CA">
        <w:t>kirjei</w:t>
      </w:r>
      <w:r w:rsidR="0000370D">
        <w:t xml:space="preserve">ssä tulisi olla selkeä </w:t>
      </w:r>
      <w:r w:rsidRPr="008B02CA">
        <w:t>”mistä on kyse”</w:t>
      </w:r>
      <w:r w:rsidR="0000370D">
        <w:t>-osuus</w:t>
      </w:r>
      <w:r w:rsidRPr="008B02CA">
        <w:t xml:space="preserve">, ja </w:t>
      </w:r>
      <w:r w:rsidR="0000370D">
        <w:t xml:space="preserve">selostus </w:t>
      </w:r>
      <w:r w:rsidRPr="008B02CA">
        <w:t>mistä IP-osoite on saatu. Teleoperaattorit totesivat</w:t>
      </w:r>
      <w:r w:rsidR="00055A87">
        <w:t>, että kirjeissä tulisi käyttää</w:t>
      </w:r>
      <w:r w:rsidRPr="008B02CA">
        <w:t xml:space="preserve"> kansankielelle paremmin </w:t>
      </w:r>
      <w:r w:rsidR="00055A87">
        <w:t xml:space="preserve">sopivaa </w:t>
      </w:r>
      <w:r w:rsidRPr="008B02CA">
        <w:t>termi ”liittymä”,</w:t>
      </w:r>
      <w:r w:rsidR="00C933F7">
        <w:t xml:space="preserve"> </w:t>
      </w:r>
      <w:r w:rsidR="00055A87">
        <w:t xml:space="preserve">eikä </w:t>
      </w:r>
      <w:r w:rsidR="0000370D">
        <w:t xml:space="preserve">yksin </w:t>
      </w:r>
      <w:r w:rsidR="00055A87">
        <w:t>termiä</w:t>
      </w:r>
      <w:r w:rsidRPr="008B02CA">
        <w:t xml:space="preserve"> </w:t>
      </w:r>
      <w:r w:rsidR="00055A87">
        <w:t>”</w:t>
      </w:r>
      <w:proofErr w:type="spellStart"/>
      <w:r w:rsidRPr="008B02CA">
        <w:t>IP-osoite</w:t>
      </w:r>
      <w:proofErr w:type="spellEnd"/>
      <w:r w:rsidR="00055A87">
        <w:t>”</w:t>
      </w:r>
      <w:r w:rsidRPr="008B02CA">
        <w:t xml:space="preserve">, joka voi olla dynaaminen ja siten eri kuin mikä samalla käyttäjällä esim. </w:t>
      </w:r>
      <w:r w:rsidR="0096501B">
        <w:t>kirjeen vastaanottamisen hetkellä.</w:t>
      </w:r>
      <w:r w:rsidR="00055A87">
        <w:t xml:space="preserve"> </w:t>
      </w:r>
      <w:r w:rsidR="0096501B">
        <w:t>-</w:t>
      </w:r>
      <w:r w:rsidR="0096501B" w:rsidRPr="0096501B">
        <w:t xml:space="preserve"> </w:t>
      </w:r>
      <w:r w:rsidR="0096501B" w:rsidRPr="008B02CA">
        <w:t>Määräys yhteystietojen saamiseksi tulisi kirjeissä esittää yhdenmukaisesti ja niin selvästi kuin mahdollista</w:t>
      </w:r>
      <w:r w:rsidR="00055A87">
        <w:t>. On tärkeää</w:t>
      </w:r>
      <w:r w:rsidR="0096501B" w:rsidRPr="008B02CA">
        <w:t xml:space="preserve">, että vastaanottaja ymmärtää, mitä markkinaoikeus on määrännyt operaattorin luovuttamaan ja millä perusteella. </w:t>
      </w:r>
      <w:proofErr w:type="spellStart"/>
      <w:r w:rsidR="0096501B" w:rsidRPr="008B02CA">
        <w:t>MAO:n</w:t>
      </w:r>
      <w:proofErr w:type="spellEnd"/>
      <w:r w:rsidR="0096501B" w:rsidRPr="008B02CA">
        <w:t xml:space="preserve"> tuomion numero tulisi olla näkyvissä kaikissa kirjeissä ja kokonaisuudessaan saatavilla hakijan tai oikeudenhaltijan verkkosivuilla mutta ei koskaan operaattorin sivulla. Vaihtoehtoisesti sen tulisi liittää kirjeeseen mukaan.</w:t>
      </w:r>
    </w:p>
    <w:p w14:paraId="7FCB50EE" w14:textId="77777777" w:rsidR="00DE3D29" w:rsidRPr="008B02CA" w:rsidRDefault="00DE3D29" w:rsidP="00DE3D29">
      <w:pPr>
        <w:pStyle w:val="Luettelokappale"/>
      </w:pPr>
    </w:p>
    <w:p w14:paraId="35ECB199" w14:textId="77777777" w:rsidR="00DE3D29" w:rsidRPr="008B02CA" w:rsidRDefault="00996EF3" w:rsidP="00DE3D29">
      <w:pPr>
        <w:pStyle w:val="Luettelokappale"/>
        <w:numPr>
          <w:ilvl w:val="0"/>
          <w:numId w:val="1"/>
        </w:numPr>
        <w:rPr>
          <w:b/>
        </w:rPr>
      </w:pPr>
      <w:r w:rsidRPr="008B02CA">
        <w:rPr>
          <w:b/>
        </w:rPr>
        <w:t>Kuuleminen</w:t>
      </w:r>
    </w:p>
    <w:p w14:paraId="54660D3A" w14:textId="77777777" w:rsidR="006778BA" w:rsidRPr="008B02CA" w:rsidRDefault="006778BA" w:rsidP="006778BA">
      <w:r w:rsidRPr="008B02CA">
        <w:t xml:space="preserve">Kuultavaksi oli kutsuttu Inka Näkkäläjärvi Elisalta, Marko Vuorinen Finnet-liitosta ja Mika Enäjärvi Telialta.  </w:t>
      </w:r>
    </w:p>
    <w:p w14:paraId="6A165152" w14:textId="39FBD905" w:rsidR="00BF7D61" w:rsidRPr="008B02CA" w:rsidRDefault="00BF7D61" w:rsidP="00BF7D61">
      <w:pPr>
        <w:rPr>
          <w:b/>
        </w:rPr>
      </w:pPr>
      <w:r w:rsidRPr="00991498">
        <w:rPr>
          <w:b/>
        </w:rPr>
        <w:t>Menettelytavat: haun käytännöt</w:t>
      </w:r>
      <w:r w:rsidR="00A92588" w:rsidRPr="008B02CA">
        <w:rPr>
          <w:b/>
        </w:rPr>
        <w:t>,</w:t>
      </w:r>
      <w:r w:rsidRPr="008B02CA">
        <w:rPr>
          <w:b/>
        </w:rPr>
        <w:t xml:space="preserve"> ajallinen ulottuvuus</w:t>
      </w:r>
    </w:p>
    <w:p w14:paraId="753A9C2A" w14:textId="6CB5C41E" w:rsidR="000516C5" w:rsidRPr="008B02CA" w:rsidRDefault="000516C5" w:rsidP="000516C5">
      <w:r w:rsidRPr="00991498">
        <w:t>Menettelytapojen</w:t>
      </w:r>
      <w:r w:rsidRPr="008B02CA">
        <w:t xml:space="preserve"> kehittämisestä käydyssä keskustelussa </w:t>
      </w:r>
      <w:r w:rsidR="00B96CF0">
        <w:t>esitettiin keskustelun pohjaksi</w:t>
      </w:r>
      <w:r w:rsidRPr="008B02CA">
        <w:t xml:space="preserve">, että </w:t>
      </w:r>
      <w:r w:rsidR="00066CD3" w:rsidRPr="008B02CA">
        <w:t>loukkaus</w:t>
      </w:r>
      <w:r w:rsidR="00BF7D61" w:rsidRPr="008B02CA">
        <w:t xml:space="preserve">ajankohtaa koskevat </w:t>
      </w:r>
      <w:r w:rsidRPr="008B02CA">
        <w:t>ajat tulisi lähtökohtaisesti esittää hakemuksissa Suomen ajassa. Osa operaattoreista toivoi saavansa myös UTC-ajan oikeellisuuden varmistamiseksi. Operaattorit korostivat, että joissakin hakemuksissa käytettyä ilmaisua ’</w:t>
      </w:r>
      <w:proofErr w:type="spellStart"/>
      <w:r w:rsidRPr="008B02CA">
        <w:t>local</w:t>
      </w:r>
      <w:proofErr w:type="spellEnd"/>
      <w:r w:rsidRPr="008B02CA">
        <w:t xml:space="preserve"> </w:t>
      </w:r>
      <w:proofErr w:type="spellStart"/>
      <w:r w:rsidRPr="008B02CA">
        <w:t>time</w:t>
      </w:r>
      <w:proofErr w:type="spellEnd"/>
      <w:r w:rsidRPr="008B02CA">
        <w:t xml:space="preserve">’ ei tule käyttää ilmaisun monitulkintaisuuden ja siitä seuraavien oikeusturvariskien vuoksi. </w:t>
      </w:r>
    </w:p>
    <w:p w14:paraId="3D0BC7E0" w14:textId="77777777" w:rsidR="00055A87" w:rsidRPr="008B02CA" w:rsidRDefault="00055A87" w:rsidP="00055A87">
      <w:r w:rsidRPr="008B02CA">
        <w:t xml:space="preserve">Kuullut operaattorit korostivat, että hakemuksissa tulisi hakea vain sellaista määrää yhteystietoja, joiden käsittely voi tapahtua kohtuullisen lyhyessä ajassa. </w:t>
      </w:r>
    </w:p>
    <w:p w14:paraId="6485EE3E" w14:textId="7D8237CE" w:rsidR="00A92588" w:rsidRPr="008B02CA" w:rsidRDefault="00055A87" w:rsidP="000516C5">
      <w:pPr>
        <w:rPr>
          <w:b/>
        </w:rPr>
      </w:pPr>
      <w:r>
        <w:rPr>
          <w:b/>
        </w:rPr>
        <w:t>T</w:t>
      </w:r>
      <w:r w:rsidR="00A92588" w:rsidRPr="008B02CA">
        <w:rPr>
          <w:b/>
        </w:rPr>
        <w:t>ietopyyn</w:t>
      </w:r>
      <w:r w:rsidR="00066CD3" w:rsidRPr="008B02CA">
        <w:rPr>
          <w:b/>
        </w:rPr>
        <w:t>n</w:t>
      </w:r>
      <w:r w:rsidR="00A92588" w:rsidRPr="008B02CA">
        <w:rPr>
          <w:b/>
        </w:rPr>
        <w:t xml:space="preserve">ön ja luovutuksen yhtenäisyys </w:t>
      </w:r>
    </w:p>
    <w:p w14:paraId="32D98772" w14:textId="3CA6A04B" w:rsidR="009E0CFF" w:rsidRDefault="000516C5" w:rsidP="000516C5">
      <w:r w:rsidRPr="008B02CA">
        <w:t>Keskeisenä havaintona operaattorit korostivat sitä, että hakemusten ja tuomiota seuraavien tietopyyntölistojen tulee olla</w:t>
      </w:r>
      <w:r w:rsidR="00066CD3" w:rsidRPr="008B02CA">
        <w:t xml:space="preserve"> </w:t>
      </w:r>
      <w:r w:rsidRPr="008B02CA">
        <w:t xml:space="preserve">yhtenäiset. Tämä helpottaa kaikkien asiaan osallisten työtä ja erityisesti sitä, että tietopyynnön tarkistamista tietojen luovutusmääräystä vasten. </w:t>
      </w:r>
    </w:p>
    <w:p w14:paraId="1DEB15F9" w14:textId="1155B9CF" w:rsidR="000516C5" w:rsidRPr="008B02CA" w:rsidRDefault="000516C5" w:rsidP="000516C5">
      <w:r w:rsidRPr="008B02CA">
        <w:t xml:space="preserve">Lisäksi yksi operaattori toi esiin sen, että riittävän yksityiskohtaisten tietojen, kuten tiedon jakamisessa käytetystä tietoliikenneportista voi olla tarpeellinen tieto kirjeen saajalle sen asianmukaisuudesta varmistumiseksi.  </w:t>
      </w:r>
    </w:p>
    <w:p w14:paraId="12B0F714" w14:textId="77777777" w:rsidR="00981DCF" w:rsidRPr="008B02CA" w:rsidRDefault="00981DCF" w:rsidP="00213E6B">
      <w:pPr>
        <w:rPr>
          <w:b/>
        </w:rPr>
      </w:pPr>
      <w:r w:rsidRPr="008B02CA">
        <w:rPr>
          <w:b/>
        </w:rPr>
        <w:t>Luovutettavat tiedot</w:t>
      </w:r>
    </w:p>
    <w:p w14:paraId="2A037982" w14:textId="595B7E4B" w:rsidR="00981DCF" w:rsidRPr="00257042" w:rsidRDefault="00981DCF" w:rsidP="00213E6B">
      <w:r w:rsidRPr="008B02CA">
        <w:t xml:space="preserve">Yleensä kirjeitä lähettävät ovat hakeneet yhteystiedot ”jotka mahdollistavat liittymän haltijan ja käyttäjän tavoittamisen”. </w:t>
      </w:r>
      <w:r w:rsidR="00C27E20" w:rsidRPr="008B02CA">
        <w:t>T</w:t>
      </w:r>
      <w:r w:rsidR="00C27E20" w:rsidRPr="00257042">
        <w:t xml:space="preserve">oisen lähettäjän hakemuksissa on ensisijassa tavoiteltu liittymän ”käyttäjää”. </w:t>
      </w:r>
      <w:r w:rsidRPr="00257042">
        <w:t>Oikeudenhalt</w:t>
      </w:r>
      <w:r w:rsidR="00C27E20" w:rsidRPr="00257042">
        <w:t>ijan edustaja ehdotti, että hyvi</w:t>
      </w:r>
      <w:r w:rsidRPr="00257042">
        <w:t>ssä käytännö</w:t>
      </w:r>
      <w:r w:rsidR="00C27E20" w:rsidRPr="00257042">
        <w:t>i</w:t>
      </w:r>
      <w:r w:rsidRPr="00257042">
        <w:t>ssä mainittaisiin, että haettaisiin ”riittävi</w:t>
      </w:r>
      <w:r w:rsidR="00C27E20" w:rsidRPr="00257042">
        <w:t>ä</w:t>
      </w:r>
      <w:r w:rsidRPr="00257042">
        <w:t xml:space="preserve"> tieto</w:t>
      </w:r>
      <w:r w:rsidR="00C27E20" w:rsidRPr="00257042">
        <w:t>ja</w:t>
      </w:r>
      <w:r w:rsidRPr="00257042">
        <w:t>”</w:t>
      </w:r>
      <w:r w:rsidR="009E0CFF">
        <w:t xml:space="preserve"> loukkauksen selvittämiseksi</w:t>
      </w:r>
      <w:r w:rsidRPr="00257042">
        <w:t xml:space="preserve">. </w:t>
      </w:r>
    </w:p>
    <w:p w14:paraId="62592F64" w14:textId="63B2372F" w:rsidR="00B546FD" w:rsidRPr="00257042" w:rsidRDefault="00B546FD" w:rsidP="00213E6B">
      <w:r w:rsidRPr="00257042">
        <w:t>Laissa todetaan, että luovutettavaksi tulevat ”yhteystiedot</w:t>
      </w:r>
      <w:r w:rsidR="009E0CFF">
        <w:t>…teleliittymästä”</w:t>
      </w:r>
      <w:r w:rsidRPr="00257042">
        <w:t xml:space="preserve">. Kuultavat totesivat että useimmiten luovutetaan nimi ja postiosoite. </w:t>
      </w:r>
      <w:r w:rsidR="002A0E16">
        <w:t>Yhden kirjeitä lähettävän tahon huomion mukaan s</w:t>
      </w:r>
      <w:r w:rsidRPr="00257042">
        <w:t>ähköposti-osoite ei ole osoittautunut käyttökelpoiseksi</w:t>
      </w:r>
      <w:r w:rsidR="002A0E16">
        <w:t xml:space="preserve"> yhteystiedoksi</w:t>
      </w:r>
      <w:r w:rsidRPr="00257042">
        <w:t xml:space="preserve">. </w:t>
      </w:r>
    </w:p>
    <w:p w14:paraId="127BEDE4" w14:textId="2A69747E" w:rsidR="00F4403C" w:rsidRPr="00257042" w:rsidRDefault="00257042" w:rsidP="00213E6B">
      <w:r w:rsidRPr="00257042">
        <w:t xml:space="preserve">Keskusteluun nousi myös kysymys siitä, onko mahdollista yksilöidä </w:t>
      </w:r>
      <w:r>
        <w:t>tele</w:t>
      </w:r>
      <w:r w:rsidRPr="00257042">
        <w:t xml:space="preserve">liittymän haltijaa tarkemmin se henkilö, jonka väitetään teoksia jakaneen. Operaattoreilla </w:t>
      </w:r>
      <w:r w:rsidR="00016559">
        <w:t xml:space="preserve">on </w:t>
      </w:r>
      <w:r w:rsidRPr="00257042">
        <w:t>tieto</w:t>
      </w:r>
      <w:r w:rsidR="00016559">
        <w:t xml:space="preserve"> nk.</w:t>
      </w:r>
      <w:r w:rsidRPr="00257042">
        <w:t xml:space="preserve"> </w:t>
      </w:r>
      <w:proofErr w:type="spellStart"/>
      <w:r w:rsidRPr="00257042">
        <w:t>MAC-osoitteesta</w:t>
      </w:r>
      <w:proofErr w:type="spellEnd"/>
      <w:r w:rsidRPr="00257042">
        <w:t xml:space="preserve"> viestinnän välittämiseksi</w:t>
      </w:r>
      <w:r w:rsidR="00016559">
        <w:t xml:space="preserve"> mutta sillä </w:t>
      </w:r>
      <w:r w:rsidR="00016559" w:rsidRPr="00257042">
        <w:t>ei ole tarvetta käsitellä</w:t>
      </w:r>
      <w:r w:rsidR="00016559">
        <w:t xml:space="preserve"> sitä</w:t>
      </w:r>
      <w:r w:rsidR="00F06B22">
        <w:t>,</w:t>
      </w:r>
      <w:r w:rsidRPr="00257042">
        <w:t xml:space="preserve"> eikä tietoa näin ollen tallenneta operaattorien </w:t>
      </w:r>
      <w:r w:rsidRPr="00257042">
        <w:lastRenderedPageBreak/>
        <w:t>järjestelmiin.</w:t>
      </w:r>
      <w:r w:rsidR="00991498" w:rsidRPr="00257042">
        <w:t xml:space="preserve"> Mikä yksilöidymmät tiedot saadaan, sen täsmällisemmin vaatimus voidaan osoittaa sille, jonka väitetään loukanneen tekijänoikeutta. </w:t>
      </w:r>
    </w:p>
    <w:p w14:paraId="7EA0BB43" w14:textId="77777777" w:rsidR="00016559" w:rsidRDefault="00213E6B" w:rsidP="00213E6B">
      <w:r w:rsidRPr="00991498">
        <w:t xml:space="preserve">Tietoliikenneportin osoittava numero </w:t>
      </w:r>
      <w:r w:rsidR="008B02CA">
        <w:t>voisi myös kuulua luovutettaviin tietoihin</w:t>
      </w:r>
      <w:r w:rsidRPr="00991498">
        <w:t xml:space="preserve">, jotta kirjeen vastaanottajalla on </w:t>
      </w:r>
      <w:r w:rsidR="0071470B" w:rsidRPr="00991498">
        <w:t>mahdollisuu</w:t>
      </w:r>
      <w:r w:rsidRPr="00991498">
        <w:t>s</w:t>
      </w:r>
      <w:r w:rsidR="0071470B" w:rsidRPr="00991498">
        <w:t xml:space="preserve"> tehdä omia selvityksiään</w:t>
      </w:r>
      <w:r w:rsidR="00016559">
        <w:t>.</w:t>
      </w:r>
    </w:p>
    <w:p w14:paraId="45AC6DBF" w14:textId="30149822" w:rsidR="0071470B" w:rsidRPr="00991498" w:rsidRDefault="00213E6B" w:rsidP="00213E6B">
      <w:pPr>
        <w:rPr>
          <w:rFonts w:cstheme="minorHAnsi"/>
        </w:rPr>
      </w:pPr>
      <w:r w:rsidRPr="00991498">
        <w:t>Tärkeintä olisi saada selvyys mitkä toimintatavat on käytössä kun kyse taloyhtiö tai</w:t>
      </w:r>
      <w:r w:rsidR="0071470B" w:rsidRPr="00991498">
        <w:t xml:space="preserve"> yritysliittym</w:t>
      </w:r>
      <w:r w:rsidRPr="00991498">
        <w:t xml:space="preserve">ä. </w:t>
      </w:r>
      <w:r w:rsidR="0071470B" w:rsidRPr="00991498">
        <w:t xml:space="preserve"> </w:t>
      </w:r>
      <w:r w:rsidR="00C27E20" w:rsidRPr="00991498">
        <w:t>K</w:t>
      </w:r>
      <w:r w:rsidR="008673B2" w:rsidRPr="00991498">
        <w:t>eskustelusta ilmeni, että k</w:t>
      </w:r>
      <w:r w:rsidR="00981DCF" w:rsidRPr="00991498">
        <w:t>äytännöt vaihtelevat. Jotkut toimijoista eivät lähetä kirjeitä lainkaan yrityksille mutta kuitenkin taloyhtiöihin, jos liittymän käyttäjä on selvillä. Ongelmia on joskus esiintynyt kun asukas on muuttanut</w:t>
      </w:r>
      <w:r w:rsidR="00116F5F">
        <w:t>, mutta on laiminlyönyt muuton ilmoittamisen teleoperaattorille</w:t>
      </w:r>
      <w:r w:rsidR="00981DCF" w:rsidRPr="00991498">
        <w:rPr>
          <w:rFonts w:cstheme="minorHAnsi"/>
        </w:rPr>
        <w:t>.</w:t>
      </w:r>
      <w:r w:rsidR="000B4993" w:rsidRPr="00991498">
        <w:rPr>
          <w:rFonts w:cstheme="minorHAnsi"/>
        </w:rPr>
        <w:t xml:space="preserve"> </w:t>
      </w:r>
    </w:p>
    <w:p w14:paraId="02FB1E38" w14:textId="77777777" w:rsidR="00BF6DA2" w:rsidRPr="00991498" w:rsidRDefault="0048032A" w:rsidP="00BF6DA2">
      <w:r w:rsidRPr="00991498">
        <w:t>Eräs kirjeitä lähettänyt taho on</w:t>
      </w:r>
      <w:r w:rsidR="00DB70F1" w:rsidRPr="00991498">
        <w:t xml:space="preserve"> vuosia sitten muodostanut käytä</w:t>
      </w:r>
      <w:r w:rsidRPr="00991498">
        <w:t>nnö</w:t>
      </w:r>
      <w:r w:rsidR="00DB70F1" w:rsidRPr="00991498">
        <w:t>t yhteisöliittymiä silmällä pitä</w:t>
      </w:r>
      <w:r w:rsidR="00981DCF" w:rsidRPr="00991498">
        <w:t>en. K</w:t>
      </w:r>
      <w:r w:rsidRPr="00991498">
        <w:t xml:space="preserve">un huomataan, että liittymä kuuluu yritykselle, koululle tms. </w:t>
      </w:r>
      <w:r w:rsidR="00981DCF" w:rsidRPr="00991498">
        <w:t xml:space="preserve">on lähetetty </w:t>
      </w:r>
      <w:r w:rsidRPr="00991498">
        <w:t xml:space="preserve">kirje, jossa on pyydetty välittämään tiedon loukkauksista jotka on havaittu ml. tieto siitä, että toiminta rikkoo lakia. </w:t>
      </w:r>
      <w:r w:rsidR="00BF6DA2" w:rsidRPr="00991498">
        <w:t>Kokemuksen mukaan yhteisöillä on ollut asianm</w:t>
      </w:r>
      <w:r w:rsidR="00C27E20" w:rsidRPr="00991498">
        <w:t>ukainen suhtautuminen asiaan ja siellä on</w:t>
      </w:r>
      <w:r w:rsidR="00BF6DA2" w:rsidRPr="00991498">
        <w:t xml:space="preserve"> ymmärretty asian vakavuus ja luvattu tutkia asiaa. </w:t>
      </w:r>
      <w:r w:rsidR="00C27E20" w:rsidRPr="00991498">
        <w:t>J</w:t>
      </w:r>
      <w:r w:rsidR="00BF6DA2" w:rsidRPr="00991498">
        <w:t xml:space="preserve">os liittymä on </w:t>
      </w:r>
      <w:r w:rsidR="0071470B" w:rsidRPr="00991498">
        <w:t>henkilön</w:t>
      </w:r>
      <w:r w:rsidR="00C27E20" w:rsidRPr="00991498">
        <w:t xml:space="preserve"> nimissä, </w:t>
      </w:r>
      <w:r w:rsidR="00BF6DA2" w:rsidRPr="00991498">
        <w:t>sitä</w:t>
      </w:r>
      <w:r w:rsidR="00C27E20" w:rsidRPr="00991498">
        <w:t xml:space="preserve"> ei</w:t>
      </w:r>
      <w:r w:rsidR="00BF6DA2" w:rsidRPr="00991498">
        <w:t xml:space="preserve"> pidetä yhteisöliittymä</w:t>
      </w:r>
      <w:r w:rsidR="00DB70F1" w:rsidRPr="00991498">
        <w:t>nä</w:t>
      </w:r>
      <w:r w:rsidR="00BF6DA2" w:rsidRPr="00991498">
        <w:t>. Hyviksi käytännöiksi voi</w:t>
      </w:r>
      <w:r w:rsidR="00C27E20" w:rsidRPr="00991498">
        <w:t>si</w:t>
      </w:r>
      <w:r w:rsidR="00BF6DA2" w:rsidRPr="00991498">
        <w:t xml:space="preserve"> kirjata myös, että kirjeiden vastaanottajien pitäisi </w:t>
      </w:r>
      <w:r w:rsidR="0071470B" w:rsidRPr="00991498">
        <w:t>olla</w:t>
      </w:r>
      <w:r w:rsidR="00BF6DA2" w:rsidRPr="00991498">
        <w:t xml:space="preserve"> yhteydessä</w:t>
      </w:r>
      <w:r w:rsidR="0071470B" w:rsidRPr="00991498">
        <w:t xml:space="preserve"> suoraan lähettäjään</w:t>
      </w:r>
      <w:r w:rsidR="000B4993" w:rsidRPr="00991498">
        <w:t xml:space="preserve"> (jotta vähennettäisiin yhteydenottoja operaattoreihin</w:t>
      </w:r>
      <w:r w:rsidR="00BF6DA2" w:rsidRPr="00991498">
        <w:t>)</w:t>
      </w:r>
      <w:r w:rsidR="00DB70F1" w:rsidRPr="00991498">
        <w:t>.</w:t>
      </w:r>
    </w:p>
    <w:p w14:paraId="0FDC9964" w14:textId="0EA70FCE" w:rsidR="008673B2" w:rsidRDefault="008673B2" w:rsidP="008673B2">
      <w:r w:rsidRPr="00055A87">
        <w:t>Keskustelussa nousi esiin</w:t>
      </w:r>
      <w:r w:rsidR="004859C9">
        <w:t xml:space="preserve"> (pj huom. tässä)</w:t>
      </w:r>
      <w:r w:rsidRPr="00055A87">
        <w:t xml:space="preserve"> </w:t>
      </w:r>
      <w:r w:rsidR="00991498" w:rsidRPr="00055A87">
        <w:t xml:space="preserve">yksityisyyden suojan toteutumiseen, </w:t>
      </w:r>
      <w:r w:rsidRPr="00055A87">
        <w:t>henkilötietolain soveltamiseen</w:t>
      </w:r>
      <w:r w:rsidR="004859C9">
        <w:t xml:space="preserve"> ja</w:t>
      </w:r>
      <w:r w:rsidR="00055A87" w:rsidRPr="00055A87">
        <w:t xml:space="preserve"> </w:t>
      </w:r>
      <w:r w:rsidRPr="00055A87">
        <w:t>EU:n uuden tietosuoja</w:t>
      </w:r>
      <w:r w:rsidRPr="00257042">
        <w:t>-asetuksen vaikutuksiin liittyviä kysymyksiä, joita käsitellään lisää seuraavassa kokouksessa.</w:t>
      </w:r>
      <w:r w:rsidR="004859C9">
        <w:t xml:space="preserve"> Näihin sisältyy mm. se, </w:t>
      </w:r>
      <w:r w:rsidR="004859C9" w:rsidRPr="00055A87">
        <w:t>mitä velvollisuus huolehtia haetuista, tuomituista ja luovutetuista tiedoista edellyttää</w:t>
      </w:r>
      <w:r w:rsidR="004859C9">
        <w:t xml:space="preserve"> tekijänoikeuden valvontaa harjoittavilta osapuolilta.</w:t>
      </w:r>
    </w:p>
    <w:p w14:paraId="3278C84A" w14:textId="77777777" w:rsidR="009E0CFF" w:rsidRPr="008B02CA" w:rsidRDefault="009E0CFF" w:rsidP="009E0CFF">
      <w:pPr>
        <w:rPr>
          <w:b/>
        </w:rPr>
      </w:pPr>
      <w:r w:rsidRPr="008B02CA">
        <w:rPr>
          <w:b/>
        </w:rPr>
        <w:t>Kulut ja turvaamistoimet</w:t>
      </w:r>
    </w:p>
    <w:p w14:paraId="5EA8931A" w14:textId="28C1437E" w:rsidR="009E0CFF" w:rsidRPr="008B02CA" w:rsidRDefault="009E0CFF" w:rsidP="009E0CFF">
      <w:r w:rsidRPr="008B02CA">
        <w:t>Lisäksi kokouksessa keskusteltiin tietojen luovuttamismääräyksestä aiheutuvien kulujen korvaamisesta, toimintatavoista yhteisöliittymien osalta ja turvaamistoimista. Tekijänoikeuslain 60a §:n mukaan hakija vastaa kuluista, jotka syntyvät tuomion täytäntöönpanosta. Kulujen korvaamisen osalta operaattorit korostivat sitä, että kuluja aiheutuu myös muusta kuin varsinaisesta tietojen hakemisesta järjestelmistä, kuten asiakaspalvelun kuormittumista. Keskustelussa käsiteltiin myös henkilötietolain mukaisen tarkistusoikeuden liittymistä asiaan.</w:t>
      </w:r>
      <w:r w:rsidR="00907E8F">
        <w:t xml:space="preserve"> </w:t>
      </w:r>
      <w:r w:rsidRPr="008B02CA">
        <w:t xml:space="preserve">Keskustelun päätteeksi todettiin, että kulujen osalta on kyse lainsäädännön tulkinnasta. </w:t>
      </w:r>
    </w:p>
    <w:p w14:paraId="04202C95" w14:textId="77777777" w:rsidR="009E0CFF" w:rsidRPr="008B02CA" w:rsidRDefault="009E0CFF" w:rsidP="009E0CFF">
      <w:r w:rsidRPr="008B02CA">
        <w:t xml:space="preserve">Operaattorit kertoivat uudesta toimintatavasta, jossa kirjeiden lähettäjät ovat hakeneet turvaamistoimia suureen joukkoon viestinnän välitystietoja. Ilmiö on uusi ja turvaamistoimien perusteella säilytettävien tietojen säilytysaikaan ei voida vielä arvioida. </w:t>
      </w:r>
      <w:proofErr w:type="spellStart"/>
      <w:r w:rsidRPr="008B02CA">
        <w:t>FiComin</w:t>
      </w:r>
      <w:proofErr w:type="spellEnd"/>
      <w:r w:rsidRPr="008B02CA">
        <w:t xml:space="preserve"> edustaja varoitti, että jos säilytysaika muodostuu useiden kuukausien mittaiseksi, voi tilanne muodostua ongelmalliseksi viestintäpalvelujen yksityisyyden suojan osalta.  Kirjeiden lähettäjien mukaan turvaamistoimet ovat voimassa siihen saakka, kunnes yhteystiedot on luovutettu hakijalle. </w:t>
      </w:r>
    </w:p>
    <w:p w14:paraId="7BE84001" w14:textId="7B67C16B" w:rsidR="009E0CFF" w:rsidRPr="008B02CA" w:rsidRDefault="009E0CFF" w:rsidP="009E0CFF">
      <w:r w:rsidRPr="008B02CA">
        <w:t>Kirjeitä lähettävät katsoivat, että jos piratismin vähentäminen on rasite operaattoreille, luulisi, että sen vähentämisestä hyötyisivät myös he.  Teleoperaattorit katsoivat, että laillisten palveluiden kehittäminen on ensisijalla ja oikeuksien tasapainottaminen. Kirjeitä vastaanot</w:t>
      </w:r>
      <w:r w:rsidR="001C7475">
        <w:t>taneiden</w:t>
      </w:r>
      <w:r w:rsidRPr="008B02CA">
        <w:t xml:space="preserve"> edusta</w:t>
      </w:r>
      <w:r w:rsidR="001C7475">
        <w:t>ja</w:t>
      </w:r>
      <w:r w:rsidRPr="008B02CA">
        <w:t xml:space="preserve"> toi esiin, että luovan alan toimijoilla on hyvin erilaisia käsityksiä siitä, miten piratismiin tulisi puuttua.</w:t>
      </w:r>
    </w:p>
    <w:p w14:paraId="17EC5410" w14:textId="77777777" w:rsidR="009E0CFF" w:rsidRPr="008B02CA" w:rsidRDefault="009E0CFF" w:rsidP="009E0CFF">
      <w:r w:rsidRPr="008B02CA">
        <w:t xml:space="preserve">Valtio on tarjonnut oikeudenhaltijoille mahdollisuuden oikeuksien täytäntöönpanoon ja yhteystietojen hakemisen sitä varten. Tällöin tulisi kustannusten ja hyötyjen olla tasapainossa. </w:t>
      </w:r>
    </w:p>
    <w:p w14:paraId="584C7D4F" w14:textId="77777777" w:rsidR="007F46D3" w:rsidRDefault="007F46D3" w:rsidP="009E0CFF">
      <w:pPr>
        <w:rPr>
          <w:b/>
        </w:rPr>
      </w:pPr>
    </w:p>
    <w:p w14:paraId="60619A4A" w14:textId="77777777" w:rsidR="009E0CFF" w:rsidRPr="008B02CA" w:rsidRDefault="009E0CFF" w:rsidP="009E0CFF">
      <w:pPr>
        <w:rPr>
          <w:b/>
        </w:rPr>
      </w:pPr>
      <w:r w:rsidRPr="008B02CA">
        <w:rPr>
          <w:b/>
        </w:rPr>
        <w:t>Turvaamistoimet tietojen säilyttämisen varmistamiseksi</w:t>
      </w:r>
    </w:p>
    <w:p w14:paraId="1EC97ACD" w14:textId="7058547E" w:rsidR="009E0CFF" w:rsidRPr="00257042" w:rsidRDefault="009E0CFF" w:rsidP="008673B2">
      <w:r w:rsidRPr="008B02CA">
        <w:t xml:space="preserve">Lopuksi keskusteltiin lyhyesti turvaamistoimiin liittyvistä valituksista. Mika Enäjärvi totesi, että Tele2-tapauksessa vakavan rikollisuuden selvittämiseksi tiettyjä tietoja voidaan säilyttää, mutta tällä </w:t>
      </w:r>
      <w:proofErr w:type="spellStart"/>
      <w:r w:rsidRPr="008B02CA">
        <w:t>TekL</w:t>
      </w:r>
      <w:proofErr w:type="spellEnd"/>
      <w:r w:rsidRPr="008B02CA">
        <w:t xml:space="preserve"> 60 a §:n mukaisella prosessilla voidaan hakea vain operaattorin omia tietoja. Operaattorit eivät voi ottaa loputtomia tietovarantoja säilytettäväkseen vaan toivotaan määräaikaa säilyttämiselle. Teleoperaattorit katsoivat, että 6 - 12kk säilytysaika on erittäin pitkä</w:t>
      </w:r>
      <w:r w:rsidR="00907E8F">
        <w:t>.</w:t>
      </w:r>
      <w:r w:rsidR="00916C24" w:rsidRPr="00916C24">
        <w:t xml:space="preserve"> </w:t>
      </w:r>
      <w:r w:rsidR="00916C24">
        <w:t>Asiat ovat korkeimman oikeuden tarkas</w:t>
      </w:r>
      <w:bookmarkStart w:id="0" w:name="_GoBack"/>
      <w:bookmarkEnd w:id="0"/>
      <w:r w:rsidR="00916C24">
        <w:t>teltava</w:t>
      </w:r>
      <w:r w:rsidR="00AE5393">
        <w:t>na</w:t>
      </w:r>
      <w:r w:rsidR="00916C24">
        <w:t>.</w:t>
      </w:r>
    </w:p>
    <w:p w14:paraId="1CF53A2B" w14:textId="77777777" w:rsidR="007C07C9" w:rsidRPr="00257042" w:rsidRDefault="007C07C9" w:rsidP="00DE3D29">
      <w:pPr>
        <w:pStyle w:val="Luettelokappale"/>
      </w:pPr>
    </w:p>
    <w:p w14:paraId="06C536E0" w14:textId="77777777" w:rsidR="00DE3D29" w:rsidRPr="00257042" w:rsidRDefault="00DE3D29" w:rsidP="00DE3D29">
      <w:pPr>
        <w:pStyle w:val="Luettelokappale"/>
        <w:numPr>
          <w:ilvl w:val="0"/>
          <w:numId w:val="1"/>
        </w:numPr>
        <w:rPr>
          <w:b/>
        </w:rPr>
      </w:pPr>
      <w:r w:rsidRPr="00257042">
        <w:rPr>
          <w:b/>
        </w:rPr>
        <w:t>Aikataulutus</w:t>
      </w:r>
      <w:r w:rsidR="00996EF3" w:rsidRPr="00257042">
        <w:rPr>
          <w:b/>
        </w:rPr>
        <w:t xml:space="preserve"> jatkosta</w:t>
      </w:r>
    </w:p>
    <w:p w14:paraId="56D6EC24" w14:textId="77777777" w:rsidR="00246FCD" w:rsidRPr="00257042" w:rsidRDefault="00246FCD" w:rsidP="00246FCD">
      <w:r w:rsidRPr="00257042">
        <w:t>Lopuksi sovittiin, että seuraavaa kokousaikaa 17.10 yritetään siirtää, koska se on syyslomalla. Kokouksessa kuullaan Herkko Hietasta ja Juha Hellettä. Lisäksi siihen mennessä on saatu yhte</w:t>
      </w:r>
      <w:r w:rsidR="001B00A8" w:rsidRPr="00257042">
        <w:t>enveto kirjeiden vastaanottajien</w:t>
      </w:r>
      <w:r w:rsidRPr="00257042">
        <w:t xml:space="preserve"> huolista sekä selvitys EU:n täytäntöönpanolainsäädännön ja tietosuoja-asetuksen vaikutuksesta työryhmän työhön.</w:t>
      </w:r>
    </w:p>
    <w:sectPr w:rsidR="00246FCD" w:rsidRPr="00257042">
      <w:headerReference w:type="default" r:id="rId8"/>
      <w:footerReference w:type="default" r:id="rId9"/>
      <w:pgSz w:w="11906" w:h="16838"/>
      <w:pgMar w:top="1417" w:right="1134" w:bottom="1417"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F4EE60" w15:done="0"/>
  <w15:commentEx w15:paraId="1ECBA211" w15:done="0"/>
  <w15:commentEx w15:paraId="035EC460" w15:done="0"/>
  <w15:commentEx w15:paraId="4D150E1E" w15:done="0"/>
  <w15:commentEx w15:paraId="071FBBF3" w15:done="0"/>
  <w15:commentEx w15:paraId="0162D8CA" w15:done="0"/>
  <w15:commentEx w15:paraId="34FB7A9E" w15:done="0"/>
  <w15:commentEx w15:paraId="43011406" w15:done="0"/>
  <w15:commentEx w15:paraId="607B4DEB" w15:done="0"/>
  <w15:commentEx w15:paraId="2E6D3A40" w15:done="0"/>
  <w15:commentEx w15:paraId="0C218CCF" w15:done="0"/>
  <w15:commentEx w15:paraId="578B7F6B" w15:done="0"/>
  <w15:commentEx w15:paraId="549A6041" w15:done="0"/>
  <w15:commentEx w15:paraId="772AECFD" w15:done="0"/>
  <w15:commentEx w15:paraId="49D12701" w15:done="0"/>
  <w15:commentEx w15:paraId="6AD58F5F" w15:done="0"/>
  <w15:commentEx w15:paraId="48B51F4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F4EE60" w16cid:durableId="1D84B100"/>
  <w16cid:commentId w16cid:paraId="1ECBA211" w16cid:durableId="1D84B25F"/>
  <w16cid:commentId w16cid:paraId="035EC460" w16cid:durableId="1D84B289"/>
  <w16cid:commentId w16cid:paraId="4D150E1E" w16cid:durableId="1D84B2F3"/>
  <w16cid:commentId w16cid:paraId="071FBBF3" w16cid:durableId="1D84B384"/>
  <w16cid:commentId w16cid:paraId="0162D8CA" w16cid:durableId="1D84BE63"/>
  <w16cid:commentId w16cid:paraId="34FB7A9E" w16cid:durableId="1D84BEBC"/>
  <w16cid:commentId w16cid:paraId="43011406" w16cid:durableId="1D84B44B"/>
  <w16cid:commentId w16cid:paraId="607B4DEB" w16cid:durableId="1D84B502"/>
  <w16cid:commentId w16cid:paraId="2E6D3A40" w16cid:durableId="1D84BF9C"/>
  <w16cid:commentId w16cid:paraId="0C218CCF" w16cid:durableId="1D84B7D6"/>
  <w16cid:commentId w16cid:paraId="578B7F6B" w16cid:durableId="1D84B8B3"/>
  <w16cid:commentId w16cid:paraId="549A6041" w16cid:durableId="1D84B990"/>
  <w16cid:commentId w16cid:paraId="772AECFD" w16cid:durableId="1D84BA1D"/>
  <w16cid:commentId w16cid:paraId="49D12701" w16cid:durableId="1D84BBBF"/>
  <w16cid:commentId w16cid:paraId="6AD58F5F" w16cid:durableId="1D84BCAC"/>
  <w16cid:commentId w16cid:paraId="48B51F4C" w16cid:durableId="1D84BC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86EF5" w14:textId="77777777" w:rsidR="00B5258C" w:rsidRDefault="00B5258C" w:rsidP="00DE3D29">
      <w:pPr>
        <w:spacing w:after="0" w:line="240" w:lineRule="auto"/>
      </w:pPr>
      <w:r>
        <w:separator/>
      </w:r>
    </w:p>
  </w:endnote>
  <w:endnote w:type="continuationSeparator" w:id="0">
    <w:p w14:paraId="68657DB2" w14:textId="77777777" w:rsidR="00B5258C" w:rsidRDefault="00B5258C" w:rsidP="00DE3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25528"/>
      <w:docPartObj>
        <w:docPartGallery w:val="Page Numbers (Bottom of Page)"/>
        <w:docPartUnique/>
      </w:docPartObj>
    </w:sdtPr>
    <w:sdtEndPr/>
    <w:sdtContent>
      <w:p w14:paraId="011564AF" w14:textId="5C1090CF" w:rsidR="002B7449" w:rsidRDefault="002B7449">
        <w:pPr>
          <w:pStyle w:val="Alatunniste"/>
          <w:jc w:val="right"/>
        </w:pPr>
        <w:r>
          <w:fldChar w:fldCharType="begin"/>
        </w:r>
        <w:r>
          <w:instrText>PAGE   \* MERGEFORMAT</w:instrText>
        </w:r>
        <w:r>
          <w:fldChar w:fldCharType="separate"/>
        </w:r>
        <w:r w:rsidR="00AE5393">
          <w:rPr>
            <w:noProof/>
          </w:rPr>
          <w:t>4</w:t>
        </w:r>
        <w:r>
          <w:fldChar w:fldCharType="end"/>
        </w:r>
      </w:p>
    </w:sdtContent>
  </w:sdt>
  <w:p w14:paraId="2CC45056" w14:textId="77777777" w:rsidR="002B7449" w:rsidRDefault="002B7449">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62976" w14:textId="77777777" w:rsidR="00B5258C" w:rsidRDefault="00B5258C" w:rsidP="00DE3D29">
      <w:pPr>
        <w:spacing w:after="0" w:line="240" w:lineRule="auto"/>
      </w:pPr>
      <w:r>
        <w:separator/>
      </w:r>
    </w:p>
  </w:footnote>
  <w:footnote w:type="continuationSeparator" w:id="0">
    <w:p w14:paraId="3A6FEEE5" w14:textId="77777777" w:rsidR="00B5258C" w:rsidRDefault="00B5258C" w:rsidP="00DE3D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DB5D" w14:textId="77777777" w:rsidR="002B7449" w:rsidRPr="00DE3D29" w:rsidRDefault="002B7449" w:rsidP="00DE3D29">
    <w:pPr>
      <w:rPr>
        <w:b/>
        <w:sz w:val="24"/>
      </w:rPr>
    </w:pPr>
    <w:r w:rsidRPr="00DE3D29">
      <w:rPr>
        <w:b/>
        <w:sz w:val="24"/>
      </w:rPr>
      <w:t>OPETUS- JA KULTTUURIMINISTERIÖ</w:t>
    </w:r>
  </w:p>
  <w:p w14:paraId="01763F14" w14:textId="6A359676" w:rsidR="002B7449" w:rsidRPr="00A92A76" w:rsidRDefault="002B7449">
    <w:pPr>
      <w:pStyle w:val="Yltunniste"/>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750F1"/>
    <w:multiLevelType w:val="hybridMultilevel"/>
    <w:tmpl w:val="3E7C7378"/>
    <w:lvl w:ilvl="0" w:tplc="DC7C2874">
      <w:numFmt w:val="bullet"/>
      <w:lvlText w:val="-"/>
      <w:lvlJc w:val="left"/>
      <w:pPr>
        <w:ind w:left="1080" w:hanging="360"/>
      </w:pPr>
      <w:rPr>
        <w:rFonts w:ascii="Calibri" w:eastAsiaTheme="minorHAnsi" w:hAnsi="Calibri" w:cstheme="minorBidi"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7816235F"/>
    <w:multiLevelType w:val="hybridMultilevel"/>
    <w:tmpl w:val="20048D3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ni Hatanmaa">
    <w15:presenceInfo w15:providerId="None" w15:userId="Joni Hatanm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29"/>
    <w:rsid w:val="0000370D"/>
    <w:rsid w:val="000160FF"/>
    <w:rsid w:val="00016559"/>
    <w:rsid w:val="000516C5"/>
    <w:rsid w:val="00055A87"/>
    <w:rsid w:val="00066CD3"/>
    <w:rsid w:val="000B4993"/>
    <w:rsid w:val="0010577B"/>
    <w:rsid w:val="001119E7"/>
    <w:rsid w:val="00116F5F"/>
    <w:rsid w:val="001324E0"/>
    <w:rsid w:val="0014666D"/>
    <w:rsid w:val="00172986"/>
    <w:rsid w:val="001B00A8"/>
    <w:rsid w:val="001C7475"/>
    <w:rsid w:val="001D19B7"/>
    <w:rsid w:val="001D3DA9"/>
    <w:rsid w:val="001E1B31"/>
    <w:rsid w:val="00207418"/>
    <w:rsid w:val="00213E6B"/>
    <w:rsid w:val="0024344F"/>
    <w:rsid w:val="00246FCD"/>
    <w:rsid w:val="00257042"/>
    <w:rsid w:val="00265D21"/>
    <w:rsid w:val="002A0E16"/>
    <w:rsid w:val="002B7449"/>
    <w:rsid w:val="00332829"/>
    <w:rsid w:val="003846D7"/>
    <w:rsid w:val="003E62E4"/>
    <w:rsid w:val="0048032A"/>
    <w:rsid w:val="004859C9"/>
    <w:rsid w:val="004951B1"/>
    <w:rsid w:val="004A6D95"/>
    <w:rsid w:val="004D2DE5"/>
    <w:rsid w:val="00501D51"/>
    <w:rsid w:val="00533C24"/>
    <w:rsid w:val="00536BA6"/>
    <w:rsid w:val="00561B3B"/>
    <w:rsid w:val="005756AF"/>
    <w:rsid w:val="005A7F4A"/>
    <w:rsid w:val="005D0673"/>
    <w:rsid w:val="005F2978"/>
    <w:rsid w:val="005F3F15"/>
    <w:rsid w:val="006778BA"/>
    <w:rsid w:val="006B6CA9"/>
    <w:rsid w:val="006D2EDC"/>
    <w:rsid w:val="006F364F"/>
    <w:rsid w:val="0071470B"/>
    <w:rsid w:val="00753CFD"/>
    <w:rsid w:val="00760DDA"/>
    <w:rsid w:val="007633DA"/>
    <w:rsid w:val="007A32DE"/>
    <w:rsid w:val="007B2A82"/>
    <w:rsid w:val="007C07C9"/>
    <w:rsid w:val="007D3E27"/>
    <w:rsid w:val="007F2DE4"/>
    <w:rsid w:val="007F46D3"/>
    <w:rsid w:val="00800C0D"/>
    <w:rsid w:val="00813C42"/>
    <w:rsid w:val="008673B2"/>
    <w:rsid w:val="0087067F"/>
    <w:rsid w:val="0088186B"/>
    <w:rsid w:val="00896481"/>
    <w:rsid w:val="00897BC4"/>
    <w:rsid w:val="008B02CA"/>
    <w:rsid w:val="008E0CB4"/>
    <w:rsid w:val="00907E8F"/>
    <w:rsid w:val="00916C24"/>
    <w:rsid w:val="00935636"/>
    <w:rsid w:val="0096501B"/>
    <w:rsid w:val="009758E8"/>
    <w:rsid w:val="00981DCF"/>
    <w:rsid w:val="00991498"/>
    <w:rsid w:val="00996EF3"/>
    <w:rsid w:val="009E0CFF"/>
    <w:rsid w:val="00A75693"/>
    <w:rsid w:val="00A86917"/>
    <w:rsid w:val="00A92588"/>
    <w:rsid w:val="00A92A76"/>
    <w:rsid w:val="00AE5393"/>
    <w:rsid w:val="00B12394"/>
    <w:rsid w:val="00B31D08"/>
    <w:rsid w:val="00B5258C"/>
    <w:rsid w:val="00B52B2B"/>
    <w:rsid w:val="00B546FD"/>
    <w:rsid w:val="00B66037"/>
    <w:rsid w:val="00B67A13"/>
    <w:rsid w:val="00B80031"/>
    <w:rsid w:val="00B95E80"/>
    <w:rsid w:val="00B96CF0"/>
    <w:rsid w:val="00BA4EB3"/>
    <w:rsid w:val="00BB2B91"/>
    <w:rsid w:val="00BF6DA2"/>
    <w:rsid w:val="00BF7D61"/>
    <w:rsid w:val="00C24126"/>
    <w:rsid w:val="00C27E20"/>
    <w:rsid w:val="00C933F7"/>
    <w:rsid w:val="00CE5B4C"/>
    <w:rsid w:val="00D16C67"/>
    <w:rsid w:val="00D43647"/>
    <w:rsid w:val="00D659AB"/>
    <w:rsid w:val="00DB70F1"/>
    <w:rsid w:val="00DC126B"/>
    <w:rsid w:val="00DE3D29"/>
    <w:rsid w:val="00E31041"/>
    <w:rsid w:val="00F06B22"/>
    <w:rsid w:val="00F4403C"/>
    <w:rsid w:val="00F63919"/>
    <w:rsid w:val="00F769EF"/>
    <w:rsid w:val="00FC1F21"/>
    <w:rsid w:val="00FE1CCF"/>
    <w:rsid w:val="00FF38F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B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E3D29"/>
    <w:pPr>
      <w:ind w:left="720"/>
      <w:contextualSpacing/>
    </w:pPr>
  </w:style>
  <w:style w:type="paragraph" w:styleId="Yltunniste">
    <w:name w:val="header"/>
    <w:basedOn w:val="Normaali"/>
    <w:link w:val="YltunnisteChar"/>
    <w:uiPriority w:val="99"/>
    <w:unhideWhenUsed/>
    <w:rsid w:val="00DE3D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E3D29"/>
  </w:style>
  <w:style w:type="paragraph" w:styleId="Alatunniste">
    <w:name w:val="footer"/>
    <w:basedOn w:val="Normaali"/>
    <w:link w:val="AlatunnisteChar"/>
    <w:uiPriority w:val="99"/>
    <w:unhideWhenUsed/>
    <w:rsid w:val="00DE3D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E3D29"/>
  </w:style>
  <w:style w:type="character" w:styleId="Kommentinviite">
    <w:name w:val="annotation reference"/>
    <w:basedOn w:val="Kappaleenoletusfontti"/>
    <w:uiPriority w:val="99"/>
    <w:semiHidden/>
    <w:unhideWhenUsed/>
    <w:rsid w:val="00F4403C"/>
    <w:rPr>
      <w:sz w:val="16"/>
      <w:szCs w:val="16"/>
    </w:rPr>
  </w:style>
  <w:style w:type="paragraph" w:styleId="Kommentinteksti">
    <w:name w:val="annotation text"/>
    <w:basedOn w:val="Normaali"/>
    <w:link w:val="KommentintekstiChar"/>
    <w:uiPriority w:val="99"/>
    <w:semiHidden/>
    <w:unhideWhenUsed/>
    <w:rsid w:val="00F4403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4403C"/>
    <w:rPr>
      <w:sz w:val="20"/>
      <w:szCs w:val="20"/>
    </w:rPr>
  </w:style>
  <w:style w:type="paragraph" w:styleId="Kommentinotsikko">
    <w:name w:val="annotation subject"/>
    <w:basedOn w:val="Kommentinteksti"/>
    <w:next w:val="Kommentinteksti"/>
    <w:link w:val="KommentinotsikkoChar"/>
    <w:uiPriority w:val="99"/>
    <w:semiHidden/>
    <w:unhideWhenUsed/>
    <w:rsid w:val="00F4403C"/>
    <w:rPr>
      <w:b/>
      <w:bCs/>
    </w:rPr>
  </w:style>
  <w:style w:type="character" w:customStyle="1" w:styleId="KommentinotsikkoChar">
    <w:name w:val="Kommentin otsikko Char"/>
    <w:basedOn w:val="KommentintekstiChar"/>
    <w:link w:val="Kommentinotsikko"/>
    <w:uiPriority w:val="99"/>
    <w:semiHidden/>
    <w:rsid w:val="00F4403C"/>
    <w:rPr>
      <w:b/>
      <w:bCs/>
      <w:sz w:val="20"/>
      <w:szCs w:val="20"/>
    </w:rPr>
  </w:style>
  <w:style w:type="paragraph" w:styleId="Seliteteksti">
    <w:name w:val="Balloon Text"/>
    <w:basedOn w:val="Normaali"/>
    <w:link w:val="SelitetekstiChar"/>
    <w:uiPriority w:val="99"/>
    <w:semiHidden/>
    <w:unhideWhenUsed/>
    <w:rsid w:val="00F4403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4403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DE3D29"/>
    <w:pPr>
      <w:ind w:left="720"/>
      <w:contextualSpacing/>
    </w:pPr>
  </w:style>
  <w:style w:type="paragraph" w:styleId="Yltunniste">
    <w:name w:val="header"/>
    <w:basedOn w:val="Normaali"/>
    <w:link w:val="YltunnisteChar"/>
    <w:uiPriority w:val="99"/>
    <w:unhideWhenUsed/>
    <w:rsid w:val="00DE3D2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E3D29"/>
  </w:style>
  <w:style w:type="paragraph" w:styleId="Alatunniste">
    <w:name w:val="footer"/>
    <w:basedOn w:val="Normaali"/>
    <w:link w:val="AlatunnisteChar"/>
    <w:uiPriority w:val="99"/>
    <w:unhideWhenUsed/>
    <w:rsid w:val="00DE3D2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E3D29"/>
  </w:style>
  <w:style w:type="character" w:styleId="Kommentinviite">
    <w:name w:val="annotation reference"/>
    <w:basedOn w:val="Kappaleenoletusfontti"/>
    <w:uiPriority w:val="99"/>
    <w:semiHidden/>
    <w:unhideWhenUsed/>
    <w:rsid w:val="00F4403C"/>
    <w:rPr>
      <w:sz w:val="16"/>
      <w:szCs w:val="16"/>
    </w:rPr>
  </w:style>
  <w:style w:type="paragraph" w:styleId="Kommentinteksti">
    <w:name w:val="annotation text"/>
    <w:basedOn w:val="Normaali"/>
    <w:link w:val="KommentintekstiChar"/>
    <w:uiPriority w:val="99"/>
    <w:semiHidden/>
    <w:unhideWhenUsed/>
    <w:rsid w:val="00F4403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4403C"/>
    <w:rPr>
      <w:sz w:val="20"/>
      <w:szCs w:val="20"/>
    </w:rPr>
  </w:style>
  <w:style w:type="paragraph" w:styleId="Kommentinotsikko">
    <w:name w:val="annotation subject"/>
    <w:basedOn w:val="Kommentinteksti"/>
    <w:next w:val="Kommentinteksti"/>
    <w:link w:val="KommentinotsikkoChar"/>
    <w:uiPriority w:val="99"/>
    <w:semiHidden/>
    <w:unhideWhenUsed/>
    <w:rsid w:val="00F4403C"/>
    <w:rPr>
      <w:b/>
      <w:bCs/>
    </w:rPr>
  </w:style>
  <w:style w:type="character" w:customStyle="1" w:styleId="KommentinotsikkoChar">
    <w:name w:val="Kommentin otsikko Char"/>
    <w:basedOn w:val="KommentintekstiChar"/>
    <w:link w:val="Kommentinotsikko"/>
    <w:uiPriority w:val="99"/>
    <w:semiHidden/>
    <w:rsid w:val="00F4403C"/>
    <w:rPr>
      <w:b/>
      <w:bCs/>
      <w:sz w:val="20"/>
      <w:szCs w:val="20"/>
    </w:rPr>
  </w:style>
  <w:style w:type="paragraph" w:styleId="Seliteteksti">
    <w:name w:val="Balloon Text"/>
    <w:basedOn w:val="Normaali"/>
    <w:link w:val="SelitetekstiChar"/>
    <w:uiPriority w:val="99"/>
    <w:semiHidden/>
    <w:unhideWhenUsed/>
    <w:rsid w:val="00F4403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44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1141</Words>
  <Characters>9247</Characters>
  <Application>Microsoft Office Word</Application>
  <DocSecurity>0</DocSecurity>
  <Lines>77</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Vuopala Anna</dc:creator>
  <cp:lastModifiedBy>Vuopala Anna</cp:lastModifiedBy>
  <cp:revision>6</cp:revision>
  <dcterms:created xsi:type="dcterms:W3CDTF">2017-10-09T09:31:00Z</dcterms:created>
  <dcterms:modified xsi:type="dcterms:W3CDTF">2017-10-09T10:05:00Z</dcterms:modified>
</cp:coreProperties>
</file>