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40B" w:rsidRPr="00437BF8" w:rsidRDefault="00C7740B" w:rsidP="00C7740B">
      <w:bookmarkStart w:id="0" w:name="_GoBack"/>
      <w:bookmarkEnd w:id="0"/>
      <w:r w:rsidRPr="00437BF8">
        <w:t>Vastaanottaja:</w:t>
      </w:r>
    </w:p>
    <w:p w:rsidR="00C7740B" w:rsidRPr="00437BF8" w:rsidRDefault="00C7740B" w:rsidP="00C7740B">
      <w:pPr>
        <w:rPr>
          <w:sz w:val="24"/>
          <w:szCs w:val="24"/>
        </w:rPr>
      </w:pPr>
      <w:r w:rsidRPr="00437BF8">
        <w:rPr>
          <w:sz w:val="24"/>
          <w:szCs w:val="24"/>
        </w:rPr>
        <w:t>Oikeusministeriö</w:t>
      </w:r>
    </w:p>
    <w:p w:rsidR="00C7740B" w:rsidRPr="00437BF8" w:rsidRDefault="00C7740B" w:rsidP="00C7740B"/>
    <w:p w:rsidR="00C7740B" w:rsidRPr="00C7740B" w:rsidRDefault="00C7740B" w:rsidP="00C7740B">
      <w:r w:rsidRPr="00C7740B">
        <w:t>Lausunnon antaja:</w:t>
      </w:r>
    </w:p>
    <w:p w:rsidR="00C7740B" w:rsidRDefault="00C7740B" w:rsidP="00C7740B">
      <w:pPr>
        <w:rPr>
          <w:sz w:val="24"/>
          <w:szCs w:val="24"/>
        </w:rPr>
      </w:pPr>
      <w:r w:rsidRPr="00C7740B">
        <w:rPr>
          <w:sz w:val="24"/>
          <w:szCs w:val="24"/>
        </w:rPr>
        <w:t>Länsi-Suomen maistraatti</w:t>
      </w:r>
    </w:p>
    <w:p w:rsidR="00437BF8" w:rsidRPr="00C7740B" w:rsidRDefault="00437BF8" w:rsidP="00C7740B">
      <w:pPr>
        <w:rPr>
          <w:sz w:val="24"/>
          <w:szCs w:val="24"/>
        </w:rPr>
      </w:pPr>
      <w:r>
        <w:rPr>
          <w:sz w:val="24"/>
          <w:szCs w:val="24"/>
        </w:rPr>
        <w:t>Armi Kuivinen</w:t>
      </w:r>
    </w:p>
    <w:p w:rsidR="00C7740B" w:rsidRDefault="00C7740B" w:rsidP="00C7740B">
      <w:pPr>
        <w:rPr>
          <w:sz w:val="24"/>
          <w:szCs w:val="24"/>
        </w:rPr>
      </w:pPr>
      <w:r w:rsidRPr="00C7740B">
        <w:rPr>
          <w:sz w:val="24"/>
          <w:szCs w:val="24"/>
        </w:rPr>
        <w:t>Henkikirjoittaja, vastuualueen päällikkö</w:t>
      </w:r>
    </w:p>
    <w:p w:rsidR="00C7740B" w:rsidRDefault="00C7740B" w:rsidP="00C7740B">
      <w:pPr>
        <w:rPr>
          <w:sz w:val="24"/>
          <w:szCs w:val="24"/>
        </w:rPr>
      </w:pPr>
    </w:p>
    <w:p w:rsidR="00A52598" w:rsidRPr="00A52598" w:rsidRDefault="00A52598" w:rsidP="00A52598">
      <w:r w:rsidRPr="00A52598">
        <w:t>Viite:</w:t>
      </w:r>
    </w:p>
    <w:p w:rsidR="00A52598" w:rsidRPr="00A52598" w:rsidRDefault="00A52598" w:rsidP="00A52598">
      <w:pPr>
        <w:rPr>
          <w:sz w:val="24"/>
          <w:szCs w:val="24"/>
        </w:rPr>
      </w:pPr>
      <w:r w:rsidRPr="00A52598">
        <w:rPr>
          <w:sz w:val="24"/>
          <w:szCs w:val="24"/>
        </w:rPr>
        <w:t>Oikeusministeriön lausuntopyyntö</w:t>
      </w:r>
    </w:p>
    <w:p w:rsidR="00A52598" w:rsidRPr="00A52598" w:rsidRDefault="008D6889" w:rsidP="00A52598">
      <w:pPr>
        <w:rPr>
          <w:sz w:val="24"/>
          <w:szCs w:val="24"/>
        </w:rPr>
      </w:pPr>
      <w:r>
        <w:rPr>
          <w:sz w:val="24"/>
          <w:szCs w:val="24"/>
        </w:rPr>
        <w:t>OM 7/33/2015</w:t>
      </w:r>
    </w:p>
    <w:p w:rsidR="00A52598" w:rsidRPr="00A52598" w:rsidRDefault="00A52598" w:rsidP="00A52598">
      <w:pPr>
        <w:rPr>
          <w:sz w:val="24"/>
          <w:szCs w:val="24"/>
        </w:rPr>
      </w:pPr>
    </w:p>
    <w:p w:rsidR="00A52598" w:rsidRPr="00A52598" w:rsidRDefault="00A52598" w:rsidP="00A52598">
      <w:r w:rsidRPr="00A52598">
        <w:t>Asia:</w:t>
      </w:r>
    </w:p>
    <w:p w:rsidR="00A52598" w:rsidRDefault="00A52598" w:rsidP="008D6889">
      <w:pPr>
        <w:rPr>
          <w:sz w:val="24"/>
          <w:szCs w:val="24"/>
        </w:rPr>
      </w:pPr>
      <w:r w:rsidRPr="00A52598">
        <w:rPr>
          <w:sz w:val="24"/>
          <w:szCs w:val="24"/>
        </w:rPr>
        <w:t xml:space="preserve">Lausunto </w:t>
      </w:r>
      <w:r w:rsidR="008D6889">
        <w:rPr>
          <w:sz w:val="24"/>
          <w:szCs w:val="24"/>
        </w:rPr>
        <w:t xml:space="preserve">valmisteilla olevaan asetukseen </w:t>
      </w:r>
    </w:p>
    <w:p w:rsidR="008D6889" w:rsidRPr="00A52598" w:rsidRDefault="008D6889" w:rsidP="008D6889">
      <w:pPr>
        <w:rPr>
          <w:sz w:val="24"/>
          <w:szCs w:val="24"/>
        </w:rPr>
      </w:pPr>
    </w:p>
    <w:p w:rsidR="00A52598" w:rsidRDefault="008D6889" w:rsidP="005E6CEF">
      <w:pPr>
        <w:ind w:left="1304"/>
        <w:jc w:val="both"/>
        <w:rPr>
          <w:sz w:val="24"/>
          <w:szCs w:val="24"/>
        </w:rPr>
      </w:pPr>
      <w:r>
        <w:rPr>
          <w:sz w:val="24"/>
          <w:szCs w:val="24"/>
        </w:rPr>
        <w:t>Oikeusministeriö on 31.5</w:t>
      </w:r>
      <w:r w:rsidR="00A52598" w:rsidRPr="00A52598">
        <w:rPr>
          <w:sz w:val="24"/>
          <w:szCs w:val="24"/>
        </w:rPr>
        <w:t xml:space="preserve">.2016 </w:t>
      </w:r>
      <w:r>
        <w:rPr>
          <w:sz w:val="24"/>
          <w:szCs w:val="24"/>
        </w:rPr>
        <w:t>pyytänyt maistraateilta lausuntoa valmisteilla olevaan asetukseen, jossa säädetään oikeusapu- ja edunvalvontapiireistä, oikeusapu- ja edunvalvontatoimistojen toimipaikoista ja edunvalvonta-alueista.</w:t>
      </w:r>
      <w:r w:rsidR="00A52598" w:rsidRPr="00A52598">
        <w:rPr>
          <w:sz w:val="24"/>
          <w:szCs w:val="24"/>
        </w:rPr>
        <w:t xml:space="preserve"> </w:t>
      </w:r>
    </w:p>
    <w:p w:rsidR="008D6889" w:rsidRPr="00A52598" w:rsidRDefault="008D6889" w:rsidP="005E6CEF">
      <w:pPr>
        <w:ind w:left="1304"/>
        <w:jc w:val="both"/>
        <w:rPr>
          <w:sz w:val="24"/>
          <w:szCs w:val="24"/>
        </w:rPr>
      </w:pPr>
    </w:p>
    <w:p w:rsidR="00C7740B" w:rsidRDefault="00A52598" w:rsidP="005E6CEF">
      <w:pPr>
        <w:ind w:left="1304"/>
        <w:jc w:val="both"/>
        <w:rPr>
          <w:sz w:val="24"/>
          <w:szCs w:val="24"/>
        </w:rPr>
      </w:pPr>
      <w:r w:rsidRPr="00A52598">
        <w:rPr>
          <w:sz w:val="24"/>
          <w:szCs w:val="24"/>
        </w:rPr>
        <w:t xml:space="preserve">Länsi-Suomen </w:t>
      </w:r>
      <w:r w:rsidR="00437BF8">
        <w:rPr>
          <w:sz w:val="24"/>
          <w:szCs w:val="24"/>
        </w:rPr>
        <w:t>maistraatti</w:t>
      </w:r>
      <w:r w:rsidRPr="00A52598">
        <w:rPr>
          <w:sz w:val="24"/>
          <w:szCs w:val="24"/>
        </w:rPr>
        <w:t xml:space="preserve"> lausuu </w:t>
      </w:r>
      <w:r w:rsidR="0021064F">
        <w:rPr>
          <w:sz w:val="24"/>
          <w:szCs w:val="24"/>
        </w:rPr>
        <w:t>asetusluonnoksesta</w:t>
      </w:r>
      <w:r w:rsidRPr="00A52598">
        <w:rPr>
          <w:sz w:val="24"/>
          <w:szCs w:val="24"/>
        </w:rPr>
        <w:t xml:space="preserve"> seuraavaa:</w:t>
      </w:r>
    </w:p>
    <w:p w:rsidR="0021064F" w:rsidRDefault="0021064F" w:rsidP="005E6CEF">
      <w:pPr>
        <w:ind w:left="1304"/>
        <w:jc w:val="both"/>
        <w:rPr>
          <w:sz w:val="24"/>
          <w:szCs w:val="24"/>
        </w:rPr>
      </w:pPr>
    </w:p>
    <w:p w:rsidR="0072477A" w:rsidRDefault="0072477A" w:rsidP="005E6CEF">
      <w:pPr>
        <w:ind w:left="1304"/>
        <w:jc w:val="both"/>
        <w:rPr>
          <w:i/>
          <w:sz w:val="24"/>
          <w:szCs w:val="24"/>
        </w:rPr>
      </w:pPr>
      <w:r>
        <w:rPr>
          <w:i/>
          <w:sz w:val="24"/>
          <w:szCs w:val="24"/>
        </w:rPr>
        <w:t>Yleistä</w:t>
      </w:r>
    </w:p>
    <w:p w:rsidR="0072477A" w:rsidRPr="0072477A" w:rsidRDefault="0072477A" w:rsidP="005E6CEF">
      <w:pPr>
        <w:ind w:left="1304"/>
        <w:jc w:val="both"/>
        <w:rPr>
          <w:i/>
          <w:sz w:val="24"/>
          <w:szCs w:val="24"/>
        </w:rPr>
      </w:pPr>
    </w:p>
    <w:p w:rsidR="0021064F" w:rsidRPr="00C7740B" w:rsidRDefault="0072477A" w:rsidP="005E6CEF">
      <w:pPr>
        <w:ind w:left="1304"/>
        <w:jc w:val="both"/>
        <w:rPr>
          <w:sz w:val="24"/>
          <w:szCs w:val="24"/>
        </w:rPr>
      </w:pPr>
      <w:r>
        <w:rPr>
          <w:sz w:val="24"/>
          <w:szCs w:val="24"/>
        </w:rPr>
        <w:t>Asetusluonnoksessa ehdotetut oikeusapu- ja edunvalvontapiirit ovat selkeämpiä nykyiseen tilanteeseen verrattuna. Positiivista on myös se, ettei toimipaikkoja lakkauteta. Oikeusapu- ja edunvalvontapalveluiden riittävä saatavuus on tä</w:t>
      </w:r>
      <w:r w:rsidR="00437BF8">
        <w:rPr>
          <w:sz w:val="24"/>
          <w:szCs w:val="24"/>
        </w:rPr>
        <w:t xml:space="preserve">rkeää kansalaisten ja päämiesten </w:t>
      </w:r>
      <w:r>
        <w:rPr>
          <w:sz w:val="24"/>
          <w:szCs w:val="24"/>
        </w:rPr>
        <w:t>oikeusturvan kannalta.</w:t>
      </w:r>
      <w:r w:rsidR="00C9668D">
        <w:rPr>
          <w:sz w:val="24"/>
          <w:szCs w:val="24"/>
        </w:rPr>
        <w:t xml:space="preserve"> Päämiesten kannalta tärkeää on myös se, ettei yleisessäkään edunvalvonnassa edunvalvoja ole maantieteellisesti liian kaukana. Päämiehillä tulee olla mahdollisuus myös henkilökohtaiseen tapaamiseen edunvalvojansa kanssa. Tämä on tärkeää myös holhoustoimilain mukaisen yhteistoimintavelvollisuuden kannalta.</w:t>
      </w:r>
    </w:p>
    <w:p w:rsidR="00C7740B" w:rsidRDefault="00C7740B" w:rsidP="005E6CEF">
      <w:pPr>
        <w:jc w:val="both"/>
      </w:pPr>
    </w:p>
    <w:p w:rsidR="0072477A" w:rsidRDefault="0072477A" w:rsidP="005E6CEF">
      <w:pPr>
        <w:jc w:val="both"/>
        <w:rPr>
          <w:i/>
          <w:sz w:val="24"/>
          <w:szCs w:val="24"/>
        </w:rPr>
      </w:pPr>
      <w:r>
        <w:tab/>
      </w:r>
      <w:r w:rsidRPr="0072477A">
        <w:rPr>
          <w:i/>
          <w:sz w:val="24"/>
          <w:szCs w:val="24"/>
        </w:rPr>
        <w:t>Alueelliset toimivaltarajat</w:t>
      </w:r>
    </w:p>
    <w:p w:rsidR="0072477A" w:rsidRDefault="0072477A" w:rsidP="005E6CEF">
      <w:pPr>
        <w:jc w:val="both"/>
        <w:rPr>
          <w:sz w:val="24"/>
          <w:szCs w:val="24"/>
        </w:rPr>
      </w:pPr>
      <w:r>
        <w:rPr>
          <w:i/>
          <w:sz w:val="24"/>
          <w:szCs w:val="24"/>
        </w:rPr>
        <w:tab/>
      </w:r>
    </w:p>
    <w:p w:rsidR="00C9668D" w:rsidRDefault="00C9668D" w:rsidP="005E6CEF">
      <w:pPr>
        <w:ind w:left="1304"/>
        <w:jc w:val="both"/>
        <w:rPr>
          <w:sz w:val="24"/>
          <w:szCs w:val="24"/>
        </w:rPr>
      </w:pPr>
      <w:r>
        <w:rPr>
          <w:sz w:val="24"/>
          <w:szCs w:val="24"/>
        </w:rPr>
        <w:t xml:space="preserve">Asetusluonnoksen 2 §:ssä säädetään oikeusapu- ja edunvalvontatoimistojen toimipaikoista. Säännöksen 2 momentin mukaan asiakkaita voidaan kuitenkin ottaa vastaan myös muualla kuin mainituissa toimipaikoissa. Tämä on tärkeää erityisesti niissä edunvalvontapiireissä, joissa asiakkaiden etäisyys varsinaiseen toimipaikkaan voi olla pitkä. Lisäksi on huomioitava ne asiakkaat, jotka eivät pääse itse tulemaan toimipaikkaan tai edes vaikkapa yhteispalvelupisteeseen. Muistiossa onkin tuotu esille mahdollisuus ottaa vastaan asiakkaita laitoksissa ja videon välityksellä. Videon </w:t>
      </w:r>
      <w:r>
        <w:rPr>
          <w:sz w:val="24"/>
          <w:szCs w:val="24"/>
        </w:rPr>
        <w:lastRenderedPageBreak/>
        <w:t>välityksellä toimittaessa on huolehdittava laitteiston ja yhteyksien riittävästä laadusta ja suojauksesta.</w:t>
      </w:r>
    </w:p>
    <w:p w:rsidR="00C9668D" w:rsidRDefault="00C9668D" w:rsidP="005E6CEF">
      <w:pPr>
        <w:ind w:left="1304"/>
        <w:jc w:val="both"/>
        <w:rPr>
          <w:sz w:val="24"/>
          <w:szCs w:val="24"/>
        </w:rPr>
      </w:pPr>
    </w:p>
    <w:p w:rsidR="004C4307" w:rsidRDefault="004C4307" w:rsidP="005E6CEF">
      <w:pPr>
        <w:ind w:left="1304"/>
        <w:jc w:val="both"/>
        <w:rPr>
          <w:sz w:val="24"/>
          <w:szCs w:val="24"/>
        </w:rPr>
      </w:pPr>
      <w:r>
        <w:rPr>
          <w:sz w:val="24"/>
          <w:szCs w:val="24"/>
        </w:rPr>
        <w:t>Alueellisen toimivallan perusta on asetusluonnoksen ja muistioluonnoksen mukaan oikeusapu- ja edunvalvontapiireissä. Muistiossa kuitenkin todetaan, että oikeusaputoimistot voivat antaa oikeusapua riippumatta siitä, minkä kunnan asukas henkilö on. Eli oikeusavustajien toimivalta on ilmeisesti tarkoitus rajoittaa oikeusapupiirin sisään, mutta ei kuntakohtaisesti. Edunvalvojien kohdalla tästä ei ole mainintaa. Edunvalvojien kohdalla on huomioitava luonnollisesti se, ettei välimatka päämiehen ja edunvalvojan välillä yleisessäkään edunvalvonnassa muodostu tosiasialliseksi esteeksi päämiehen ja edunvalvojan väliselle</w:t>
      </w:r>
      <w:r w:rsidR="005E6CEF">
        <w:rPr>
          <w:sz w:val="24"/>
          <w:szCs w:val="24"/>
        </w:rPr>
        <w:t xml:space="preserve"> holhoustoimilain 43 §:ssä säännellylle</w:t>
      </w:r>
      <w:r>
        <w:rPr>
          <w:sz w:val="24"/>
          <w:szCs w:val="24"/>
        </w:rPr>
        <w:t xml:space="preserve"> yhteistoiminnalle. Edunvalvonta on holhoustoimilain mukaisesti tarkoitettu henkilökohtaiseksi ja yksilölliseksi tavaksi järjestää henkilön asioiden hoito tilanteissa, joissa hän ei siihen itse syystä tai toisesta kykene. Tämä tulee huomioida myös yleisessä edunvalvonnassa ja sen toiminnan organisoimisessa. </w:t>
      </w:r>
    </w:p>
    <w:p w:rsidR="004C4307" w:rsidRDefault="004C4307" w:rsidP="005E6CEF">
      <w:pPr>
        <w:ind w:left="1304"/>
        <w:jc w:val="both"/>
        <w:rPr>
          <w:sz w:val="24"/>
          <w:szCs w:val="24"/>
        </w:rPr>
      </w:pPr>
    </w:p>
    <w:p w:rsidR="004C4307" w:rsidRDefault="004C4307" w:rsidP="005E6CEF">
      <w:pPr>
        <w:ind w:left="1304"/>
        <w:jc w:val="both"/>
        <w:rPr>
          <w:sz w:val="24"/>
          <w:szCs w:val="24"/>
        </w:rPr>
      </w:pPr>
      <w:r>
        <w:rPr>
          <w:sz w:val="24"/>
          <w:szCs w:val="24"/>
        </w:rPr>
        <w:t>Tämä tarkoittaa myös varautumista erityisesti pienillä paikkakunnilla tavallisiin esteellisyystilanteisiin. Edunvalvonta pitäisi näissäkin tilanteissa pyrkiä järjestämään niin, että esteetön edunvalvoja löytyy mahdollisimman läheltä päämiestä.</w:t>
      </w:r>
    </w:p>
    <w:p w:rsidR="004C4307" w:rsidRDefault="004C4307" w:rsidP="005E6CEF">
      <w:pPr>
        <w:jc w:val="both"/>
        <w:rPr>
          <w:sz w:val="24"/>
          <w:szCs w:val="24"/>
        </w:rPr>
      </w:pPr>
    </w:p>
    <w:p w:rsidR="004C4307" w:rsidRDefault="004C4307" w:rsidP="005E6CEF">
      <w:pPr>
        <w:jc w:val="both"/>
        <w:rPr>
          <w:i/>
          <w:sz w:val="24"/>
          <w:szCs w:val="24"/>
        </w:rPr>
      </w:pPr>
      <w:r>
        <w:rPr>
          <w:i/>
          <w:sz w:val="24"/>
          <w:szCs w:val="24"/>
        </w:rPr>
        <w:t>Uudistuksen vaikutukset päämiehiin</w:t>
      </w:r>
    </w:p>
    <w:p w:rsidR="004C4307" w:rsidRDefault="004C4307" w:rsidP="005E6CEF">
      <w:pPr>
        <w:jc w:val="both"/>
        <w:rPr>
          <w:sz w:val="24"/>
          <w:szCs w:val="24"/>
        </w:rPr>
      </w:pPr>
      <w:r>
        <w:rPr>
          <w:sz w:val="24"/>
          <w:szCs w:val="24"/>
        </w:rPr>
        <w:tab/>
      </w:r>
    </w:p>
    <w:p w:rsidR="004C4307" w:rsidRDefault="004C4307" w:rsidP="005E6CEF">
      <w:pPr>
        <w:ind w:left="1304"/>
        <w:jc w:val="both"/>
        <w:rPr>
          <w:sz w:val="24"/>
          <w:szCs w:val="24"/>
        </w:rPr>
      </w:pPr>
      <w:r>
        <w:rPr>
          <w:sz w:val="24"/>
          <w:szCs w:val="24"/>
        </w:rPr>
        <w:t xml:space="preserve">Muistioluonnoksesta ei käy millään tavalla ilmi, onko asetusluonnoksen vaikutuksia analysoitu päämiesten kannalta. </w:t>
      </w:r>
      <w:r w:rsidR="001D3C45">
        <w:rPr>
          <w:sz w:val="24"/>
          <w:szCs w:val="24"/>
        </w:rPr>
        <w:t xml:space="preserve">Nykyinen Helsingin oikeusapupiiri on tuonut muistiossa esille juuri päämiesten näkökulmasta sen, ettei työmäärien siirtäminen piiriltä toiselle ole yksinkertainen asia. Mikäli asetusluonnoksella on tällaisia vaikutuksia, ne tulisi analysoida ja tuoda avoimesti esille. Edunvalvonnassa on tapahtunut lukuisia lainsäädäntöuudistuksia koskien siihen liittyviä organisaatioita ja käytännössä päämiesten asemaan kohdistuvat vaikutukset ovat jääneet hyvin vähälle huomiolle tai niitä ei ole analysoitu ollenkaan. </w:t>
      </w:r>
    </w:p>
    <w:p w:rsidR="001D3C45" w:rsidRDefault="001D3C45" w:rsidP="005E6CEF">
      <w:pPr>
        <w:ind w:left="1304"/>
        <w:jc w:val="both"/>
        <w:rPr>
          <w:sz w:val="24"/>
          <w:szCs w:val="24"/>
        </w:rPr>
      </w:pPr>
    </w:p>
    <w:p w:rsidR="001D3C45" w:rsidRDefault="001D3C45" w:rsidP="005E6CEF">
      <w:pPr>
        <w:ind w:left="1304"/>
        <w:jc w:val="both"/>
        <w:rPr>
          <w:sz w:val="24"/>
          <w:szCs w:val="24"/>
        </w:rPr>
      </w:pPr>
      <w:r>
        <w:rPr>
          <w:sz w:val="24"/>
          <w:szCs w:val="24"/>
        </w:rPr>
        <w:t xml:space="preserve">Edunvalvontajärjestelmä rakentuu kuitenkin hyvin vahvasti niin lainsäädännön kuin muidenkin oikeuslähteiden tukemana päämiehen edun periaatteelle. Näin ollen myös jokainen organisaatiouudistus tulisi analysoida tästä näkökulmasta. Ja vaikka todettaisiin, ettei vaikutuksia päämiehiin ole, pitäisi tuoda avoimesti esille se, millä perusteella. Maistraattien tehtävänä on valvoa päämiesten edun toteutumista edunvalvojiin kohdistuvan valvonnan kautta ja siten organisaatiouudistusten vaikutukset voivat tulla esiin myös maistraateissa esimerkiksi tyytymättömien päämiesten lisääntyvinä yhteydenottoina. </w:t>
      </w:r>
    </w:p>
    <w:p w:rsidR="00192B18" w:rsidRDefault="00192B18" w:rsidP="005E6CEF">
      <w:pPr>
        <w:ind w:left="1304"/>
        <w:jc w:val="both"/>
        <w:rPr>
          <w:sz w:val="24"/>
          <w:szCs w:val="24"/>
        </w:rPr>
      </w:pPr>
    </w:p>
    <w:p w:rsidR="00192B18" w:rsidRDefault="00192B18" w:rsidP="005E6CEF">
      <w:pPr>
        <w:ind w:left="1304"/>
        <w:jc w:val="both"/>
        <w:rPr>
          <w:sz w:val="24"/>
          <w:szCs w:val="24"/>
        </w:rPr>
      </w:pPr>
      <w:r>
        <w:rPr>
          <w:sz w:val="24"/>
          <w:szCs w:val="24"/>
        </w:rPr>
        <w:t xml:space="preserve">Tiivistäen voidaankin todeta, että aina, kun edunvalvontajärjestelmässä tehdään muutoksia, nämä muutosten arvioinnin lähtökohtana tulee aina olla päämies, hänen </w:t>
      </w:r>
      <w:r>
        <w:rPr>
          <w:sz w:val="24"/>
          <w:szCs w:val="24"/>
        </w:rPr>
        <w:lastRenderedPageBreak/>
        <w:t xml:space="preserve">etunsa ja oikeutensa. Jos asetusluonnoksella on vaikutuksia päämiehiin esimerkiksi niin, että heidän edunvalvojansa saattaa vaihtua, nämä tulee tuoda selkeästi esille sekä analysoida, miten päämiesten oikeuksista huolehditaan. </w:t>
      </w:r>
      <w:r w:rsidR="005E6CEF">
        <w:rPr>
          <w:sz w:val="24"/>
          <w:szCs w:val="24"/>
        </w:rPr>
        <w:t xml:space="preserve">Eduskunnan oikeusasiamies on myös todennut ratkaisuissaan 2.11.2012 </w:t>
      </w:r>
      <w:proofErr w:type="spellStart"/>
      <w:r w:rsidR="005E6CEF">
        <w:rPr>
          <w:sz w:val="24"/>
          <w:szCs w:val="24"/>
        </w:rPr>
        <w:t>dnro</w:t>
      </w:r>
      <w:proofErr w:type="spellEnd"/>
      <w:r w:rsidR="005E6CEF">
        <w:rPr>
          <w:sz w:val="24"/>
          <w:szCs w:val="24"/>
        </w:rPr>
        <w:t xml:space="preserve"> </w:t>
      </w:r>
      <w:r w:rsidR="005E6CEF" w:rsidRPr="005E6CEF">
        <w:rPr>
          <w:sz w:val="24"/>
          <w:szCs w:val="24"/>
        </w:rPr>
        <w:t>4386/4/11 ja 2052/4/12</w:t>
      </w:r>
      <w:r w:rsidR="005E6CEF">
        <w:rPr>
          <w:sz w:val="24"/>
          <w:szCs w:val="24"/>
        </w:rPr>
        <w:t xml:space="preserve"> hyvään edunvalvontatapaan kuuluvan, että päämiehille ilmoitetaan yleisessä edunvalvonnassa tapahtuvasta henkilövaihdoksesta, jotta päämies tietää asioitaan hoitavan henkilön. Tämä on oikeusasiamiehen mukaan myös osa holhoustoimilain 43 §:n mukaisen yhteistoimintavelvollisuuden toteuttamista.</w:t>
      </w:r>
    </w:p>
    <w:p w:rsidR="005E6CEF" w:rsidRDefault="005E6CEF" w:rsidP="005E6CEF">
      <w:pPr>
        <w:ind w:left="1304"/>
        <w:jc w:val="both"/>
        <w:rPr>
          <w:sz w:val="24"/>
          <w:szCs w:val="24"/>
        </w:rPr>
      </w:pPr>
    </w:p>
    <w:p w:rsidR="005E6CEF" w:rsidRDefault="005E6CEF" w:rsidP="005E6CEF">
      <w:pPr>
        <w:ind w:left="1304"/>
        <w:jc w:val="both"/>
        <w:rPr>
          <w:sz w:val="24"/>
          <w:szCs w:val="24"/>
        </w:rPr>
      </w:pPr>
    </w:p>
    <w:p w:rsidR="005E6CEF" w:rsidRDefault="005E6CEF" w:rsidP="005E6CEF">
      <w:pPr>
        <w:ind w:left="1304"/>
        <w:jc w:val="both"/>
        <w:rPr>
          <w:sz w:val="24"/>
          <w:szCs w:val="24"/>
        </w:rPr>
      </w:pPr>
      <w:r>
        <w:rPr>
          <w:sz w:val="24"/>
          <w:szCs w:val="24"/>
        </w:rPr>
        <w:t>Ystävällisesti</w:t>
      </w:r>
    </w:p>
    <w:p w:rsidR="005E6CEF" w:rsidRDefault="005E6CEF" w:rsidP="005E6CEF">
      <w:pPr>
        <w:ind w:left="1304"/>
        <w:jc w:val="both"/>
        <w:rPr>
          <w:sz w:val="24"/>
          <w:szCs w:val="24"/>
        </w:rPr>
      </w:pPr>
    </w:p>
    <w:p w:rsidR="005E6CEF" w:rsidRDefault="00437BF8" w:rsidP="005E6CEF">
      <w:pPr>
        <w:ind w:left="1304"/>
        <w:jc w:val="both"/>
        <w:rPr>
          <w:sz w:val="24"/>
          <w:szCs w:val="24"/>
        </w:rPr>
      </w:pPr>
      <w:r>
        <w:rPr>
          <w:sz w:val="24"/>
          <w:szCs w:val="24"/>
        </w:rPr>
        <w:t>Armi Kuivinen</w:t>
      </w:r>
    </w:p>
    <w:p w:rsidR="00437BF8" w:rsidRDefault="00437BF8" w:rsidP="005E6CEF">
      <w:pPr>
        <w:ind w:left="1304"/>
        <w:jc w:val="both"/>
        <w:rPr>
          <w:sz w:val="24"/>
          <w:szCs w:val="24"/>
        </w:rPr>
      </w:pPr>
      <w:r>
        <w:rPr>
          <w:sz w:val="24"/>
          <w:szCs w:val="24"/>
        </w:rPr>
        <w:t>Vastuualueen päällikkö</w:t>
      </w:r>
    </w:p>
    <w:p w:rsidR="00437BF8" w:rsidRPr="004C4307" w:rsidRDefault="00437BF8" w:rsidP="005E6CEF">
      <w:pPr>
        <w:ind w:left="1304"/>
        <w:jc w:val="both"/>
        <w:rPr>
          <w:sz w:val="24"/>
          <w:szCs w:val="24"/>
        </w:rPr>
      </w:pPr>
      <w:r>
        <w:rPr>
          <w:sz w:val="24"/>
          <w:szCs w:val="24"/>
        </w:rPr>
        <w:t>Henkikirjoittaja</w:t>
      </w:r>
    </w:p>
    <w:p w:rsidR="004C4307" w:rsidRPr="004C4307" w:rsidRDefault="004C4307" w:rsidP="005E6CEF">
      <w:pPr>
        <w:jc w:val="both"/>
        <w:rPr>
          <w:i/>
          <w:sz w:val="24"/>
          <w:szCs w:val="24"/>
        </w:rPr>
      </w:pPr>
    </w:p>
    <w:p w:rsidR="0072477A" w:rsidRDefault="0072477A" w:rsidP="005E6CEF">
      <w:pPr>
        <w:jc w:val="both"/>
      </w:pPr>
      <w:r>
        <w:rPr>
          <w:i/>
        </w:rPr>
        <w:tab/>
      </w:r>
    </w:p>
    <w:p w:rsidR="0072477A" w:rsidRPr="0072477A" w:rsidRDefault="0072477A" w:rsidP="005E6CEF">
      <w:pPr>
        <w:jc w:val="both"/>
      </w:pPr>
      <w:r>
        <w:tab/>
      </w:r>
    </w:p>
    <w:p w:rsidR="00C7740B" w:rsidRPr="0072477A" w:rsidRDefault="0072477A" w:rsidP="005E6CEF">
      <w:pPr>
        <w:jc w:val="both"/>
        <w:rPr>
          <w:i/>
        </w:rPr>
      </w:pPr>
      <w:r>
        <w:tab/>
      </w:r>
    </w:p>
    <w:p w:rsidR="00C7740B" w:rsidRPr="00C7740B" w:rsidRDefault="00C7740B" w:rsidP="005E6CEF">
      <w:pPr>
        <w:jc w:val="both"/>
      </w:pPr>
    </w:p>
    <w:p w:rsidR="00C7740B" w:rsidRPr="00C7740B" w:rsidRDefault="00C7740B" w:rsidP="005E6CEF">
      <w:pPr>
        <w:ind w:right="-289"/>
        <w:jc w:val="both"/>
        <w:rPr>
          <w:rFonts w:asciiTheme="minorHAnsi" w:hAnsiTheme="minorHAnsi" w:cs="Arial"/>
          <w:color w:val="000000"/>
          <w:spacing w:val="-1"/>
        </w:rPr>
      </w:pPr>
    </w:p>
    <w:p w:rsidR="00C7740B" w:rsidRPr="00C7740B" w:rsidRDefault="00C7740B" w:rsidP="005E6CEF">
      <w:pPr>
        <w:ind w:right="-289"/>
        <w:jc w:val="both"/>
        <w:rPr>
          <w:rFonts w:asciiTheme="minorHAnsi" w:hAnsiTheme="minorHAnsi" w:cs="Arial"/>
          <w:color w:val="000000"/>
          <w:spacing w:val="-1"/>
        </w:rPr>
      </w:pPr>
    </w:p>
    <w:p w:rsidR="00C7740B" w:rsidRPr="00C7740B" w:rsidRDefault="00C7740B" w:rsidP="005E6CEF">
      <w:pPr>
        <w:ind w:right="-289"/>
        <w:jc w:val="both"/>
        <w:rPr>
          <w:rFonts w:asciiTheme="minorHAnsi" w:hAnsiTheme="minorHAnsi" w:cs="Arial"/>
          <w:color w:val="000000"/>
          <w:spacing w:val="-1"/>
        </w:rPr>
      </w:pPr>
      <w:r w:rsidRPr="00C7740B">
        <w:rPr>
          <w:rFonts w:asciiTheme="minorHAnsi" w:hAnsiTheme="minorHAnsi" w:cs="Arial"/>
          <w:color w:val="000000"/>
          <w:spacing w:val="-1"/>
        </w:rPr>
        <w:tab/>
      </w:r>
    </w:p>
    <w:p w:rsidR="00C7740B" w:rsidRPr="00C7740B" w:rsidRDefault="00C7740B" w:rsidP="00C7740B">
      <w:pPr>
        <w:rPr>
          <w:color w:val="1F497D"/>
        </w:rPr>
      </w:pPr>
    </w:p>
    <w:p w:rsidR="00C7740B" w:rsidRPr="00C7740B" w:rsidRDefault="00C7740B" w:rsidP="00C7740B">
      <w:pPr>
        <w:rPr>
          <w:color w:val="1F497D"/>
        </w:rPr>
      </w:pPr>
    </w:p>
    <w:p w:rsidR="00EF4D30" w:rsidRDefault="00CC4530" w:rsidP="00482590">
      <w:pPr>
        <w:spacing w:before="240"/>
      </w:pPr>
    </w:p>
    <w:sectPr w:rsidR="00EF4D30">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40B" w:rsidRDefault="00C7740B" w:rsidP="00C7740B">
      <w:r>
        <w:separator/>
      </w:r>
    </w:p>
  </w:endnote>
  <w:endnote w:type="continuationSeparator" w:id="0">
    <w:p w:rsidR="00C7740B" w:rsidRDefault="00C7740B" w:rsidP="00C7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dobe Caslon Pro">
    <w:altName w:val="Georgia"/>
    <w:charset w:val="00"/>
    <w:family w:val="auto"/>
    <w:pitch w:val="variable"/>
    <w:sig w:usb0="00000001" w:usb1="00000001"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0B" w:rsidRPr="00437BF8" w:rsidRDefault="00C7740B" w:rsidP="00437BF8">
    <w:pPr>
      <w:pBdr>
        <w:top w:val="single" w:sz="4" w:space="1" w:color="auto"/>
      </w:pBdr>
      <w:tabs>
        <w:tab w:val="right" w:pos="9638"/>
      </w:tabs>
      <w:spacing w:before="115" w:line="276" w:lineRule="auto"/>
      <w:jc w:val="center"/>
      <w:rPr>
        <w:rFonts w:ascii="Adobe Caslon Pro" w:hAnsi="Adobe Caslon Pro"/>
        <w:b/>
        <w:i/>
        <w:color w:val="943634"/>
        <w:kern w:val="2"/>
        <w:position w:val="-34"/>
        <w:sz w:val="16"/>
        <w:szCs w:val="16"/>
      </w:rPr>
    </w:pPr>
  </w:p>
  <w:p w:rsidR="00C7740B" w:rsidRPr="00437BF8" w:rsidRDefault="00C7740B">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40B" w:rsidRDefault="00C7740B" w:rsidP="00C7740B">
      <w:r>
        <w:separator/>
      </w:r>
    </w:p>
  </w:footnote>
  <w:footnote w:type="continuationSeparator" w:id="0">
    <w:p w:rsidR="00C7740B" w:rsidRDefault="00C7740B" w:rsidP="00C774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40B" w:rsidRDefault="00C7740B" w:rsidP="00C7740B">
    <w:pPr>
      <w:rPr>
        <w:rFonts w:ascii="Arial" w:hAnsi="Arial"/>
        <w:kern w:val="22"/>
        <w:position w:val="2"/>
      </w:rPr>
    </w:pPr>
    <w:r>
      <w:rPr>
        <w:noProof/>
        <w:lang w:eastAsia="fi-FI"/>
      </w:rPr>
      <w:drawing>
        <wp:inline distT="0" distB="0" distL="0" distR="0" wp14:anchorId="3E3D7542" wp14:editId="56C82D35">
          <wp:extent cx="2157095" cy="722630"/>
          <wp:effectExtent l="19050" t="0" r="0" b="0"/>
          <wp:docPr id="1" name="Kuva 1" descr="LÄNSI-SUOMEN_PUNAINEN-MUS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SI-SUOMEN_PUNAINEN-MUSTA"/>
                  <pic:cNvPicPr>
                    <a:picLocks noChangeAspect="1" noChangeArrowheads="1"/>
                  </pic:cNvPicPr>
                </pic:nvPicPr>
                <pic:blipFill>
                  <a:blip r:embed="rId1"/>
                  <a:srcRect/>
                  <a:stretch>
                    <a:fillRect/>
                  </a:stretch>
                </pic:blipFill>
                <pic:spPr bwMode="auto">
                  <a:xfrm>
                    <a:off x="0" y="0"/>
                    <a:ext cx="2157095" cy="722630"/>
                  </a:xfrm>
                  <a:prstGeom prst="rect">
                    <a:avLst/>
                  </a:prstGeom>
                  <a:noFill/>
                  <a:ln w="9525">
                    <a:noFill/>
                    <a:miter lim="800000"/>
                    <a:headEnd/>
                    <a:tailEnd/>
                  </a:ln>
                </pic:spPr>
              </pic:pic>
            </a:graphicData>
          </a:graphic>
        </wp:inline>
      </w:drawing>
    </w:r>
    <w:r>
      <w:tab/>
    </w:r>
    <w:r w:rsidR="0035032E">
      <w:t>2.6.2016</w:t>
    </w:r>
    <w:r>
      <w:tab/>
    </w:r>
    <w:r>
      <w:tab/>
    </w:r>
    <w:r>
      <w:tab/>
    </w:r>
    <w:r w:rsidR="0035032E">
      <w:t>Lausunto</w:t>
    </w:r>
    <w:r>
      <w:rPr>
        <w:rFonts w:ascii="Arial" w:hAnsi="Arial"/>
        <w:kern w:val="22"/>
        <w:position w:val="2"/>
      </w:rPr>
      <w:tab/>
    </w:r>
    <w:r>
      <w:rPr>
        <w:rFonts w:ascii="Arial" w:hAnsi="Arial"/>
        <w:kern w:val="22"/>
        <w:position w:val="2"/>
      </w:rPr>
      <w:tab/>
    </w:r>
  </w:p>
  <w:p w:rsidR="00C7740B" w:rsidRPr="00C7740B" w:rsidRDefault="00C7740B" w:rsidP="0035032E">
    <w:pPr>
      <w:ind w:left="6520" w:firstLine="1304"/>
    </w:pPr>
    <w:proofErr w:type="gramStart"/>
    <w:r w:rsidRPr="00C7740B">
      <w:t>794-2016</w:t>
    </w:r>
    <w:proofErr w:type="gramEnd"/>
    <w:r w:rsidRPr="00C7740B">
      <w:t>-14/Ma-1</w:t>
    </w:r>
  </w:p>
  <w:p w:rsidR="00C7740B" w:rsidRDefault="00C7740B" w:rsidP="00C7740B">
    <w:pPr>
      <w:pStyle w:val="Yltunniste"/>
      <w:pBdr>
        <w:bottom w:val="single" w:sz="4" w:space="1" w:color="auto"/>
      </w:pBdr>
      <w:tabs>
        <w:tab w:val="left" w:pos="4536"/>
      </w:tabs>
      <w:jc w:val="both"/>
      <w:rPr>
        <w:rFonts w:ascii="Arial" w:hAnsi="Arial"/>
        <w:kern w:val="22"/>
        <w:position w:val="2"/>
      </w:rPr>
    </w:pPr>
  </w:p>
  <w:p w:rsidR="00C7740B" w:rsidRDefault="00C7740B">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7560E"/>
    <w:multiLevelType w:val="hybridMultilevel"/>
    <w:tmpl w:val="581A60A6"/>
    <w:lvl w:ilvl="0" w:tplc="6E2642C2">
      <w:numFmt w:val="bullet"/>
      <w:lvlText w:val="-"/>
      <w:lvlJc w:val="left"/>
      <w:pPr>
        <w:ind w:left="720" w:hanging="360"/>
      </w:pPr>
      <w:rPr>
        <w:rFonts w:ascii="Calibri" w:eastAsia="SimSun"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590"/>
    <w:rsid w:val="00192B18"/>
    <w:rsid w:val="00195196"/>
    <w:rsid w:val="001D3C45"/>
    <w:rsid w:val="0021064F"/>
    <w:rsid w:val="0035032E"/>
    <w:rsid w:val="00437BF8"/>
    <w:rsid w:val="00482590"/>
    <w:rsid w:val="004C4307"/>
    <w:rsid w:val="005E6CEF"/>
    <w:rsid w:val="0072477A"/>
    <w:rsid w:val="007774F3"/>
    <w:rsid w:val="008D6889"/>
    <w:rsid w:val="00A52598"/>
    <w:rsid w:val="00C7740B"/>
    <w:rsid w:val="00C9668D"/>
    <w:rsid w:val="00CC45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7740B"/>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40B"/>
    <w:pPr>
      <w:widowControl w:val="0"/>
      <w:suppressAutoHyphens/>
      <w:ind w:left="720"/>
      <w:contextualSpacing/>
    </w:pPr>
    <w:rPr>
      <w:rFonts w:ascii="Times New Roman" w:eastAsia="SimSun" w:hAnsi="Times New Roman" w:cs="Mangal"/>
      <w:kern w:val="1"/>
      <w:sz w:val="24"/>
      <w:szCs w:val="21"/>
      <w:lang w:eastAsia="hi-IN" w:bidi="hi-IN"/>
    </w:rPr>
  </w:style>
  <w:style w:type="paragraph" w:styleId="Yltunniste">
    <w:name w:val="header"/>
    <w:basedOn w:val="Normaali"/>
    <w:link w:val="YltunnisteChar"/>
    <w:uiPriority w:val="99"/>
    <w:unhideWhenUsed/>
    <w:rsid w:val="00C7740B"/>
    <w:pPr>
      <w:tabs>
        <w:tab w:val="center" w:pos="4819"/>
        <w:tab w:val="right" w:pos="9638"/>
      </w:tabs>
    </w:pPr>
  </w:style>
  <w:style w:type="character" w:customStyle="1" w:styleId="YltunnisteChar">
    <w:name w:val="Ylätunniste Char"/>
    <w:basedOn w:val="Kappaleenoletusfontti"/>
    <w:link w:val="Yltunniste"/>
    <w:uiPriority w:val="99"/>
    <w:rsid w:val="00C7740B"/>
    <w:rPr>
      <w:rFonts w:ascii="Calibri" w:hAnsi="Calibri" w:cs="Times New Roman"/>
    </w:rPr>
  </w:style>
  <w:style w:type="paragraph" w:styleId="Alatunniste">
    <w:name w:val="footer"/>
    <w:basedOn w:val="Normaali"/>
    <w:link w:val="AlatunnisteChar"/>
    <w:uiPriority w:val="99"/>
    <w:unhideWhenUsed/>
    <w:rsid w:val="00C7740B"/>
    <w:pPr>
      <w:tabs>
        <w:tab w:val="center" w:pos="4819"/>
        <w:tab w:val="right" w:pos="9638"/>
      </w:tabs>
    </w:pPr>
  </w:style>
  <w:style w:type="character" w:customStyle="1" w:styleId="AlatunnisteChar">
    <w:name w:val="Alatunniste Char"/>
    <w:basedOn w:val="Kappaleenoletusfontti"/>
    <w:link w:val="Alatunniste"/>
    <w:uiPriority w:val="99"/>
    <w:rsid w:val="00C7740B"/>
    <w:rPr>
      <w:rFonts w:ascii="Calibri" w:hAnsi="Calibri" w:cs="Times New Roman"/>
    </w:rPr>
  </w:style>
  <w:style w:type="character" w:styleId="Hyperlinkki">
    <w:name w:val="Hyperlink"/>
    <w:rsid w:val="00C7740B"/>
    <w:rPr>
      <w:color w:val="000080"/>
      <w:u w:val="single"/>
    </w:rPr>
  </w:style>
  <w:style w:type="paragraph" w:styleId="Seliteteksti">
    <w:name w:val="Balloon Text"/>
    <w:basedOn w:val="Normaali"/>
    <w:link w:val="SelitetekstiChar"/>
    <w:uiPriority w:val="99"/>
    <w:semiHidden/>
    <w:unhideWhenUsed/>
    <w:rsid w:val="00CC4530"/>
    <w:rPr>
      <w:rFonts w:ascii="Tahoma" w:hAnsi="Tahoma" w:cs="Tahoma"/>
      <w:sz w:val="16"/>
      <w:szCs w:val="16"/>
    </w:rPr>
  </w:style>
  <w:style w:type="character" w:customStyle="1" w:styleId="SelitetekstiChar">
    <w:name w:val="Seliteteksti Char"/>
    <w:basedOn w:val="Kappaleenoletusfontti"/>
    <w:link w:val="Seliteteksti"/>
    <w:uiPriority w:val="99"/>
    <w:semiHidden/>
    <w:rsid w:val="00CC45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7740B"/>
    <w:pPr>
      <w:spacing w:after="0" w:line="240" w:lineRule="auto"/>
    </w:pPr>
    <w:rPr>
      <w:rFonts w:ascii="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740B"/>
    <w:pPr>
      <w:widowControl w:val="0"/>
      <w:suppressAutoHyphens/>
      <w:ind w:left="720"/>
      <w:contextualSpacing/>
    </w:pPr>
    <w:rPr>
      <w:rFonts w:ascii="Times New Roman" w:eastAsia="SimSun" w:hAnsi="Times New Roman" w:cs="Mangal"/>
      <w:kern w:val="1"/>
      <w:sz w:val="24"/>
      <w:szCs w:val="21"/>
      <w:lang w:eastAsia="hi-IN" w:bidi="hi-IN"/>
    </w:rPr>
  </w:style>
  <w:style w:type="paragraph" w:styleId="Yltunniste">
    <w:name w:val="header"/>
    <w:basedOn w:val="Normaali"/>
    <w:link w:val="YltunnisteChar"/>
    <w:uiPriority w:val="99"/>
    <w:unhideWhenUsed/>
    <w:rsid w:val="00C7740B"/>
    <w:pPr>
      <w:tabs>
        <w:tab w:val="center" w:pos="4819"/>
        <w:tab w:val="right" w:pos="9638"/>
      </w:tabs>
    </w:pPr>
  </w:style>
  <w:style w:type="character" w:customStyle="1" w:styleId="YltunnisteChar">
    <w:name w:val="Ylätunniste Char"/>
    <w:basedOn w:val="Kappaleenoletusfontti"/>
    <w:link w:val="Yltunniste"/>
    <w:uiPriority w:val="99"/>
    <w:rsid w:val="00C7740B"/>
    <w:rPr>
      <w:rFonts w:ascii="Calibri" w:hAnsi="Calibri" w:cs="Times New Roman"/>
    </w:rPr>
  </w:style>
  <w:style w:type="paragraph" w:styleId="Alatunniste">
    <w:name w:val="footer"/>
    <w:basedOn w:val="Normaali"/>
    <w:link w:val="AlatunnisteChar"/>
    <w:uiPriority w:val="99"/>
    <w:unhideWhenUsed/>
    <w:rsid w:val="00C7740B"/>
    <w:pPr>
      <w:tabs>
        <w:tab w:val="center" w:pos="4819"/>
        <w:tab w:val="right" w:pos="9638"/>
      </w:tabs>
    </w:pPr>
  </w:style>
  <w:style w:type="character" w:customStyle="1" w:styleId="AlatunnisteChar">
    <w:name w:val="Alatunniste Char"/>
    <w:basedOn w:val="Kappaleenoletusfontti"/>
    <w:link w:val="Alatunniste"/>
    <w:uiPriority w:val="99"/>
    <w:rsid w:val="00C7740B"/>
    <w:rPr>
      <w:rFonts w:ascii="Calibri" w:hAnsi="Calibri" w:cs="Times New Roman"/>
    </w:rPr>
  </w:style>
  <w:style w:type="character" w:styleId="Hyperlinkki">
    <w:name w:val="Hyperlink"/>
    <w:rsid w:val="00C7740B"/>
    <w:rPr>
      <w:color w:val="000080"/>
      <w:u w:val="single"/>
    </w:rPr>
  </w:style>
  <w:style w:type="paragraph" w:styleId="Seliteteksti">
    <w:name w:val="Balloon Text"/>
    <w:basedOn w:val="Normaali"/>
    <w:link w:val="SelitetekstiChar"/>
    <w:uiPriority w:val="99"/>
    <w:semiHidden/>
    <w:unhideWhenUsed/>
    <w:rsid w:val="00CC4530"/>
    <w:rPr>
      <w:rFonts w:ascii="Tahoma" w:hAnsi="Tahoma" w:cs="Tahoma"/>
      <w:sz w:val="16"/>
      <w:szCs w:val="16"/>
    </w:rPr>
  </w:style>
  <w:style w:type="character" w:customStyle="1" w:styleId="SelitetekstiChar">
    <w:name w:val="Seliteteksti Char"/>
    <w:basedOn w:val="Kappaleenoletusfontti"/>
    <w:link w:val="Seliteteksti"/>
    <w:uiPriority w:val="99"/>
    <w:semiHidden/>
    <w:rsid w:val="00CC45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9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569</Words>
  <Characters>4617</Characters>
  <Application>Microsoft Office Word</Application>
  <DocSecurity>4</DocSecurity>
  <Lines>38</Lines>
  <Paragraphs>10</Paragraphs>
  <ScaleCrop>false</ScaleCrop>
  <HeadingPairs>
    <vt:vector size="2" baseType="variant">
      <vt:variant>
        <vt:lpstr>Otsikko</vt:lpstr>
      </vt:variant>
      <vt:variant>
        <vt:i4>1</vt:i4>
      </vt:variant>
    </vt:vector>
  </HeadingPairs>
  <TitlesOfParts>
    <vt:vector size="1" baseType="lpstr">
      <vt:lpstr/>
    </vt:vector>
  </TitlesOfParts>
  <Company>Suomen valtio</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Tornberg Johanna</dc:creator>
  <cp:lastModifiedBy>Luomala Irene</cp:lastModifiedBy>
  <cp:revision>2</cp:revision>
  <cp:lastPrinted>2016-06-09T08:57:00Z</cp:lastPrinted>
  <dcterms:created xsi:type="dcterms:W3CDTF">2016-06-09T08:59:00Z</dcterms:created>
  <dcterms:modified xsi:type="dcterms:W3CDTF">2016-06-09T08:59:00Z</dcterms:modified>
</cp:coreProperties>
</file>