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B" w:rsidRPr="00C86047" w:rsidRDefault="009F589B" w:rsidP="008E1174">
      <w:pPr>
        <w:spacing w:line="280" w:lineRule="exact"/>
        <w:ind w:left="1418"/>
        <w:rPr>
          <w:szCs w:val="22"/>
          <w:lang w:val="fi-FI"/>
        </w:rPr>
      </w:pPr>
      <w:bookmarkStart w:id="0" w:name="_GoBack"/>
      <w:bookmarkEnd w:id="0"/>
    </w:p>
    <w:p w:rsidR="009901F2" w:rsidRPr="00C86047" w:rsidRDefault="009901F2" w:rsidP="008E1174">
      <w:pPr>
        <w:spacing w:line="280" w:lineRule="exact"/>
        <w:ind w:left="1418"/>
        <w:rPr>
          <w:szCs w:val="22"/>
          <w:lang w:val="fi-FI"/>
        </w:rPr>
      </w:pPr>
    </w:p>
    <w:p w:rsidR="00716C62" w:rsidRPr="00C86047" w:rsidRDefault="00716C62" w:rsidP="008E1174">
      <w:pPr>
        <w:spacing w:line="280" w:lineRule="exact"/>
        <w:ind w:left="1418"/>
        <w:rPr>
          <w:szCs w:val="22"/>
          <w:lang w:val="fi-FI"/>
        </w:rPr>
      </w:pPr>
    </w:p>
    <w:p w:rsidR="00215FC4" w:rsidRPr="00C86047" w:rsidRDefault="00215FC4" w:rsidP="008E1174">
      <w:pPr>
        <w:spacing w:line="280" w:lineRule="exact"/>
        <w:ind w:left="1418"/>
        <w:rPr>
          <w:szCs w:val="22"/>
          <w:lang w:val="fi-FI"/>
        </w:rPr>
      </w:pPr>
    </w:p>
    <w:p w:rsidR="0017300D" w:rsidRPr="00C86047" w:rsidRDefault="0017300D" w:rsidP="008E1174">
      <w:pPr>
        <w:spacing w:line="280" w:lineRule="exact"/>
        <w:ind w:left="1418"/>
        <w:rPr>
          <w:szCs w:val="22"/>
          <w:lang w:val="fi-FI"/>
        </w:rPr>
      </w:pPr>
    </w:p>
    <w:p w:rsidR="0017300D" w:rsidRPr="00C86047" w:rsidRDefault="0017300D" w:rsidP="008E1174">
      <w:pPr>
        <w:spacing w:line="280" w:lineRule="exact"/>
        <w:ind w:left="1418"/>
        <w:rPr>
          <w:szCs w:val="22"/>
          <w:lang w:val="fi-FI"/>
        </w:rPr>
      </w:pPr>
    </w:p>
    <w:p w:rsidR="00BB4C8A" w:rsidRPr="00C86047" w:rsidRDefault="00BB4C8A" w:rsidP="0017300D">
      <w:pPr>
        <w:spacing w:line="280" w:lineRule="exact"/>
        <w:rPr>
          <w:szCs w:val="22"/>
          <w:lang w:val="fi-FI"/>
        </w:rPr>
      </w:pPr>
    </w:p>
    <w:p w:rsidR="0017300D" w:rsidRPr="00C86047" w:rsidRDefault="003C3146" w:rsidP="0017300D">
      <w:pPr>
        <w:spacing w:line="280" w:lineRule="exact"/>
        <w:rPr>
          <w:szCs w:val="22"/>
          <w:lang w:val="fi-FI"/>
        </w:rPr>
      </w:pPr>
      <w:r w:rsidRPr="00C86047">
        <w:rPr>
          <w:szCs w:val="22"/>
          <w:lang w:val="fi-FI"/>
        </w:rPr>
        <w:t>Oikeus</w:t>
      </w:r>
      <w:r w:rsidR="0017300D" w:rsidRPr="00C86047">
        <w:rPr>
          <w:szCs w:val="22"/>
          <w:lang w:val="fi-FI"/>
        </w:rPr>
        <w:t>ministeriö</w:t>
      </w:r>
    </w:p>
    <w:p w:rsidR="00217077" w:rsidRPr="00C86047" w:rsidRDefault="009A40E8" w:rsidP="0017300D">
      <w:pPr>
        <w:spacing w:line="280" w:lineRule="exact"/>
        <w:rPr>
          <w:szCs w:val="22"/>
          <w:lang w:val="fi-FI"/>
        </w:rPr>
      </w:pPr>
      <w:hyperlink r:id="rId9" w:history="1">
        <w:r w:rsidR="004616AA" w:rsidRPr="00C86047">
          <w:rPr>
            <w:rStyle w:val="Hyperlinkki"/>
            <w:szCs w:val="22"/>
            <w:lang w:val="fi-FI"/>
          </w:rPr>
          <w:t>oikeusministerio@om.fi</w:t>
        </w:r>
      </w:hyperlink>
    </w:p>
    <w:p w:rsidR="004616AA" w:rsidRPr="00C86047" w:rsidRDefault="004616AA" w:rsidP="0017300D">
      <w:pPr>
        <w:spacing w:line="280" w:lineRule="exact"/>
        <w:rPr>
          <w:szCs w:val="22"/>
          <w:lang w:val="fi-FI"/>
        </w:rPr>
      </w:pPr>
    </w:p>
    <w:p w:rsidR="004616AA" w:rsidRPr="00C86047" w:rsidRDefault="004616AA" w:rsidP="0017300D">
      <w:pPr>
        <w:spacing w:line="280" w:lineRule="exact"/>
        <w:rPr>
          <w:szCs w:val="22"/>
          <w:lang w:val="fi-FI"/>
        </w:rPr>
      </w:pPr>
    </w:p>
    <w:p w:rsidR="004616AA" w:rsidRPr="00C86047" w:rsidRDefault="004616AA" w:rsidP="0017300D">
      <w:pPr>
        <w:spacing w:line="280" w:lineRule="exact"/>
        <w:rPr>
          <w:szCs w:val="22"/>
          <w:lang w:val="fi-FI"/>
        </w:rPr>
      </w:pPr>
      <w:r w:rsidRPr="00C86047">
        <w:rPr>
          <w:szCs w:val="22"/>
          <w:lang w:val="fi-FI"/>
        </w:rPr>
        <w:t xml:space="preserve">Viite: OM </w:t>
      </w:r>
      <w:r w:rsidR="00D24C43" w:rsidRPr="00C86047">
        <w:rPr>
          <w:szCs w:val="22"/>
          <w:lang w:val="fi-FI"/>
        </w:rPr>
        <w:t>1/471/2014</w:t>
      </w:r>
    </w:p>
    <w:p w:rsidR="009901F2" w:rsidRPr="00C86047" w:rsidRDefault="009901F2" w:rsidP="0017300D">
      <w:pPr>
        <w:spacing w:line="280" w:lineRule="exact"/>
        <w:rPr>
          <w:szCs w:val="22"/>
          <w:lang w:val="fi-FI"/>
        </w:rPr>
      </w:pPr>
    </w:p>
    <w:p w:rsidR="0017300D" w:rsidRPr="00C86047" w:rsidRDefault="0017300D" w:rsidP="0017300D">
      <w:pPr>
        <w:spacing w:line="280" w:lineRule="exact"/>
        <w:rPr>
          <w:szCs w:val="22"/>
          <w:lang w:val="fi-FI"/>
        </w:rPr>
      </w:pPr>
    </w:p>
    <w:p w:rsidR="00215FC4" w:rsidRPr="00C86047" w:rsidRDefault="00215FC4" w:rsidP="008E1174">
      <w:pPr>
        <w:spacing w:line="280" w:lineRule="exact"/>
        <w:ind w:left="1418"/>
        <w:rPr>
          <w:szCs w:val="22"/>
          <w:lang w:val="fi-FI"/>
        </w:rPr>
      </w:pPr>
    </w:p>
    <w:p w:rsidR="0017300D" w:rsidRPr="00C86047" w:rsidRDefault="0017300D" w:rsidP="008E1174">
      <w:pPr>
        <w:spacing w:line="280" w:lineRule="exact"/>
        <w:ind w:left="1418"/>
        <w:rPr>
          <w:b/>
          <w:szCs w:val="22"/>
          <w:lang w:val="fi-FI"/>
        </w:rPr>
      </w:pPr>
    </w:p>
    <w:p w:rsidR="00184C5D" w:rsidRPr="00C86047" w:rsidRDefault="00D24C43" w:rsidP="0017300D">
      <w:pPr>
        <w:pStyle w:val="Lohkoteksti"/>
        <w:suppressAutoHyphens/>
        <w:spacing w:line="280" w:lineRule="exact"/>
        <w:ind w:left="0" w:right="164"/>
        <w:rPr>
          <w:b/>
          <w:szCs w:val="22"/>
        </w:rPr>
      </w:pPr>
      <w:r w:rsidRPr="00C86047">
        <w:rPr>
          <w:b/>
          <w:szCs w:val="22"/>
        </w:rPr>
        <w:t>MIETINTÖ</w:t>
      </w:r>
      <w:r w:rsidR="003C3146" w:rsidRPr="00C86047">
        <w:rPr>
          <w:b/>
          <w:szCs w:val="22"/>
        </w:rPr>
        <w:t xml:space="preserve">: </w:t>
      </w:r>
      <w:r w:rsidRPr="00C86047">
        <w:rPr>
          <w:b/>
          <w:szCs w:val="22"/>
        </w:rPr>
        <w:t>Kuluttajansuojaviranomaisten toimivaltuudet</w:t>
      </w:r>
    </w:p>
    <w:p w:rsidR="0017300D" w:rsidRPr="00C86047" w:rsidRDefault="0017300D" w:rsidP="0017300D">
      <w:pPr>
        <w:pStyle w:val="Lohkoteksti"/>
        <w:suppressAutoHyphens/>
        <w:spacing w:line="280" w:lineRule="exact"/>
        <w:ind w:left="0" w:right="164"/>
        <w:rPr>
          <w:szCs w:val="22"/>
        </w:rPr>
      </w:pPr>
    </w:p>
    <w:p w:rsidR="0017300D" w:rsidRPr="00C86047" w:rsidRDefault="003C3146" w:rsidP="0017300D">
      <w:pPr>
        <w:pStyle w:val="Lohkoteksti"/>
        <w:suppressAutoHyphens/>
        <w:spacing w:line="280" w:lineRule="exact"/>
        <w:ind w:right="164"/>
        <w:jc w:val="left"/>
        <w:rPr>
          <w:szCs w:val="22"/>
        </w:rPr>
      </w:pPr>
      <w:r w:rsidRPr="00C86047">
        <w:rPr>
          <w:szCs w:val="22"/>
        </w:rPr>
        <w:t>Oikeusministeriö</w:t>
      </w:r>
      <w:r w:rsidR="0017300D" w:rsidRPr="00C86047">
        <w:rPr>
          <w:szCs w:val="22"/>
        </w:rPr>
        <w:t xml:space="preserve"> on pyytänyt </w:t>
      </w:r>
      <w:r w:rsidRPr="00C86047">
        <w:rPr>
          <w:szCs w:val="22"/>
        </w:rPr>
        <w:t>Kaupan l</w:t>
      </w:r>
      <w:r w:rsidR="0017300D" w:rsidRPr="00C86047">
        <w:rPr>
          <w:szCs w:val="22"/>
        </w:rPr>
        <w:t>iitolta lausuntoa otsikkoasiassa. Kaupan liitto kiittää lausuntopyynnöstä ja esittää lausuntonaan seuraavaa.</w:t>
      </w:r>
    </w:p>
    <w:p w:rsidR="00D669A1" w:rsidRPr="00C86047" w:rsidRDefault="00D669A1" w:rsidP="008E1174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</w:p>
    <w:p w:rsidR="00664B2F" w:rsidRPr="00C86047" w:rsidRDefault="0031759E" w:rsidP="008E1174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  <w:r w:rsidRPr="00C86047">
        <w:rPr>
          <w:szCs w:val="22"/>
        </w:rPr>
        <w:t>Työryhmä</w:t>
      </w:r>
      <w:r w:rsidR="00664B2F" w:rsidRPr="00C86047">
        <w:rPr>
          <w:szCs w:val="22"/>
        </w:rPr>
        <w:t>n</w:t>
      </w:r>
      <w:r w:rsidRPr="00C86047">
        <w:rPr>
          <w:szCs w:val="22"/>
        </w:rPr>
        <w:t xml:space="preserve"> mietinnössä ehdotetaan aluehallintoviranomaisten </w:t>
      </w:r>
      <w:r w:rsidR="004B7F62" w:rsidRPr="00C86047">
        <w:rPr>
          <w:szCs w:val="22"/>
        </w:rPr>
        <w:t xml:space="preserve">(AVI) </w:t>
      </w:r>
      <w:r w:rsidRPr="00C86047">
        <w:rPr>
          <w:szCs w:val="22"/>
        </w:rPr>
        <w:t xml:space="preserve">toimivaltuuksien lisäämistä, kuluttaja-asiamiehen määräämää kieltoa koskevan menettelyn muuttamista sekä uuden lain säätämistä seuraamusmaksusta kuluttaja-asioissa. Kaikkien esitettyjen muutoksien osalta on todettava, ettei työryhmän mietinnöstä käy ilmi, että kuluttajamarkkinoilla olisi sellaisia merkittäviä tai rakenteellisia ongelmia kuluttajan asemassa, jotka puoltaisivat nykysääntelyn huomattavaa kiristämistä mietinnössä esitetyllä tavalla. </w:t>
      </w:r>
    </w:p>
    <w:p w:rsidR="00664B2F" w:rsidRPr="00C86047" w:rsidRDefault="00664B2F" w:rsidP="008E1174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</w:p>
    <w:p w:rsidR="0031759E" w:rsidRPr="00C86047" w:rsidRDefault="00664B2F" w:rsidP="008E1174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  <w:r w:rsidRPr="00C86047">
        <w:rPr>
          <w:szCs w:val="22"/>
        </w:rPr>
        <w:t xml:space="preserve">Hyvään lainvalmisteluun kuuluu keskeisesti se, että sääntelylle on osoitettavissa tarve. Nyt tarvetta ei ole voitu osoittaa. Päinvastoin mietinnössä tuodaan esiin, että Suomi sijoittuu jaetulle kärkisijalle EU:n kuluttajamarkkinoiden tulostaulun kuluttajaindeksin mukaan, kun seurataan kuluttajien toimintaympäristön laatua eri EU-maissa. </w:t>
      </w:r>
      <w:r w:rsidR="006C1C10">
        <w:rPr>
          <w:szCs w:val="22"/>
        </w:rPr>
        <w:t>Tarvearvioinnin analyysin osalta</w:t>
      </w:r>
      <w:r w:rsidRPr="00C86047">
        <w:rPr>
          <w:szCs w:val="22"/>
        </w:rPr>
        <w:t xml:space="preserve"> Kaupan liitto yhtyy</w:t>
      </w:r>
      <w:r w:rsidR="009950DB" w:rsidRPr="00C86047">
        <w:rPr>
          <w:szCs w:val="22"/>
        </w:rPr>
        <w:t>kin</w:t>
      </w:r>
      <w:r w:rsidRPr="00C86047">
        <w:rPr>
          <w:szCs w:val="22"/>
        </w:rPr>
        <w:t xml:space="preserve"> mietinnöstä jätettyyn eriävään mielipiteeseen.</w:t>
      </w:r>
      <w:r w:rsidRPr="00C86047">
        <w:rPr>
          <w:rStyle w:val="Alaviitteenviite"/>
          <w:szCs w:val="22"/>
        </w:rPr>
        <w:footnoteReference w:id="1"/>
      </w:r>
    </w:p>
    <w:p w:rsidR="0031759E" w:rsidRPr="00C86047" w:rsidRDefault="0031759E" w:rsidP="009950DB">
      <w:pPr>
        <w:pStyle w:val="Lohkoteksti"/>
        <w:suppressAutoHyphens/>
        <w:spacing w:line="280" w:lineRule="exact"/>
        <w:ind w:left="0" w:right="-16"/>
        <w:jc w:val="left"/>
        <w:rPr>
          <w:szCs w:val="22"/>
        </w:rPr>
      </w:pPr>
    </w:p>
    <w:p w:rsidR="009950DB" w:rsidRPr="00C86047" w:rsidRDefault="009950DB" w:rsidP="009950DB">
      <w:pPr>
        <w:pStyle w:val="Lohkoteksti"/>
        <w:suppressAutoHyphens/>
        <w:spacing w:line="280" w:lineRule="exact"/>
        <w:ind w:left="0" w:right="-16"/>
        <w:jc w:val="left"/>
        <w:rPr>
          <w:b/>
          <w:szCs w:val="22"/>
        </w:rPr>
      </w:pPr>
      <w:r w:rsidRPr="00C86047">
        <w:rPr>
          <w:b/>
          <w:szCs w:val="22"/>
        </w:rPr>
        <w:t>Laki seuraamusmaksusta kuluttaja-asioissa</w:t>
      </w:r>
    </w:p>
    <w:p w:rsidR="009950DB" w:rsidRPr="00C86047" w:rsidRDefault="009950DB" w:rsidP="009950DB">
      <w:pPr>
        <w:pStyle w:val="Lohkoteksti"/>
        <w:suppressAutoHyphens/>
        <w:spacing w:line="280" w:lineRule="exact"/>
        <w:ind w:left="0" w:right="-16"/>
        <w:jc w:val="left"/>
        <w:rPr>
          <w:szCs w:val="22"/>
        </w:rPr>
      </w:pPr>
    </w:p>
    <w:p w:rsidR="006C1C10" w:rsidRPr="00C86047" w:rsidRDefault="00623D0F" w:rsidP="006C1C10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  <w:r w:rsidRPr="00C86047">
        <w:rPr>
          <w:szCs w:val="22"/>
        </w:rPr>
        <w:t xml:space="preserve">Mietinnössä esitetään kieltojärjestelmän ja uhkasakon rinnalle seuraamusmaksua, joka olisi kokonaan uusi hallinnollinen seuraamus. Seuraamusmaksulla sanktioitaisiin jo tapahtunut lainvastainen toiminta riippumatta siitä, onko muita edellä mainittuja keinoja käytetty. </w:t>
      </w:r>
      <w:r w:rsidR="006C1C10">
        <w:rPr>
          <w:szCs w:val="22"/>
        </w:rPr>
        <w:t xml:space="preserve">Seuraamusmaksun määrä olisi enintään 100 000 euroa. </w:t>
      </w:r>
      <w:r w:rsidR="006C1C10" w:rsidRPr="00C86047">
        <w:rPr>
          <w:b/>
          <w:szCs w:val="22"/>
        </w:rPr>
        <w:t>Kaupan liitto vastustaa esitystä.</w:t>
      </w:r>
    </w:p>
    <w:p w:rsidR="00623D0F" w:rsidRPr="00C86047" w:rsidRDefault="00623D0F" w:rsidP="00623D0F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  <w:r w:rsidRPr="00C86047">
        <w:rPr>
          <w:szCs w:val="22"/>
        </w:rPr>
        <w:lastRenderedPageBreak/>
        <w:t>Seuraamusmaksun soveltamisala olisi hyvin laaja ja</w:t>
      </w:r>
      <w:r w:rsidR="007934F1" w:rsidRPr="00C86047">
        <w:rPr>
          <w:szCs w:val="22"/>
        </w:rPr>
        <w:t xml:space="preserve"> </w:t>
      </w:r>
      <w:r w:rsidR="00201284" w:rsidRPr="00C86047">
        <w:rPr>
          <w:szCs w:val="22"/>
        </w:rPr>
        <w:t>jättäisi viranomaisille epäselvästi rajatun,</w:t>
      </w:r>
      <w:r w:rsidR="006C1C10">
        <w:rPr>
          <w:szCs w:val="22"/>
        </w:rPr>
        <w:t xml:space="preserve"> erittäin</w:t>
      </w:r>
      <w:r w:rsidR="00201284" w:rsidRPr="00C86047">
        <w:rPr>
          <w:szCs w:val="22"/>
        </w:rPr>
        <w:t xml:space="preserve"> laajan toimivallan </w:t>
      </w:r>
      <w:r w:rsidR="006C1C10">
        <w:rPr>
          <w:szCs w:val="22"/>
        </w:rPr>
        <w:t>hallinnollisen sanktion käytölle</w:t>
      </w:r>
      <w:r w:rsidR="00AF74F5" w:rsidRPr="00C86047">
        <w:rPr>
          <w:szCs w:val="22"/>
        </w:rPr>
        <w:t>. S</w:t>
      </w:r>
      <w:r w:rsidR="007934F1" w:rsidRPr="00C86047">
        <w:rPr>
          <w:szCs w:val="22"/>
        </w:rPr>
        <w:t>euraamus</w:t>
      </w:r>
      <w:r w:rsidRPr="00C86047">
        <w:rPr>
          <w:szCs w:val="22"/>
        </w:rPr>
        <w:t xml:space="preserve"> suhteessa</w:t>
      </w:r>
      <w:r w:rsidR="00AF74F5" w:rsidRPr="00C86047">
        <w:rPr>
          <w:szCs w:val="22"/>
        </w:rPr>
        <w:t xml:space="preserve"> </w:t>
      </w:r>
      <w:r w:rsidRPr="00C86047">
        <w:rPr>
          <w:szCs w:val="22"/>
        </w:rPr>
        <w:t xml:space="preserve">sanktioitaviin tekoihin nähden </w:t>
      </w:r>
      <w:r w:rsidR="00AF74F5" w:rsidRPr="00C86047">
        <w:rPr>
          <w:szCs w:val="22"/>
        </w:rPr>
        <w:t>voisi muodostua kohtuuttomaksi</w:t>
      </w:r>
      <w:r w:rsidRPr="00C86047">
        <w:rPr>
          <w:szCs w:val="22"/>
        </w:rPr>
        <w:t>. Seuraamusmaksu voitaisiin määrätä esimerkiksi puutt</w:t>
      </w:r>
      <w:r w:rsidR="007934F1" w:rsidRPr="00C86047">
        <w:rPr>
          <w:szCs w:val="22"/>
        </w:rPr>
        <w:t>eellisesta hintamerkinnästä tai</w:t>
      </w:r>
      <w:r w:rsidRPr="00C86047">
        <w:rPr>
          <w:szCs w:val="22"/>
        </w:rPr>
        <w:t xml:space="preserve"> </w:t>
      </w:r>
      <w:r w:rsidR="007934F1" w:rsidRPr="00C86047">
        <w:rPr>
          <w:szCs w:val="22"/>
        </w:rPr>
        <w:t>etämyynnissä</w:t>
      </w:r>
      <w:r w:rsidRPr="00C86047">
        <w:rPr>
          <w:szCs w:val="22"/>
        </w:rPr>
        <w:t xml:space="preserve"> </w:t>
      </w:r>
      <w:r w:rsidR="007934F1" w:rsidRPr="00C86047">
        <w:rPr>
          <w:szCs w:val="22"/>
        </w:rPr>
        <w:t>ennakkoon annettavissa tiedoissa olevasta puutteesta. Kuluttajansuojalain 6 luvun 9 § sisältää 21-kohtaisen luettelon tiedoista, jotka on esimerkiksi verkkokaupassa ilmoitettava</w:t>
      </w:r>
      <w:r w:rsidR="00AF74F5" w:rsidRPr="00C86047">
        <w:rPr>
          <w:szCs w:val="22"/>
        </w:rPr>
        <w:t xml:space="preserve"> kuluttajalle ennakkoon</w:t>
      </w:r>
      <w:r w:rsidR="007934F1" w:rsidRPr="00C86047">
        <w:rPr>
          <w:szCs w:val="22"/>
        </w:rPr>
        <w:t>.</w:t>
      </w:r>
      <w:r w:rsidR="007934F1" w:rsidRPr="00C86047">
        <w:rPr>
          <w:rStyle w:val="Alaviitteenviite"/>
          <w:szCs w:val="22"/>
        </w:rPr>
        <w:footnoteReference w:id="2"/>
      </w:r>
      <w:r w:rsidR="007934F1" w:rsidRPr="00C86047">
        <w:rPr>
          <w:szCs w:val="22"/>
        </w:rPr>
        <w:t xml:space="preserve"> Pienelle </w:t>
      </w:r>
      <w:r w:rsidR="004B7F62" w:rsidRPr="00C86047">
        <w:rPr>
          <w:szCs w:val="22"/>
        </w:rPr>
        <w:t>yrittäjälle</w:t>
      </w:r>
      <w:r w:rsidR="007934F1" w:rsidRPr="00C86047">
        <w:rPr>
          <w:szCs w:val="22"/>
        </w:rPr>
        <w:t xml:space="preserve"> yksityiskohtaisen sääntelyn noudattaminen voi olla haastavaa, joten inhimilliset huolimattomuusvirheet ovat mahdollisia. Seuraamusmaksun määräämisen edellytykseksi esitetään kuitenkin tahallisuutta tai </w:t>
      </w:r>
      <w:r w:rsidR="007934F1" w:rsidRPr="00C86047">
        <w:rPr>
          <w:i/>
          <w:szCs w:val="22"/>
        </w:rPr>
        <w:t>huolimattomuutta</w:t>
      </w:r>
      <w:r w:rsidR="007934F1" w:rsidRPr="00C86047">
        <w:rPr>
          <w:szCs w:val="22"/>
        </w:rPr>
        <w:t xml:space="preserve">. Tällainen muotoilu on omiaan johtamaan kohtuuttomiin seuraamuksiin tahattomistakin teoista. </w:t>
      </w:r>
    </w:p>
    <w:p w:rsidR="00201284" w:rsidRPr="00C86047" w:rsidRDefault="00201284" w:rsidP="00623D0F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</w:p>
    <w:p w:rsidR="00201284" w:rsidRPr="00C86047" w:rsidRDefault="00201284" w:rsidP="00623D0F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  <w:r w:rsidRPr="00C86047">
        <w:rPr>
          <w:szCs w:val="22"/>
        </w:rPr>
        <w:t>Mietinnön mukaan seuraamusmaksu voitaisiin jättää määräämättä, jos rikkomus on vaikutuksiltaan vähäinen.</w:t>
      </w:r>
      <w:r w:rsidR="00AF74F5" w:rsidRPr="00C86047">
        <w:rPr>
          <w:szCs w:val="22"/>
        </w:rPr>
        <w:t xml:space="preserve"> </w:t>
      </w:r>
      <w:r w:rsidR="00430C0B" w:rsidRPr="00C86047">
        <w:rPr>
          <w:szCs w:val="22"/>
        </w:rPr>
        <w:t xml:space="preserve">Vähäisyyden arviointi jää mietinnön perusteella yhtä avoimeksi </w:t>
      </w:r>
      <w:r w:rsidR="0088482A" w:rsidRPr="00C86047">
        <w:rPr>
          <w:szCs w:val="22"/>
        </w:rPr>
        <w:t xml:space="preserve">kuin lain </w:t>
      </w:r>
      <w:r w:rsidR="00430C0B" w:rsidRPr="00C86047">
        <w:rPr>
          <w:szCs w:val="22"/>
        </w:rPr>
        <w:t xml:space="preserve">soveltamisala. Kaupan alan isojen toimijoiden ollessa kyseessä aiheuttaisi </w:t>
      </w:r>
      <w:r w:rsidR="006C1C10">
        <w:rPr>
          <w:szCs w:val="22"/>
        </w:rPr>
        <w:t>tulkinta</w:t>
      </w:r>
      <w:r w:rsidR="00430C0B" w:rsidRPr="00C86047">
        <w:rPr>
          <w:szCs w:val="22"/>
        </w:rPr>
        <w:t>virhe pienessäkin asiassa käytännössä aina seuraamusmaksun määräämisen, sillä toimijoiden suurista volyymeist</w:t>
      </w:r>
      <w:r w:rsidR="0088482A" w:rsidRPr="00C86047">
        <w:rPr>
          <w:szCs w:val="22"/>
        </w:rPr>
        <w:t>ä johtuen ei vähäisyyskriteeriä</w:t>
      </w:r>
      <w:r w:rsidR="00430C0B" w:rsidRPr="00C86047">
        <w:rPr>
          <w:szCs w:val="22"/>
        </w:rPr>
        <w:t xml:space="preserve"> voitaisi soveltaa.</w:t>
      </w:r>
    </w:p>
    <w:p w:rsidR="00430C0B" w:rsidRPr="00C86047" w:rsidRDefault="00430C0B" w:rsidP="00623D0F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</w:p>
    <w:p w:rsidR="009950DB" w:rsidRPr="00C86047" w:rsidRDefault="009950DB" w:rsidP="009950DB">
      <w:pPr>
        <w:pStyle w:val="Lohkoteksti"/>
        <w:suppressAutoHyphens/>
        <w:spacing w:line="280" w:lineRule="exact"/>
        <w:ind w:left="0" w:right="-16"/>
        <w:jc w:val="left"/>
        <w:rPr>
          <w:b/>
          <w:szCs w:val="22"/>
        </w:rPr>
      </w:pPr>
      <w:r w:rsidRPr="00C86047">
        <w:rPr>
          <w:b/>
          <w:szCs w:val="22"/>
        </w:rPr>
        <w:t>Aluehallintovirasto</w:t>
      </w:r>
      <w:r w:rsidR="006C1C10">
        <w:rPr>
          <w:b/>
          <w:szCs w:val="22"/>
        </w:rPr>
        <w:t>je</w:t>
      </w:r>
      <w:r w:rsidRPr="00C86047">
        <w:rPr>
          <w:b/>
          <w:szCs w:val="22"/>
        </w:rPr>
        <w:t>n toimivaltuudet</w:t>
      </w:r>
    </w:p>
    <w:p w:rsidR="009950DB" w:rsidRPr="00C86047" w:rsidRDefault="009950DB" w:rsidP="009950DB">
      <w:pPr>
        <w:pStyle w:val="Lohkoteksti"/>
        <w:suppressAutoHyphens/>
        <w:spacing w:line="280" w:lineRule="exact"/>
        <w:ind w:left="0" w:right="-16"/>
        <w:jc w:val="left"/>
        <w:rPr>
          <w:szCs w:val="22"/>
        </w:rPr>
      </w:pPr>
    </w:p>
    <w:p w:rsidR="00ED7DE6" w:rsidRPr="00C86047" w:rsidRDefault="0098261B" w:rsidP="0098261B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  <w:r w:rsidRPr="00C86047">
        <w:rPr>
          <w:szCs w:val="22"/>
        </w:rPr>
        <w:t>Mietinnössä esitetään aluehallintoviranomaisten valvontatoimivaltuuksien laajentamista siten, että</w:t>
      </w:r>
      <w:r w:rsidR="004B7F62" w:rsidRPr="00C86047">
        <w:rPr>
          <w:szCs w:val="22"/>
        </w:rPr>
        <w:t xml:space="preserve"> markkinointia ja menettelyjä asiakassuhteessa kuluttajansuojalain kannalta valvoisivat kuluttaja-asiamiehen rinnalla aluehallintovirastot. Kaupan alalta on runsaasti kokemuksia mm. </w:t>
      </w:r>
      <w:r w:rsidR="006C1C10">
        <w:rPr>
          <w:szCs w:val="22"/>
        </w:rPr>
        <w:t>hintamerkintöjen</w:t>
      </w:r>
      <w:r w:rsidR="004B7F62" w:rsidRPr="00C86047">
        <w:rPr>
          <w:szCs w:val="22"/>
        </w:rPr>
        <w:t xml:space="preserve">, </w:t>
      </w:r>
      <w:r w:rsidR="006C1C10">
        <w:rPr>
          <w:szCs w:val="22"/>
        </w:rPr>
        <w:t>alkoholin vähittäismyynnin</w:t>
      </w:r>
      <w:r w:rsidR="004B7F62" w:rsidRPr="00C86047">
        <w:rPr>
          <w:szCs w:val="22"/>
        </w:rPr>
        <w:t xml:space="preserve"> </w:t>
      </w:r>
      <w:r w:rsidR="006C1C10">
        <w:rPr>
          <w:szCs w:val="22"/>
        </w:rPr>
        <w:t>sekä</w:t>
      </w:r>
      <w:r w:rsidR="004B7F62" w:rsidRPr="00C86047">
        <w:rPr>
          <w:szCs w:val="22"/>
        </w:rPr>
        <w:t xml:space="preserve"> aukiolojen valvonnasta ja luvituksesta, että eri aluehallintovirastojen laintulkinnat vaihtelevat huomattavasti. </w:t>
      </w:r>
      <w:r w:rsidR="006C1C10">
        <w:rPr>
          <w:szCs w:val="22"/>
        </w:rPr>
        <w:t>Lain soveltaminen</w:t>
      </w:r>
      <w:r w:rsidR="004B7F62" w:rsidRPr="00C86047">
        <w:rPr>
          <w:szCs w:val="22"/>
        </w:rPr>
        <w:t xml:space="preserve"> voi vaihdella jopa saman AVI:n sisällä. Viranomaiskäytännön yhtenäisyys ja ennakoitavuus on yritysten </w:t>
      </w:r>
      <w:r w:rsidR="00414DED" w:rsidRPr="00C86047">
        <w:rPr>
          <w:szCs w:val="22"/>
        </w:rPr>
        <w:t>oikeusturvan</w:t>
      </w:r>
      <w:r w:rsidR="004B7F62" w:rsidRPr="00C86047">
        <w:rPr>
          <w:szCs w:val="22"/>
        </w:rPr>
        <w:t xml:space="preserve"> kannalta ensiarvoisen tärkeää.</w:t>
      </w:r>
    </w:p>
    <w:p w:rsidR="004B7F62" w:rsidRPr="00C86047" w:rsidRDefault="004B7F62" w:rsidP="0098261B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</w:p>
    <w:p w:rsidR="004B7F62" w:rsidRPr="00C86047" w:rsidRDefault="004B7F62" w:rsidP="0098261B">
      <w:pPr>
        <w:pStyle w:val="Lohkoteksti"/>
        <w:suppressAutoHyphens/>
        <w:spacing w:line="280" w:lineRule="exact"/>
        <w:ind w:left="1440" w:right="-16"/>
        <w:jc w:val="left"/>
        <w:rPr>
          <w:szCs w:val="22"/>
        </w:rPr>
      </w:pPr>
      <w:r w:rsidRPr="00C86047">
        <w:rPr>
          <w:b/>
          <w:szCs w:val="22"/>
        </w:rPr>
        <w:t xml:space="preserve">Kaupan liitto näkemys on, että valvontaa ei tulisi hajauttaa esitetyllä tavalla. </w:t>
      </w:r>
      <w:r w:rsidRPr="00C86047">
        <w:rPr>
          <w:szCs w:val="22"/>
        </w:rPr>
        <w:t>Valvottavat säännökset vaativat erityisosaamista, mikä näkemyksemme mukaan on tehokkaasti saavutettavissa vain keskittämällä valvonta yh</w:t>
      </w:r>
      <w:r w:rsidR="005221F1" w:rsidRPr="00C86047">
        <w:rPr>
          <w:szCs w:val="22"/>
        </w:rPr>
        <w:t>teen paikkaan.</w:t>
      </w:r>
    </w:p>
    <w:p w:rsidR="00ED7DE6" w:rsidRPr="00C86047" w:rsidRDefault="00ED7DE6" w:rsidP="009950DB">
      <w:pPr>
        <w:pStyle w:val="Lohkoteksti"/>
        <w:suppressAutoHyphens/>
        <w:spacing w:line="280" w:lineRule="exact"/>
        <w:ind w:left="0" w:right="-16"/>
        <w:jc w:val="left"/>
        <w:rPr>
          <w:szCs w:val="22"/>
        </w:rPr>
      </w:pPr>
    </w:p>
    <w:p w:rsidR="009950DB" w:rsidRPr="00C86047" w:rsidRDefault="000B016C" w:rsidP="009950DB">
      <w:pPr>
        <w:pStyle w:val="Lohkoteksti"/>
        <w:suppressAutoHyphens/>
        <w:spacing w:line="280" w:lineRule="exact"/>
        <w:ind w:left="0" w:right="-16"/>
        <w:jc w:val="left"/>
        <w:rPr>
          <w:b/>
          <w:szCs w:val="22"/>
        </w:rPr>
      </w:pPr>
      <w:r w:rsidRPr="00C86047">
        <w:rPr>
          <w:b/>
          <w:szCs w:val="22"/>
        </w:rPr>
        <w:t>Kieltomenettelyn uudistaminen</w:t>
      </w:r>
    </w:p>
    <w:p w:rsidR="00ED7DE6" w:rsidRPr="00C86047" w:rsidRDefault="00ED7DE6" w:rsidP="009950DB">
      <w:pPr>
        <w:pStyle w:val="Lohkoteksti"/>
        <w:suppressAutoHyphens/>
        <w:spacing w:line="280" w:lineRule="exact"/>
        <w:ind w:left="0" w:right="-16"/>
        <w:jc w:val="left"/>
        <w:rPr>
          <w:szCs w:val="22"/>
        </w:rPr>
      </w:pPr>
    </w:p>
    <w:p w:rsidR="000B016C" w:rsidRPr="00C86047" w:rsidRDefault="000B016C" w:rsidP="000B016C">
      <w:pPr>
        <w:pStyle w:val="Lohkoteksti"/>
        <w:suppressAutoHyphens/>
        <w:spacing w:line="280" w:lineRule="exact"/>
        <w:ind w:right="-16" w:firstLine="22"/>
        <w:jc w:val="left"/>
        <w:rPr>
          <w:szCs w:val="22"/>
        </w:rPr>
      </w:pPr>
      <w:r w:rsidRPr="00C86047">
        <w:rPr>
          <w:szCs w:val="22"/>
        </w:rPr>
        <w:t>Nyt voimassa olevan kuluttajansuojalain nojalla elinkeinonharjoittajaa voidaan kieltää jatkamasta lainvastaista menettelyä. Kieltoa voidaan tehostaa uhkasakolla. Kiellon määrää markkinaoikeus</w:t>
      </w:r>
      <w:r w:rsidR="008E4474" w:rsidRPr="00C86047">
        <w:rPr>
          <w:szCs w:val="22"/>
        </w:rPr>
        <w:t xml:space="preserve"> tapauksissa, jotka ovat lain soveltamisen kannalta tai </w:t>
      </w:r>
      <w:r w:rsidR="008E4474" w:rsidRPr="00C86047">
        <w:rPr>
          <w:i/>
          <w:szCs w:val="22"/>
        </w:rPr>
        <w:t>muuten merkitykseltään huomattavia</w:t>
      </w:r>
      <w:r w:rsidR="008E4474" w:rsidRPr="00C86047">
        <w:rPr>
          <w:szCs w:val="22"/>
        </w:rPr>
        <w:t xml:space="preserve">. Muissa tapauksissa </w:t>
      </w:r>
      <w:r w:rsidRPr="00C86047">
        <w:rPr>
          <w:szCs w:val="22"/>
        </w:rPr>
        <w:t>kiellon</w:t>
      </w:r>
      <w:r w:rsidR="008E4474" w:rsidRPr="00C86047">
        <w:rPr>
          <w:szCs w:val="22"/>
        </w:rPr>
        <w:t xml:space="preserve"> voi määrätä kuluttaja-asiamies. Kuluttaja-asiamiehen määräämä kielto kuitenkin raukeaa, jos </w:t>
      </w:r>
      <w:r w:rsidR="008E4474" w:rsidRPr="00C86047">
        <w:rPr>
          <w:szCs w:val="22"/>
        </w:rPr>
        <w:lastRenderedPageBreak/>
        <w:t>kieltomääräyksen kohde ilmoittaa määräajassa vastustavansa kiellon määräämistä. Tällöin kuluttaja-asiamiehen tulee saattaa asia markkinaoikeuden ratkaistavaksi.</w:t>
      </w:r>
    </w:p>
    <w:p w:rsidR="008E4474" w:rsidRPr="00C86047" w:rsidRDefault="008E4474" w:rsidP="000B016C">
      <w:pPr>
        <w:pStyle w:val="Lohkoteksti"/>
        <w:suppressAutoHyphens/>
        <w:spacing w:line="280" w:lineRule="exact"/>
        <w:ind w:right="-16" w:firstLine="22"/>
        <w:jc w:val="left"/>
        <w:rPr>
          <w:szCs w:val="22"/>
        </w:rPr>
      </w:pPr>
    </w:p>
    <w:p w:rsidR="008E4474" w:rsidRPr="00C86047" w:rsidRDefault="008E4474" w:rsidP="000B016C">
      <w:pPr>
        <w:pStyle w:val="Lohkoteksti"/>
        <w:suppressAutoHyphens/>
        <w:spacing w:line="280" w:lineRule="exact"/>
        <w:ind w:right="-16" w:firstLine="22"/>
        <w:jc w:val="left"/>
        <w:rPr>
          <w:szCs w:val="22"/>
        </w:rPr>
      </w:pPr>
      <w:r w:rsidRPr="00C86047">
        <w:rPr>
          <w:szCs w:val="22"/>
        </w:rPr>
        <w:t>Mietinnössä lakia ehdotetaan muutettavan siten, että kielto ei enää raukeaisi</w:t>
      </w:r>
      <w:r w:rsidR="00414DED" w:rsidRPr="00C86047">
        <w:rPr>
          <w:szCs w:val="22"/>
        </w:rPr>
        <w:t xml:space="preserve"> vain</w:t>
      </w:r>
      <w:r w:rsidRPr="00C86047">
        <w:rPr>
          <w:szCs w:val="22"/>
        </w:rPr>
        <w:t xml:space="preserve"> kieltoa vastustamalla, vaan kiellon kohteen pitäisi aina saattaa asia markkinaoikeuden käsiteltäväksi. Lisäksi kuluttaja-asiamiehen toimivaltaa laajennettaisiin siten, että hän voisi määrätä kiellon </w:t>
      </w:r>
      <w:r w:rsidR="00414DED" w:rsidRPr="00C86047">
        <w:rPr>
          <w:szCs w:val="22"/>
        </w:rPr>
        <w:t>myös merkitykseltään huomattavissa asioissa. ”Muuten merkitykseltään huomattava” –kriteeri siis poistettaisiin laista. Molemmat toimivallan laajennukset faktisesti siirtäisivät tuomioistuimelle kuuluvaa toimivaltaa viranomaiselle.</w:t>
      </w:r>
    </w:p>
    <w:p w:rsidR="000237F5" w:rsidRPr="00C86047" w:rsidRDefault="000237F5" w:rsidP="00DA4042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  <w:r w:rsidRPr="00C86047">
        <w:rPr>
          <w:b/>
          <w:szCs w:val="22"/>
        </w:rPr>
        <w:t xml:space="preserve">Kaupan liitto vastustaa kuluttaja-asiamiehen toimivaltuuden laajentamista mietinnössä esitetyssä muodossa. </w:t>
      </w:r>
      <w:r w:rsidRPr="00C86047">
        <w:rPr>
          <w:szCs w:val="22"/>
        </w:rPr>
        <w:t>Merkitykseltään huomattavissa asioissa kiellon määrääminen tulee jättää jatkossakin vain tuomioistuimelle.</w:t>
      </w: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</w:p>
    <w:p w:rsidR="00414DED" w:rsidRPr="00C86047" w:rsidRDefault="00414DED" w:rsidP="00DA4042">
      <w:pPr>
        <w:pStyle w:val="Lohkoteksti"/>
        <w:suppressAutoHyphens/>
        <w:spacing w:line="280" w:lineRule="exact"/>
        <w:ind w:right="-16"/>
        <w:jc w:val="left"/>
        <w:rPr>
          <w:b/>
          <w:szCs w:val="22"/>
        </w:rPr>
      </w:pPr>
      <w:r w:rsidRPr="00C86047">
        <w:rPr>
          <w:b/>
          <w:szCs w:val="22"/>
        </w:rPr>
        <w:t xml:space="preserve"> </w:t>
      </w:r>
    </w:p>
    <w:p w:rsidR="000237F5" w:rsidRPr="00C86047" w:rsidRDefault="000237F5" w:rsidP="00DA4042">
      <w:pPr>
        <w:pStyle w:val="Lohkoteksti"/>
        <w:suppressAutoHyphens/>
        <w:spacing w:line="280" w:lineRule="exact"/>
        <w:ind w:right="-16"/>
        <w:jc w:val="left"/>
        <w:rPr>
          <w:szCs w:val="22"/>
        </w:rPr>
      </w:pPr>
    </w:p>
    <w:p w:rsidR="0017300D" w:rsidRPr="00C86047" w:rsidRDefault="0017300D" w:rsidP="0017300D">
      <w:pPr>
        <w:pStyle w:val="Lohkoteksti"/>
        <w:spacing w:before="120" w:line="240" w:lineRule="exact"/>
        <w:ind w:right="-16"/>
        <w:jc w:val="left"/>
        <w:rPr>
          <w:szCs w:val="22"/>
        </w:rPr>
      </w:pPr>
      <w:r w:rsidRPr="00C86047">
        <w:rPr>
          <w:szCs w:val="22"/>
        </w:rPr>
        <w:t>KAUPAN LIITTO</w:t>
      </w:r>
    </w:p>
    <w:p w:rsidR="0017300D" w:rsidRPr="00C86047" w:rsidRDefault="0017300D" w:rsidP="0017300D">
      <w:pPr>
        <w:pStyle w:val="Lohkoteksti"/>
        <w:spacing w:line="240" w:lineRule="exact"/>
        <w:ind w:left="0" w:right="-16"/>
        <w:jc w:val="left"/>
        <w:rPr>
          <w:szCs w:val="22"/>
        </w:rPr>
      </w:pPr>
    </w:p>
    <w:p w:rsidR="0017300D" w:rsidRPr="00C86047" w:rsidRDefault="0017300D" w:rsidP="0017300D">
      <w:pPr>
        <w:pStyle w:val="Lohkoteksti"/>
        <w:spacing w:before="80" w:line="240" w:lineRule="exact"/>
        <w:ind w:left="0" w:right="-16"/>
        <w:jc w:val="left"/>
        <w:rPr>
          <w:szCs w:val="22"/>
        </w:rPr>
      </w:pPr>
    </w:p>
    <w:p w:rsidR="0017300D" w:rsidRPr="00C86047" w:rsidRDefault="0017300D" w:rsidP="0017300D">
      <w:pPr>
        <w:pStyle w:val="Lohkoteksti"/>
        <w:spacing w:before="120" w:line="240" w:lineRule="exact"/>
        <w:ind w:right="-17"/>
        <w:jc w:val="left"/>
        <w:rPr>
          <w:szCs w:val="22"/>
        </w:rPr>
      </w:pPr>
      <w:r w:rsidRPr="00C86047">
        <w:rPr>
          <w:szCs w:val="22"/>
        </w:rPr>
        <w:t xml:space="preserve">Juhani Pekkala </w:t>
      </w:r>
    </w:p>
    <w:p w:rsidR="0017300D" w:rsidRPr="00C86047" w:rsidRDefault="0017300D" w:rsidP="0017300D">
      <w:pPr>
        <w:pStyle w:val="Lohkoteksti"/>
        <w:spacing w:line="280" w:lineRule="exact"/>
        <w:ind w:right="-16"/>
        <w:jc w:val="left"/>
        <w:rPr>
          <w:szCs w:val="22"/>
        </w:rPr>
      </w:pPr>
      <w:r w:rsidRPr="00C86047">
        <w:rPr>
          <w:szCs w:val="22"/>
        </w:rPr>
        <w:t>Toimitusjohtaja</w:t>
      </w:r>
    </w:p>
    <w:p w:rsidR="005D4D82" w:rsidRPr="00C86047" w:rsidRDefault="005D4D82" w:rsidP="0017300D">
      <w:pPr>
        <w:pStyle w:val="Lohkoteksti"/>
        <w:spacing w:before="120" w:line="280" w:lineRule="exact"/>
        <w:ind w:right="-16"/>
        <w:jc w:val="left"/>
        <w:rPr>
          <w:szCs w:val="22"/>
        </w:rPr>
      </w:pPr>
    </w:p>
    <w:p w:rsidR="005D4D82" w:rsidRPr="00C86047" w:rsidRDefault="005D4D82" w:rsidP="005D4D82">
      <w:pPr>
        <w:rPr>
          <w:sz w:val="28"/>
          <w:lang w:val="fi-FI" w:eastAsia="fi-FI"/>
        </w:rPr>
      </w:pPr>
    </w:p>
    <w:p w:rsidR="005D4D82" w:rsidRPr="00C86047" w:rsidRDefault="005D4D82" w:rsidP="005D4D82">
      <w:pPr>
        <w:rPr>
          <w:sz w:val="28"/>
          <w:lang w:val="fi-FI" w:eastAsia="fi-FI"/>
        </w:rPr>
      </w:pPr>
    </w:p>
    <w:p w:rsidR="005D4D82" w:rsidRPr="00C86047" w:rsidRDefault="005D4D82" w:rsidP="005D4D82">
      <w:pPr>
        <w:rPr>
          <w:sz w:val="28"/>
          <w:lang w:val="fi-FI" w:eastAsia="fi-FI"/>
        </w:rPr>
      </w:pPr>
    </w:p>
    <w:p w:rsidR="005D4D82" w:rsidRPr="00C86047" w:rsidRDefault="005D4D82" w:rsidP="005D4D82">
      <w:pPr>
        <w:rPr>
          <w:sz w:val="28"/>
          <w:lang w:val="fi-FI" w:eastAsia="fi-FI"/>
        </w:rPr>
      </w:pPr>
    </w:p>
    <w:p w:rsidR="007C7255" w:rsidRPr="00C86047" w:rsidRDefault="005D4D82" w:rsidP="005D4D82">
      <w:pPr>
        <w:tabs>
          <w:tab w:val="left" w:pos="3649"/>
        </w:tabs>
        <w:rPr>
          <w:sz w:val="28"/>
          <w:lang w:val="fi-FI" w:eastAsia="fi-FI"/>
        </w:rPr>
      </w:pPr>
      <w:r w:rsidRPr="00C86047">
        <w:rPr>
          <w:sz w:val="28"/>
          <w:lang w:val="fi-FI" w:eastAsia="fi-FI"/>
        </w:rPr>
        <w:tab/>
      </w:r>
    </w:p>
    <w:sectPr w:rsidR="007C7255" w:rsidRPr="00C86047" w:rsidSect="00E11495">
      <w:headerReference w:type="default" r:id="rId10"/>
      <w:headerReference w:type="first" r:id="rId11"/>
      <w:pgSz w:w="11906" w:h="16838" w:code="9"/>
      <w:pgMar w:top="2835" w:right="1191" w:bottom="1304" w:left="1191" w:header="119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AB" w:rsidRDefault="00F953AB">
      <w:r>
        <w:separator/>
      </w:r>
    </w:p>
  </w:endnote>
  <w:endnote w:type="continuationSeparator" w:id="0">
    <w:p w:rsidR="00F953AB" w:rsidRDefault="00F9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AB" w:rsidRDefault="00F953AB">
      <w:r>
        <w:separator/>
      </w:r>
    </w:p>
  </w:footnote>
  <w:footnote w:type="continuationSeparator" w:id="0">
    <w:p w:rsidR="00F953AB" w:rsidRDefault="00F953AB">
      <w:r>
        <w:continuationSeparator/>
      </w:r>
    </w:p>
  </w:footnote>
  <w:footnote w:id="1">
    <w:p w:rsidR="00664B2F" w:rsidRPr="00664B2F" w:rsidRDefault="00664B2F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664B2F">
        <w:rPr>
          <w:lang w:val="fi-FI"/>
        </w:rPr>
        <w:t xml:space="preserve"> </w:t>
      </w:r>
      <w:r>
        <w:rPr>
          <w:lang w:val="fi-FI"/>
        </w:rPr>
        <w:t>Elinkeinoelämän Keskusliitto EK ja Suomen Yrittäjät.</w:t>
      </w:r>
    </w:p>
  </w:footnote>
  <w:footnote w:id="2">
    <w:p w:rsidR="007934F1" w:rsidRPr="007934F1" w:rsidRDefault="007934F1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7934F1">
        <w:rPr>
          <w:lang w:val="fi-FI"/>
        </w:rPr>
        <w:t xml:space="preserve"> </w:t>
      </w:r>
      <w:r>
        <w:rPr>
          <w:lang w:val="fi-FI"/>
        </w:rPr>
        <w:t>Tällaisia ovat mm. ”</w:t>
      </w:r>
      <w:r w:rsidRPr="007934F1">
        <w:rPr>
          <w:lang w:val="fi-FI"/>
        </w:rPr>
        <w:t>elinkeinonharjoittajan puhelin- ja faksinumero sekä sähköpostiosoite</w:t>
      </w:r>
      <w:r>
        <w:rPr>
          <w:lang w:val="fi-FI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63" w:rsidRPr="00A02B6D" w:rsidRDefault="00C46663" w:rsidP="00A02B6D">
    <w:pPr>
      <w:pStyle w:val="Yltunniste"/>
      <w:tabs>
        <w:tab w:val="clear" w:pos="9638"/>
        <w:tab w:val="right" w:pos="8820"/>
      </w:tabs>
      <w:rPr>
        <w:rFonts w:ascii="Arial" w:hAnsi="Arial" w:cs="Arial"/>
        <w:sz w:val="22"/>
        <w:szCs w:val="22"/>
      </w:rPr>
    </w:pPr>
    <w:r>
      <w:rPr>
        <w:rStyle w:val="Sivunumero"/>
      </w:rPr>
      <w:tab/>
    </w:r>
    <w:r>
      <w:rPr>
        <w:rStyle w:val="Sivunumero"/>
      </w:rPr>
      <w:tab/>
    </w:r>
    <w:r w:rsidRPr="00A02B6D">
      <w:rPr>
        <w:rStyle w:val="Sivunumero"/>
        <w:rFonts w:ascii="Arial" w:hAnsi="Arial" w:cs="Arial"/>
        <w:sz w:val="22"/>
        <w:szCs w:val="22"/>
      </w:rPr>
      <w:fldChar w:fldCharType="begin"/>
    </w:r>
    <w:r w:rsidRPr="00A02B6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A02B6D">
      <w:rPr>
        <w:rStyle w:val="Sivunumero"/>
        <w:rFonts w:ascii="Arial" w:hAnsi="Arial" w:cs="Arial"/>
        <w:sz w:val="22"/>
        <w:szCs w:val="22"/>
      </w:rPr>
      <w:fldChar w:fldCharType="separate"/>
    </w:r>
    <w:r w:rsidR="009A40E8">
      <w:rPr>
        <w:rStyle w:val="Sivunumero"/>
        <w:rFonts w:ascii="Arial" w:hAnsi="Arial" w:cs="Arial"/>
        <w:noProof/>
        <w:sz w:val="22"/>
        <w:szCs w:val="22"/>
      </w:rPr>
      <w:t>3</w:t>
    </w:r>
    <w:r w:rsidRPr="00A02B6D">
      <w:rPr>
        <w:rStyle w:val="Sivunumero"/>
        <w:rFonts w:ascii="Arial" w:hAnsi="Arial" w:cs="Arial"/>
        <w:sz w:val="22"/>
        <w:szCs w:val="22"/>
      </w:rPr>
      <w:fldChar w:fldCharType="end"/>
    </w:r>
    <w:r w:rsidR="00B77EDE"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0C17AED6" wp14:editId="039B06D6">
          <wp:simplePos x="0" y="0"/>
          <wp:positionH relativeFrom="column">
            <wp:posOffset>-228600</wp:posOffset>
          </wp:positionH>
          <wp:positionV relativeFrom="paragraph">
            <wp:posOffset>-370205</wp:posOffset>
          </wp:positionV>
          <wp:extent cx="1028700" cy="9525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16C">
      <w:rPr>
        <w:rStyle w:val="Sivunumero"/>
        <w:rFonts w:ascii="Arial" w:hAnsi="Arial" w:cs="Arial"/>
        <w:sz w:val="22"/>
        <w:szCs w:val="22"/>
      </w:rPr>
      <w:t>(</w:t>
    </w:r>
    <w:r w:rsidR="000B016C">
      <w:rPr>
        <w:rStyle w:val="Sivunumero"/>
        <w:rFonts w:ascii="Arial" w:hAnsi="Arial" w:cs="Arial"/>
        <w:sz w:val="22"/>
        <w:szCs w:val="22"/>
      </w:rPr>
      <w:fldChar w:fldCharType="begin"/>
    </w:r>
    <w:r w:rsidR="000B016C">
      <w:rPr>
        <w:rStyle w:val="Sivunumero"/>
        <w:rFonts w:ascii="Arial" w:hAnsi="Arial" w:cs="Arial"/>
        <w:sz w:val="22"/>
        <w:szCs w:val="22"/>
      </w:rPr>
      <w:instrText xml:space="preserve"> NUMPAGES  </w:instrText>
    </w:r>
    <w:r w:rsidR="000B016C">
      <w:rPr>
        <w:rStyle w:val="Sivunumero"/>
        <w:rFonts w:ascii="Arial" w:hAnsi="Arial" w:cs="Arial"/>
        <w:sz w:val="22"/>
        <w:szCs w:val="22"/>
      </w:rPr>
      <w:fldChar w:fldCharType="separate"/>
    </w:r>
    <w:r w:rsidR="009A40E8">
      <w:rPr>
        <w:rStyle w:val="Sivunumero"/>
        <w:rFonts w:ascii="Arial" w:hAnsi="Arial" w:cs="Arial"/>
        <w:noProof/>
        <w:sz w:val="22"/>
        <w:szCs w:val="22"/>
      </w:rPr>
      <w:t>3</w:t>
    </w:r>
    <w:r w:rsidR="000B016C">
      <w:rPr>
        <w:rStyle w:val="Sivunumero"/>
        <w:rFonts w:ascii="Arial" w:hAnsi="Arial" w:cs="Arial"/>
        <w:sz w:val="22"/>
        <w:szCs w:val="22"/>
      </w:rPr>
      <w:fldChar w:fldCharType="end"/>
    </w:r>
    <w:r w:rsidR="000B016C">
      <w:rPr>
        <w:rStyle w:val="Sivunumero"/>
        <w:rFonts w:ascii="Arial" w:hAnsi="Arial" w:cs="Arial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63" w:rsidRPr="00027F2C" w:rsidRDefault="009A40E8" w:rsidP="00F21FC2">
    <w:pPr>
      <w:pStyle w:val="Yltunniste"/>
      <w:tabs>
        <w:tab w:val="clear" w:pos="4819"/>
        <w:tab w:val="clear" w:pos="9638"/>
        <w:tab w:val="center" w:pos="6096"/>
      </w:tabs>
      <w:ind w:right="704"/>
      <w:rPr>
        <w:rFonts w:ascii="Arial" w:hAnsi="Arial" w:cs="Arial"/>
        <w:sz w:val="20"/>
        <w:szCs w:val="20"/>
        <w:lang w:val="fi-FI"/>
      </w:rPr>
    </w:pPr>
    <w:sdt>
      <w:sdtPr>
        <w:rPr>
          <w:rFonts w:ascii="Arial" w:hAnsi="Arial" w:cs="Arial"/>
          <w:sz w:val="20"/>
          <w:szCs w:val="20"/>
          <w:lang w:val="fi-FI"/>
        </w:rPr>
        <w:id w:val="-8338653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  <w:lang w:val="fi-FI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  <w:r w:rsidR="00B77EDE">
      <w:rPr>
        <w:rFonts w:ascii="Arial" w:hAnsi="Arial" w:cs="Arial"/>
        <w:noProof/>
        <w:sz w:val="20"/>
        <w:szCs w:val="20"/>
        <w:lang w:val="fi-FI" w:eastAsia="fi-FI"/>
      </w:rPr>
      <w:drawing>
        <wp:inline distT="0" distB="0" distL="0" distR="0" wp14:anchorId="798DE180" wp14:editId="5310DF1D">
          <wp:extent cx="766484" cy="766484"/>
          <wp:effectExtent l="0" t="0" r="0" b="0"/>
          <wp:docPr id="20" name="Kuva 20" descr="K:\Kaupan liitto\Tunnus1_rgp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:\Kaupan liitto\Tunnus1_rgp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24" cy="76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663" w:rsidRDefault="00C46663" w:rsidP="009901F2">
    <w:pPr>
      <w:pStyle w:val="Yltunniste"/>
      <w:tabs>
        <w:tab w:val="clear" w:pos="4819"/>
        <w:tab w:val="clear" w:pos="9638"/>
        <w:tab w:val="center" w:pos="6660"/>
      </w:tabs>
      <w:ind w:right="7904"/>
      <w:rPr>
        <w:rFonts w:ascii="Arial" w:hAnsi="Arial" w:cs="Arial"/>
        <w:sz w:val="20"/>
        <w:szCs w:val="20"/>
        <w:lang w:val="fi-FI"/>
      </w:rPr>
    </w:pPr>
  </w:p>
  <w:p w:rsidR="00C46663" w:rsidRPr="00664B2F" w:rsidRDefault="00C46663" w:rsidP="008E1174">
    <w:pPr>
      <w:pStyle w:val="Yltunniste"/>
      <w:tabs>
        <w:tab w:val="clear" w:pos="4819"/>
        <w:tab w:val="clear" w:pos="9638"/>
        <w:tab w:val="center" w:pos="6237"/>
      </w:tabs>
      <w:ind w:right="7904"/>
      <w:rPr>
        <w:sz w:val="22"/>
        <w:szCs w:val="22"/>
        <w:lang w:val="fi-FI"/>
      </w:rPr>
    </w:pPr>
    <w:r w:rsidRPr="00664B2F">
      <w:rPr>
        <w:sz w:val="22"/>
        <w:szCs w:val="22"/>
        <w:lang w:val="fi-FI"/>
      </w:rPr>
      <w:t>Janne Koivisto</w:t>
    </w:r>
    <w:r w:rsidRPr="00664B2F">
      <w:rPr>
        <w:sz w:val="22"/>
        <w:szCs w:val="22"/>
        <w:lang w:val="fi-FI"/>
      </w:rPr>
      <w:tab/>
    </w:r>
    <w:r w:rsidR="00FC604D">
      <w:rPr>
        <w:sz w:val="22"/>
        <w:szCs w:val="22"/>
        <w:lang w:val="fi-FI"/>
      </w:rPr>
      <w:t>30</w:t>
    </w:r>
    <w:r w:rsidRPr="00664B2F">
      <w:rPr>
        <w:sz w:val="22"/>
        <w:szCs w:val="22"/>
        <w:lang w:val="fi-FI"/>
      </w:rPr>
      <w:t>.</w:t>
    </w:r>
    <w:r w:rsidR="00D24C43" w:rsidRPr="00664B2F">
      <w:rPr>
        <w:sz w:val="22"/>
        <w:szCs w:val="22"/>
        <w:lang w:val="fi-FI"/>
      </w:rPr>
      <w:t>4</w:t>
    </w:r>
    <w:r w:rsidRPr="00664B2F">
      <w:rPr>
        <w:sz w:val="22"/>
        <w:szCs w:val="22"/>
        <w:lang w:val="fi-FI"/>
      </w:rPr>
      <w:t>.201</w:t>
    </w:r>
    <w:r w:rsidR="00D24C43" w:rsidRPr="00664B2F">
      <w:rPr>
        <w:sz w:val="22"/>
        <w:szCs w:val="22"/>
        <w:lang w:val="fi-F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969"/>
    <w:multiLevelType w:val="hybridMultilevel"/>
    <w:tmpl w:val="A7AA90A8"/>
    <w:lvl w:ilvl="0" w:tplc="07C2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096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E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8C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8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9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C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2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CB27A9"/>
    <w:multiLevelType w:val="hybridMultilevel"/>
    <w:tmpl w:val="AE28C1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E5"/>
    <w:rsid w:val="00005C1E"/>
    <w:rsid w:val="000237F5"/>
    <w:rsid w:val="000251FD"/>
    <w:rsid w:val="00027F2C"/>
    <w:rsid w:val="00044FE6"/>
    <w:rsid w:val="0008431C"/>
    <w:rsid w:val="000B016C"/>
    <w:rsid w:val="000B682B"/>
    <w:rsid w:val="000B696F"/>
    <w:rsid w:val="000B6BB3"/>
    <w:rsid w:val="000C7C7C"/>
    <w:rsid w:val="000D30E3"/>
    <w:rsid w:val="000E3CB7"/>
    <w:rsid w:val="0013272D"/>
    <w:rsid w:val="00132AD8"/>
    <w:rsid w:val="00132B4E"/>
    <w:rsid w:val="001417CD"/>
    <w:rsid w:val="001446FE"/>
    <w:rsid w:val="00152F4A"/>
    <w:rsid w:val="00162BC0"/>
    <w:rsid w:val="0017300D"/>
    <w:rsid w:val="0017652B"/>
    <w:rsid w:val="00184C5D"/>
    <w:rsid w:val="00197E08"/>
    <w:rsid w:val="001A6C23"/>
    <w:rsid w:val="001B01B1"/>
    <w:rsid w:val="001B13CA"/>
    <w:rsid w:val="001B2078"/>
    <w:rsid w:val="001E368B"/>
    <w:rsid w:val="00201284"/>
    <w:rsid w:val="00202428"/>
    <w:rsid w:val="00203291"/>
    <w:rsid w:val="00203D6B"/>
    <w:rsid w:val="00215FC4"/>
    <w:rsid w:val="00217077"/>
    <w:rsid w:val="00235819"/>
    <w:rsid w:val="0024023E"/>
    <w:rsid w:val="002413C9"/>
    <w:rsid w:val="00244D9B"/>
    <w:rsid w:val="00256ECB"/>
    <w:rsid w:val="00275FAB"/>
    <w:rsid w:val="00280B48"/>
    <w:rsid w:val="002900DF"/>
    <w:rsid w:val="002A4006"/>
    <w:rsid w:val="002B767C"/>
    <w:rsid w:val="002E3B17"/>
    <w:rsid w:val="002E5E81"/>
    <w:rsid w:val="003019D9"/>
    <w:rsid w:val="00302478"/>
    <w:rsid w:val="0031759E"/>
    <w:rsid w:val="00320B51"/>
    <w:rsid w:val="0032678E"/>
    <w:rsid w:val="00327B25"/>
    <w:rsid w:val="00332E88"/>
    <w:rsid w:val="00360032"/>
    <w:rsid w:val="00394416"/>
    <w:rsid w:val="00396EEB"/>
    <w:rsid w:val="003A5AD2"/>
    <w:rsid w:val="003A710D"/>
    <w:rsid w:val="003C3146"/>
    <w:rsid w:val="003E3381"/>
    <w:rsid w:val="003E5C5C"/>
    <w:rsid w:val="003F2049"/>
    <w:rsid w:val="003F45A7"/>
    <w:rsid w:val="003F4CEE"/>
    <w:rsid w:val="004109C6"/>
    <w:rsid w:val="00414DED"/>
    <w:rsid w:val="00420CE1"/>
    <w:rsid w:val="0042149F"/>
    <w:rsid w:val="00425887"/>
    <w:rsid w:val="00430B02"/>
    <w:rsid w:val="00430C0B"/>
    <w:rsid w:val="00434C11"/>
    <w:rsid w:val="00442DA4"/>
    <w:rsid w:val="0045590A"/>
    <w:rsid w:val="004616AA"/>
    <w:rsid w:val="0046775B"/>
    <w:rsid w:val="004677E0"/>
    <w:rsid w:val="00476CEF"/>
    <w:rsid w:val="00477B9D"/>
    <w:rsid w:val="00490CAD"/>
    <w:rsid w:val="0049753D"/>
    <w:rsid w:val="004A638E"/>
    <w:rsid w:val="004B424B"/>
    <w:rsid w:val="004B7F62"/>
    <w:rsid w:val="004F40EC"/>
    <w:rsid w:val="004F6AF8"/>
    <w:rsid w:val="004F7AA2"/>
    <w:rsid w:val="00504223"/>
    <w:rsid w:val="005053DD"/>
    <w:rsid w:val="005070CA"/>
    <w:rsid w:val="005221F1"/>
    <w:rsid w:val="00555452"/>
    <w:rsid w:val="00572838"/>
    <w:rsid w:val="005775CC"/>
    <w:rsid w:val="005934AA"/>
    <w:rsid w:val="005A3B5A"/>
    <w:rsid w:val="005A73D9"/>
    <w:rsid w:val="005B1C58"/>
    <w:rsid w:val="005C7D6C"/>
    <w:rsid w:val="005D4D82"/>
    <w:rsid w:val="005F418E"/>
    <w:rsid w:val="005F60B7"/>
    <w:rsid w:val="006000C0"/>
    <w:rsid w:val="00623D0F"/>
    <w:rsid w:val="00626206"/>
    <w:rsid w:val="00630407"/>
    <w:rsid w:val="00633610"/>
    <w:rsid w:val="00646BD3"/>
    <w:rsid w:val="0064772C"/>
    <w:rsid w:val="00664B2F"/>
    <w:rsid w:val="0068499E"/>
    <w:rsid w:val="006B21D0"/>
    <w:rsid w:val="006B2B03"/>
    <w:rsid w:val="006B6BF7"/>
    <w:rsid w:val="006B7D57"/>
    <w:rsid w:val="006C1C10"/>
    <w:rsid w:val="006D198B"/>
    <w:rsid w:val="006D7B7F"/>
    <w:rsid w:val="006E24CE"/>
    <w:rsid w:val="006F0061"/>
    <w:rsid w:val="006F68B0"/>
    <w:rsid w:val="00700C1F"/>
    <w:rsid w:val="00716C62"/>
    <w:rsid w:val="00720240"/>
    <w:rsid w:val="007254FD"/>
    <w:rsid w:val="007302AB"/>
    <w:rsid w:val="00742F6B"/>
    <w:rsid w:val="00752E95"/>
    <w:rsid w:val="00753F8C"/>
    <w:rsid w:val="00761090"/>
    <w:rsid w:val="0076624E"/>
    <w:rsid w:val="007716FE"/>
    <w:rsid w:val="0077752C"/>
    <w:rsid w:val="0078227B"/>
    <w:rsid w:val="00782418"/>
    <w:rsid w:val="0078536F"/>
    <w:rsid w:val="007853F5"/>
    <w:rsid w:val="00793315"/>
    <w:rsid w:val="007934F1"/>
    <w:rsid w:val="00793BD2"/>
    <w:rsid w:val="007A6222"/>
    <w:rsid w:val="007B2C54"/>
    <w:rsid w:val="007B780A"/>
    <w:rsid w:val="007C366B"/>
    <w:rsid w:val="007C7255"/>
    <w:rsid w:val="007E22DC"/>
    <w:rsid w:val="00800682"/>
    <w:rsid w:val="008064C6"/>
    <w:rsid w:val="00835C07"/>
    <w:rsid w:val="00836618"/>
    <w:rsid w:val="00837FA8"/>
    <w:rsid w:val="00864B84"/>
    <w:rsid w:val="0086505B"/>
    <w:rsid w:val="00882809"/>
    <w:rsid w:val="0088482A"/>
    <w:rsid w:val="00885CE5"/>
    <w:rsid w:val="008A24CA"/>
    <w:rsid w:val="008C2958"/>
    <w:rsid w:val="008D4571"/>
    <w:rsid w:val="008D5FA9"/>
    <w:rsid w:val="008E1174"/>
    <w:rsid w:val="008E4474"/>
    <w:rsid w:val="008E79E1"/>
    <w:rsid w:val="008F00C0"/>
    <w:rsid w:val="009014D0"/>
    <w:rsid w:val="00901B12"/>
    <w:rsid w:val="009077DE"/>
    <w:rsid w:val="00912D93"/>
    <w:rsid w:val="009140AB"/>
    <w:rsid w:val="00920611"/>
    <w:rsid w:val="00933A60"/>
    <w:rsid w:val="00963D38"/>
    <w:rsid w:val="009662A7"/>
    <w:rsid w:val="0097564C"/>
    <w:rsid w:val="00980118"/>
    <w:rsid w:val="0098223B"/>
    <w:rsid w:val="0098261B"/>
    <w:rsid w:val="0098320D"/>
    <w:rsid w:val="009901F2"/>
    <w:rsid w:val="00992508"/>
    <w:rsid w:val="009950DB"/>
    <w:rsid w:val="009A0772"/>
    <w:rsid w:val="009A1DD7"/>
    <w:rsid w:val="009A40E8"/>
    <w:rsid w:val="009B4EB4"/>
    <w:rsid w:val="009B4FA4"/>
    <w:rsid w:val="009B53BF"/>
    <w:rsid w:val="009B5BDD"/>
    <w:rsid w:val="009B67F5"/>
    <w:rsid w:val="009C39BE"/>
    <w:rsid w:val="009C42C3"/>
    <w:rsid w:val="009D2E72"/>
    <w:rsid w:val="009E26FC"/>
    <w:rsid w:val="009E2A2A"/>
    <w:rsid w:val="009F19CC"/>
    <w:rsid w:val="009F589B"/>
    <w:rsid w:val="00A01C51"/>
    <w:rsid w:val="00A02B6D"/>
    <w:rsid w:val="00A03D9B"/>
    <w:rsid w:val="00A23756"/>
    <w:rsid w:val="00A47767"/>
    <w:rsid w:val="00A50DE1"/>
    <w:rsid w:val="00A5612C"/>
    <w:rsid w:val="00A657DF"/>
    <w:rsid w:val="00A70A57"/>
    <w:rsid w:val="00A75875"/>
    <w:rsid w:val="00A869D6"/>
    <w:rsid w:val="00A87730"/>
    <w:rsid w:val="00AC1907"/>
    <w:rsid w:val="00AD0EB6"/>
    <w:rsid w:val="00AE53D6"/>
    <w:rsid w:val="00AF2CAF"/>
    <w:rsid w:val="00AF74F5"/>
    <w:rsid w:val="00B205C3"/>
    <w:rsid w:val="00B2504F"/>
    <w:rsid w:val="00B250D0"/>
    <w:rsid w:val="00B4350E"/>
    <w:rsid w:val="00B44319"/>
    <w:rsid w:val="00B46139"/>
    <w:rsid w:val="00B47CE6"/>
    <w:rsid w:val="00B521F4"/>
    <w:rsid w:val="00B7656F"/>
    <w:rsid w:val="00B77EDE"/>
    <w:rsid w:val="00B87AB0"/>
    <w:rsid w:val="00B970E7"/>
    <w:rsid w:val="00BA3F2A"/>
    <w:rsid w:val="00BB4C8A"/>
    <w:rsid w:val="00BC592F"/>
    <w:rsid w:val="00BC6569"/>
    <w:rsid w:val="00BE1B25"/>
    <w:rsid w:val="00BE740D"/>
    <w:rsid w:val="00C161FF"/>
    <w:rsid w:val="00C17576"/>
    <w:rsid w:val="00C17FE3"/>
    <w:rsid w:val="00C23063"/>
    <w:rsid w:val="00C44344"/>
    <w:rsid w:val="00C46663"/>
    <w:rsid w:val="00C60C97"/>
    <w:rsid w:val="00C823E8"/>
    <w:rsid w:val="00C84428"/>
    <w:rsid w:val="00C86047"/>
    <w:rsid w:val="00C8738E"/>
    <w:rsid w:val="00C96DDD"/>
    <w:rsid w:val="00CB2697"/>
    <w:rsid w:val="00CD622E"/>
    <w:rsid w:val="00CF7158"/>
    <w:rsid w:val="00D01586"/>
    <w:rsid w:val="00D040FF"/>
    <w:rsid w:val="00D24C43"/>
    <w:rsid w:val="00D44FB3"/>
    <w:rsid w:val="00D46C23"/>
    <w:rsid w:val="00D63CAA"/>
    <w:rsid w:val="00D669A1"/>
    <w:rsid w:val="00D67FC3"/>
    <w:rsid w:val="00D727AB"/>
    <w:rsid w:val="00D73611"/>
    <w:rsid w:val="00D7599F"/>
    <w:rsid w:val="00D84251"/>
    <w:rsid w:val="00D852DF"/>
    <w:rsid w:val="00D92F33"/>
    <w:rsid w:val="00DA2664"/>
    <w:rsid w:val="00DA4042"/>
    <w:rsid w:val="00DB07A3"/>
    <w:rsid w:val="00DC67D3"/>
    <w:rsid w:val="00DF5196"/>
    <w:rsid w:val="00E11495"/>
    <w:rsid w:val="00E14EE1"/>
    <w:rsid w:val="00E203A8"/>
    <w:rsid w:val="00E31C11"/>
    <w:rsid w:val="00E40847"/>
    <w:rsid w:val="00E519C3"/>
    <w:rsid w:val="00E64C6A"/>
    <w:rsid w:val="00E74BDC"/>
    <w:rsid w:val="00E75593"/>
    <w:rsid w:val="00EA0CDF"/>
    <w:rsid w:val="00EA35E5"/>
    <w:rsid w:val="00ED7DE6"/>
    <w:rsid w:val="00EF4EEC"/>
    <w:rsid w:val="00EF5495"/>
    <w:rsid w:val="00F21FC2"/>
    <w:rsid w:val="00F37570"/>
    <w:rsid w:val="00F84E80"/>
    <w:rsid w:val="00F935F1"/>
    <w:rsid w:val="00F953AB"/>
    <w:rsid w:val="00FA4D12"/>
    <w:rsid w:val="00FC604D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Sivunumero">
    <w:name w:val="page number"/>
    <w:basedOn w:val="Kappaleenoletusfontti"/>
    <w:uiPriority w:val="99"/>
    <w:rsid w:val="00A02B6D"/>
    <w:rPr>
      <w:rFonts w:cs="Times New Roman"/>
    </w:rPr>
  </w:style>
  <w:style w:type="paragraph" w:styleId="Lohkoteksti">
    <w:name w:val="Block Text"/>
    <w:basedOn w:val="Normaali"/>
    <w:uiPriority w:val="99"/>
    <w:rsid w:val="00CF7158"/>
    <w:pPr>
      <w:ind w:left="1418" w:right="-260"/>
      <w:jc w:val="both"/>
    </w:pPr>
    <w:rPr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0D30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404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DA4042"/>
    <w:rPr>
      <w:rFonts w:cs="Times New Roman"/>
      <w:sz w:val="20"/>
      <w:szCs w:val="20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DA4042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4616A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Sivunumero">
    <w:name w:val="page number"/>
    <w:basedOn w:val="Kappaleenoletusfontti"/>
    <w:uiPriority w:val="99"/>
    <w:rsid w:val="00A02B6D"/>
    <w:rPr>
      <w:rFonts w:cs="Times New Roman"/>
    </w:rPr>
  </w:style>
  <w:style w:type="paragraph" w:styleId="Lohkoteksti">
    <w:name w:val="Block Text"/>
    <w:basedOn w:val="Normaali"/>
    <w:uiPriority w:val="99"/>
    <w:rsid w:val="00CF7158"/>
    <w:pPr>
      <w:ind w:left="1418" w:right="-260"/>
      <w:jc w:val="both"/>
    </w:pPr>
    <w:rPr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0D30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404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DA4042"/>
    <w:rPr>
      <w:rFonts w:cs="Times New Roman"/>
      <w:sz w:val="20"/>
      <w:szCs w:val="20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DA4042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4616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6553-0015-48A5-A674-505F4D9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4742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</dc:title>
  <dc:creator>Lande</dc:creator>
  <cp:lastModifiedBy>Lakka Mari</cp:lastModifiedBy>
  <cp:revision>2</cp:revision>
  <cp:lastPrinted>2015-04-30T09:55:00Z</cp:lastPrinted>
  <dcterms:created xsi:type="dcterms:W3CDTF">2015-04-30T09:55:00Z</dcterms:created>
  <dcterms:modified xsi:type="dcterms:W3CDTF">2015-04-30T09:55:00Z</dcterms:modified>
</cp:coreProperties>
</file>