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67257" w14:textId="77777777" w:rsidR="001A4346" w:rsidRPr="00D73C2F" w:rsidRDefault="001A4346" w:rsidP="001A4346">
      <w:pPr>
        <w:jc w:val="both"/>
        <w:rPr>
          <w:b/>
          <w:bCs/>
        </w:rPr>
      </w:pPr>
      <w:bookmarkStart w:id="0" w:name="_GoBack"/>
      <w:bookmarkEnd w:id="0"/>
      <w:r w:rsidRPr="00D73C2F">
        <w:rPr>
          <w:b/>
          <w:bCs/>
        </w:rPr>
        <w:t>Oikeusministeriölle</w:t>
      </w:r>
    </w:p>
    <w:p w14:paraId="3A03B49D" w14:textId="77777777" w:rsidR="005B6DC9" w:rsidRDefault="001A4346" w:rsidP="001A4346">
      <w:pPr>
        <w:jc w:val="both"/>
        <w:rPr>
          <w:bCs/>
        </w:rPr>
      </w:pPr>
      <w:r w:rsidRPr="00D73C2F">
        <w:rPr>
          <w:bCs/>
        </w:rPr>
        <w:t xml:space="preserve">Kuluttajansuojaviranomaisten valtuudet  </w:t>
      </w:r>
    </w:p>
    <w:p w14:paraId="1956444F" w14:textId="549B524C" w:rsidR="001A4346" w:rsidRDefault="005B6DC9" w:rsidP="001A4346">
      <w:pPr>
        <w:jc w:val="both"/>
        <w:rPr>
          <w:bCs/>
        </w:rPr>
      </w:pPr>
      <w:r>
        <w:rPr>
          <w:bCs/>
        </w:rPr>
        <w:t>OM 1/471/2014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86A27" w:rsidRPr="00D73C2F">
        <w:rPr>
          <w:bCs/>
        </w:rPr>
        <w:t>30</w:t>
      </w:r>
      <w:r w:rsidR="001A4346" w:rsidRPr="00D73C2F">
        <w:rPr>
          <w:bCs/>
        </w:rPr>
        <w:t xml:space="preserve">.4.2015 </w:t>
      </w:r>
    </w:p>
    <w:p w14:paraId="65B10C2B" w14:textId="77777777" w:rsidR="005B6DC9" w:rsidRPr="00D73C2F" w:rsidRDefault="005B6DC9" w:rsidP="001A4346">
      <w:pPr>
        <w:jc w:val="both"/>
        <w:rPr>
          <w:bCs/>
        </w:rPr>
      </w:pPr>
    </w:p>
    <w:p w14:paraId="1D8746A5" w14:textId="77777777" w:rsidR="001A4346" w:rsidRPr="00D73C2F" w:rsidRDefault="001A4346" w:rsidP="001A4346">
      <w:pPr>
        <w:jc w:val="both"/>
        <w:rPr>
          <w:bCs/>
        </w:rPr>
      </w:pPr>
    </w:p>
    <w:p w14:paraId="69ADE767" w14:textId="77777777" w:rsidR="001A4346" w:rsidRPr="00D73C2F" w:rsidRDefault="001A4346" w:rsidP="001A4346">
      <w:pPr>
        <w:jc w:val="both"/>
        <w:rPr>
          <w:bCs/>
          <w:lang w:val="en-US"/>
        </w:rPr>
      </w:pPr>
      <w:r w:rsidRPr="00D73C2F">
        <w:rPr>
          <w:b/>
          <w:bCs/>
          <w:lang w:val="en-US"/>
        </w:rPr>
        <w:t xml:space="preserve">YLEISTÄ </w:t>
      </w:r>
    </w:p>
    <w:p w14:paraId="4F9354DA" w14:textId="184C069C" w:rsidR="001A4346" w:rsidRPr="00D73C2F" w:rsidRDefault="001A4346" w:rsidP="001A4346">
      <w:pPr>
        <w:jc w:val="both"/>
        <w:rPr>
          <w:bCs/>
        </w:rPr>
      </w:pPr>
      <w:r w:rsidRPr="00D73C2F">
        <w:rPr>
          <w:bCs/>
        </w:rPr>
        <w:t>Valtioneuvoston kuluttajapoliittis</w:t>
      </w:r>
      <w:r w:rsidR="00686A27" w:rsidRPr="00D73C2F">
        <w:rPr>
          <w:bCs/>
        </w:rPr>
        <w:t>essa ohjelmassa vuosille 2012-</w:t>
      </w:r>
      <w:r w:rsidRPr="00D73C2F">
        <w:rPr>
          <w:bCs/>
        </w:rPr>
        <w:t>2015 päätettiin, että on syytä selvittää kuluttajaviranomaisten keinovalikoiman tarkoituksenmukaisuus ja riittävyys. Oikeu</w:t>
      </w:r>
      <w:r w:rsidRPr="00D73C2F">
        <w:rPr>
          <w:bCs/>
        </w:rPr>
        <w:t>s</w:t>
      </w:r>
      <w:r w:rsidRPr="00D73C2F">
        <w:rPr>
          <w:bCs/>
        </w:rPr>
        <w:t>ministeriön kuluttajansuojaviranomaisten toimivaltuudet -työryhmän asettamispäätöksessä ty</w:t>
      </w:r>
      <w:r w:rsidRPr="00D73C2F">
        <w:rPr>
          <w:bCs/>
        </w:rPr>
        <w:t>ö</w:t>
      </w:r>
      <w:r w:rsidRPr="00D73C2F">
        <w:rPr>
          <w:bCs/>
        </w:rPr>
        <w:t>ryhmä asetettiin selvittämään kuluttaja-asiamiehen nykyisen keinovalikoiman toimivuus, ma</w:t>
      </w:r>
      <w:r w:rsidRPr="00D73C2F">
        <w:rPr>
          <w:bCs/>
        </w:rPr>
        <w:t>h</w:t>
      </w:r>
      <w:r w:rsidRPr="00D73C2F">
        <w:rPr>
          <w:bCs/>
        </w:rPr>
        <w:t>dolliset uudistustarpeet sekä arviomaan onko aluehallintoviranomaisten toimintamahdollisuu</w:t>
      </w:r>
      <w:r w:rsidRPr="00D73C2F">
        <w:rPr>
          <w:bCs/>
        </w:rPr>
        <w:t>k</w:t>
      </w:r>
      <w:r w:rsidRPr="00D73C2F">
        <w:rPr>
          <w:bCs/>
        </w:rPr>
        <w:t xml:space="preserve">sia tarvetta kehittää. </w:t>
      </w:r>
    </w:p>
    <w:p w14:paraId="622B0164" w14:textId="77777777" w:rsidR="001A4346" w:rsidRPr="00D73C2F" w:rsidRDefault="001A4346" w:rsidP="001A4346">
      <w:pPr>
        <w:jc w:val="both"/>
        <w:rPr>
          <w:bCs/>
        </w:rPr>
      </w:pPr>
    </w:p>
    <w:p w14:paraId="26E13D22" w14:textId="77777777" w:rsidR="001A4346" w:rsidRPr="00D73C2F" w:rsidRDefault="001A4346" w:rsidP="001A4346">
      <w:pPr>
        <w:jc w:val="both"/>
        <w:rPr>
          <w:bCs/>
        </w:rPr>
      </w:pPr>
      <w:r w:rsidRPr="00D73C2F">
        <w:rPr>
          <w:bCs/>
        </w:rPr>
        <w:t xml:space="preserve">Työryhmän mietinnössä ehdotetaan kolmea muutosta nykytilaan. </w:t>
      </w:r>
    </w:p>
    <w:p w14:paraId="29F31918" w14:textId="77777777" w:rsidR="001A4346" w:rsidRPr="00D73C2F" w:rsidRDefault="001A4346" w:rsidP="001A4346">
      <w:pPr>
        <w:pStyle w:val="Luettelokappale"/>
        <w:numPr>
          <w:ilvl w:val="0"/>
          <w:numId w:val="2"/>
        </w:numPr>
        <w:jc w:val="both"/>
        <w:rPr>
          <w:bCs/>
        </w:rPr>
      </w:pPr>
      <w:r w:rsidRPr="00D73C2F">
        <w:rPr>
          <w:bCs/>
        </w:rPr>
        <w:t xml:space="preserve">Uusi seuraamusmaksu, jonka markkinaoikeus voi kuluttaja-asiamiehen hakemuksesta määrätä elinkeinonharjoittajalle, joka on rikkonut kuluttajaa suojaavia säännöksiä. </w:t>
      </w:r>
    </w:p>
    <w:p w14:paraId="6E167C17" w14:textId="77777777" w:rsidR="001A4346" w:rsidRPr="00D73C2F" w:rsidRDefault="001A4346" w:rsidP="001A4346">
      <w:pPr>
        <w:pStyle w:val="Luettelokappale"/>
        <w:numPr>
          <w:ilvl w:val="0"/>
          <w:numId w:val="2"/>
        </w:numPr>
        <w:jc w:val="both"/>
        <w:rPr>
          <w:bCs/>
        </w:rPr>
      </w:pPr>
      <w:r w:rsidRPr="00D73C2F">
        <w:rPr>
          <w:bCs/>
        </w:rPr>
        <w:t>Aluehallintoviranomaisten toimivaltuuksien lisääminen siten, että virastoilla olisi itsenä</w:t>
      </w:r>
      <w:r w:rsidRPr="00D73C2F">
        <w:rPr>
          <w:bCs/>
        </w:rPr>
        <w:t>i</w:t>
      </w:r>
      <w:r w:rsidRPr="00D73C2F">
        <w:rPr>
          <w:bCs/>
        </w:rPr>
        <w:t xml:space="preserve">nen oikeus määrätä elinkeinonharjoittajille kielto silloin, kun rikkomus on ilmeinen ja säännösten soveltamiskäytäntö vakiintunut. </w:t>
      </w:r>
    </w:p>
    <w:p w14:paraId="6FA37E68" w14:textId="77777777" w:rsidR="001A4346" w:rsidRPr="00D73C2F" w:rsidRDefault="001A4346" w:rsidP="001A4346">
      <w:pPr>
        <w:pStyle w:val="Luettelokappale"/>
        <w:numPr>
          <w:ilvl w:val="0"/>
          <w:numId w:val="2"/>
        </w:numPr>
        <w:jc w:val="both"/>
        <w:rPr>
          <w:bCs/>
        </w:rPr>
      </w:pPr>
      <w:r w:rsidRPr="00D73C2F">
        <w:rPr>
          <w:bCs/>
        </w:rPr>
        <w:t>Laajennetaan kuluttaja-asiamiehen toimivaltaa määrätä kielto ja muutetaan kieltoa ko</w:t>
      </w:r>
      <w:r w:rsidRPr="00D73C2F">
        <w:rPr>
          <w:bCs/>
        </w:rPr>
        <w:t>s</w:t>
      </w:r>
      <w:r w:rsidRPr="00D73C2F">
        <w:rPr>
          <w:bCs/>
        </w:rPr>
        <w:t>kevaa menettelyä siten, että kieltopäätös jäisi voimaan ellei yritys saata päätöstä markk</w:t>
      </w:r>
      <w:r w:rsidRPr="00D73C2F">
        <w:rPr>
          <w:bCs/>
        </w:rPr>
        <w:t>i</w:t>
      </w:r>
      <w:r w:rsidRPr="00D73C2F">
        <w:rPr>
          <w:bCs/>
        </w:rPr>
        <w:t xml:space="preserve">naoikeuden käsiteltäväksi. </w:t>
      </w:r>
    </w:p>
    <w:p w14:paraId="6E3545F4" w14:textId="77777777" w:rsidR="001A4346" w:rsidRPr="00D73C2F" w:rsidRDefault="001A4346" w:rsidP="001A4346">
      <w:pPr>
        <w:jc w:val="both"/>
        <w:rPr>
          <w:bCs/>
        </w:rPr>
      </w:pPr>
    </w:p>
    <w:p w14:paraId="0DB8EE9A" w14:textId="0AA64538" w:rsidR="00CF0350" w:rsidRPr="00D73C2F" w:rsidRDefault="00CF0350" w:rsidP="001A4346">
      <w:pPr>
        <w:jc w:val="both"/>
        <w:rPr>
          <w:b/>
          <w:bCs/>
        </w:rPr>
      </w:pPr>
      <w:r w:rsidRPr="00D73C2F">
        <w:rPr>
          <w:b/>
          <w:bCs/>
        </w:rPr>
        <w:t>Suhde toimeksiantoon</w:t>
      </w:r>
    </w:p>
    <w:p w14:paraId="3BFA1C5C" w14:textId="7808EDFB" w:rsidR="00CF0350" w:rsidRPr="00D73C2F" w:rsidRDefault="00CF0350" w:rsidP="001A4346">
      <w:pPr>
        <w:jc w:val="both"/>
        <w:rPr>
          <w:bCs/>
        </w:rPr>
      </w:pPr>
      <w:r w:rsidRPr="00D73C2F">
        <w:rPr>
          <w:bCs/>
        </w:rPr>
        <w:t>Vaikka työryhmän ensisijainen tehtävä oli selvittää nykyisen keinovalikoiman toimivuus, ty</w:t>
      </w:r>
      <w:r w:rsidRPr="00D73C2F">
        <w:rPr>
          <w:bCs/>
        </w:rPr>
        <w:t>ö</w:t>
      </w:r>
      <w:r w:rsidRPr="00D73C2F">
        <w:rPr>
          <w:bCs/>
        </w:rPr>
        <w:t>ryhmä on pääasiassa keskittynyt valmistelemaan muutoksia ilman riittäviä taustaselvityksiä. Tämä ei vastaa kuluttajapoliittisen ohjelman toimeksiantoa eikä myöskään hyvälle lainvalmist</w:t>
      </w:r>
      <w:r w:rsidRPr="00D73C2F">
        <w:rPr>
          <w:bCs/>
        </w:rPr>
        <w:t>e</w:t>
      </w:r>
      <w:r w:rsidRPr="00D73C2F">
        <w:rPr>
          <w:bCs/>
        </w:rPr>
        <w:t>lulle valtioneuvostossa asetettuja kriteereitä. ASML pitää tämäntyyppistä toimeksiannon ohitt</w:t>
      </w:r>
      <w:r w:rsidRPr="00D73C2F">
        <w:rPr>
          <w:bCs/>
        </w:rPr>
        <w:t>a</w:t>
      </w:r>
      <w:r w:rsidRPr="00D73C2F">
        <w:rPr>
          <w:bCs/>
        </w:rPr>
        <w:t>mista hyvin poikkeuksellisena.</w:t>
      </w:r>
    </w:p>
    <w:p w14:paraId="051EDB41" w14:textId="77777777" w:rsidR="00CF0350" w:rsidRPr="00D73C2F" w:rsidRDefault="00CF0350" w:rsidP="001A4346">
      <w:pPr>
        <w:jc w:val="both"/>
        <w:rPr>
          <w:bCs/>
        </w:rPr>
      </w:pPr>
    </w:p>
    <w:p w14:paraId="27BA1C75" w14:textId="29E2874D" w:rsidR="00CF0350" w:rsidRPr="00D73C2F" w:rsidRDefault="00CF0350" w:rsidP="001A4346">
      <w:pPr>
        <w:jc w:val="both"/>
        <w:rPr>
          <w:b/>
          <w:bCs/>
        </w:rPr>
      </w:pPr>
      <w:r w:rsidRPr="00D73C2F">
        <w:rPr>
          <w:b/>
          <w:bCs/>
        </w:rPr>
        <w:t>Tilanteen selvittäminen ja analyysi</w:t>
      </w:r>
    </w:p>
    <w:p w14:paraId="5A1B371D" w14:textId="099EC05B" w:rsidR="00CF0350" w:rsidRPr="00D73C2F" w:rsidRDefault="001A4346" w:rsidP="001A4346">
      <w:pPr>
        <w:jc w:val="both"/>
        <w:rPr>
          <w:bCs/>
        </w:rPr>
      </w:pPr>
      <w:r w:rsidRPr="00D73C2F">
        <w:rPr>
          <w:bCs/>
        </w:rPr>
        <w:t xml:space="preserve">Mietinnössä ei ole riittävästi selvitetty nykyisen keinovalikoiman tarkoituksenmukaisuutta eikä etenkään sen riittävyyttä eikä otettu </w:t>
      </w:r>
      <w:r w:rsidR="00CF0350" w:rsidRPr="00D73C2F">
        <w:rPr>
          <w:bCs/>
        </w:rPr>
        <w:t xml:space="preserve">kunnolla </w:t>
      </w:r>
      <w:r w:rsidRPr="00D73C2F">
        <w:rPr>
          <w:bCs/>
        </w:rPr>
        <w:t>kantaa keinojen vähäiseen käyttöasteeseen</w:t>
      </w:r>
      <w:r w:rsidR="00D47710" w:rsidRPr="00D73C2F">
        <w:rPr>
          <w:bCs/>
        </w:rPr>
        <w:t>.</w:t>
      </w:r>
      <w:r w:rsidRPr="00D73C2F">
        <w:rPr>
          <w:bCs/>
        </w:rPr>
        <w:t xml:space="preserve"> </w:t>
      </w:r>
      <w:r w:rsidR="00C92E1C" w:rsidRPr="00D73C2F">
        <w:rPr>
          <w:bCs/>
        </w:rPr>
        <w:t>Katt</w:t>
      </w:r>
      <w:r w:rsidR="00C92E1C" w:rsidRPr="00D73C2F">
        <w:rPr>
          <w:bCs/>
        </w:rPr>
        <w:t>a</w:t>
      </w:r>
      <w:r w:rsidR="00C92E1C" w:rsidRPr="00D73C2F">
        <w:rPr>
          <w:bCs/>
        </w:rPr>
        <w:t xml:space="preserve">va </w:t>
      </w:r>
      <w:r w:rsidR="00CF0350" w:rsidRPr="00D73C2F">
        <w:rPr>
          <w:bCs/>
        </w:rPr>
        <w:t>analyysi</w:t>
      </w:r>
      <w:r w:rsidR="00C92E1C" w:rsidRPr="00D73C2F">
        <w:rPr>
          <w:bCs/>
        </w:rPr>
        <w:t xml:space="preserve"> auttaisi arvioimaan nykyisen keinovalikoiman riittävyyttä ja näkemään paljonko hankalia ja laajakantoisia ongelmatapauksia </w:t>
      </w:r>
      <w:r w:rsidR="00CF0350" w:rsidRPr="00D73C2F">
        <w:rPr>
          <w:bCs/>
        </w:rPr>
        <w:t xml:space="preserve">todella </w:t>
      </w:r>
      <w:r w:rsidR="00C92E1C" w:rsidRPr="00D73C2F">
        <w:rPr>
          <w:bCs/>
        </w:rPr>
        <w:t>on. Tilastotietoja mietinnössä on kuitenkin hyvin niukasti. Yksityiskohtaisten tilastotietojen puuttuessa ei voida esimerkiksi arvioida luote</w:t>
      </w:r>
      <w:r w:rsidR="00C92E1C" w:rsidRPr="00D73C2F">
        <w:rPr>
          <w:bCs/>
        </w:rPr>
        <w:t>t</w:t>
      </w:r>
      <w:r w:rsidR="00C92E1C" w:rsidRPr="00D73C2F">
        <w:rPr>
          <w:bCs/>
        </w:rPr>
        <w:t xml:space="preserve">tavasti, mikä on syynä nykyisen keinovalikoiman, kuten väliaikaisen kiellon, </w:t>
      </w:r>
      <w:r w:rsidR="00CF0350" w:rsidRPr="00D73C2F">
        <w:rPr>
          <w:bCs/>
        </w:rPr>
        <w:t xml:space="preserve">käytön todella </w:t>
      </w:r>
      <w:r w:rsidR="00C92E1C" w:rsidRPr="00D73C2F">
        <w:rPr>
          <w:bCs/>
        </w:rPr>
        <w:t>v</w:t>
      </w:r>
      <w:r w:rsidR="00C92E1C" w:rsidRPr="00D73C2F">
        <w:rPr>
          <w:bCs/>
        </w:rPr>
        <w:t>ä</w:t>
      </w:r>
      <w:r w:rsidR="00C92E1C" w:rsidRPr="00D73C2F">
        <w:rPr>
          <w:bCs/>
        </w:rPr>
        <w:t xml:space="preserve">häiseen määrään. </w:t>
      </w:r>
    </w:p>
    <w:p w14:paraId="190BF310" w14:textId="77777777" w:rsidR="00A661D6" w:rsidRPr="00D73C2F" w:rsidRDefault="00A661D6" w:rsidP="001A4346">
      <w:pPr>
        <w:jc w:val="both"/>
        <w:rPr>
          <w:bCs/>
        </w:rPr>
      </w:pPr>
    </w:p>
    <w:p w14:paraId="7A48E390" w14:textId="0F454A90" w:rsidR="00A661D6" w:rsidRPr="00D73C2F" w:rsidRDefault="00A661D6" w:rsidP="00A661D6">
      <w:pPr>
        <w:jc w:val="both"/>
        <w:rPr>
          <w:bCs/>
        </w:rPr>
      </w:pPr>
      <w:r w:rsidRPr="00D73C2F">
        <w:rPr>
          <w:bCs/>
        </w:rPr>
        <w:t>Mietinnössä ei ole myöskään käsitelty viimeaikaisia muutoksia markkinaoikeudessa. Markkin</w:t>
      </w:r>
      <w:r w:rsidRPr="00D73C2F">
        <w:rPr>
          <w:bCs/>
        </w:rPr>
        <w:t>a</w:t>
      </w:r>
      <w:r w:rsidRPr="00D73C2F">
        <w:rPr>
          <w:bCs/>
        </w:rPr>
        <w:t>oikeuden resursseja on vuonna 2013 vahvistettu huomattavasti ja keskimääräiset käsittelyajat ovatkin sen jälkeen lyhentyneet. Näin ollen mietinnössä mainittu tavoite saada asiat nopeasti ratkaistuksi on jo ratkaistu markkinaoikeuden osalta.</w:t>
      </w:r>
    </w:p>
    <w:p w14:paraId="2ACC15D3" w14:textId="77777777" w:rsidR="001A4346" w:rsidRPr="00D73C2F" w:rsidRDefault="001A4346" w:rsidP="001A4346">
      <w:pPr>
        <w:jc w:val="both"/>
        <w:rPr>
          <w:bCs/>
        </w:rPr>
      </w:pPr>
    </w:p>
    <w:p w14:paraId="726E15AB" w14:textId="3302CE81" w:rsidR="001A4346" w:rsidRPr="00D73C2F" w:rsidRDefault="001A4346" w:rsidP="001A4346">
      <w:pPr>
        <w:jc w:val="both"/>
      </w:pPr>
      <w:r w:rsidRPr="00D73C2F">
        <w:t>Viranomaisen kyvykkyys käyttää keinoja ja käytön oikeasuhtaisuus niitä ovat olennaisia el</w:t>
      </w:r>
      <w:r w:rsidRPr="00D73C2F">
        <w:t>e</w:t>
      </w:r>
      <w:r w:rsidRPr="00D73C2F">
        <w:t xml:space="preserve">menttejä uusien keinojen sääntelyn tosiasiallista tarvetta ja vaikutusta arvioidessa. Tähän liittyy </w:t>
      </w:r>
      <w:r w:rsidRPr="00D73C2F">
        <w:lastRenderedPageBreak/>
        <w:t xml:space="preserve">mm. ASML:n </w:t>
      </w:r>
      <w:r w:rsidR="00CF0350" w:rsidRPr="00D73C2F">
        <w:t>äskettäin tekemä</w:t>
      </w:r>
      <w:r w:rsidRPr="00D73C2F">
        <w:t xml:space="preserve"> selvitys elinkeinonharjoittajien kokemuksista ja näkemyksistä, joka kertoi huolestuttavaa viestiä valvontakeinojen nykykäytön tasosta. </w:t>
      </w:r>
    </w:p>
    <w:p w14:paraId="04422F0B" w14:textId="77777777" w:rsidR="001A4346" w:rsidRPr="00D73C2F" w:rsidRDefault="001A4346" w:rsidP="001A4346">
      <w:pPr>
        <w:jc w:val="both"/>
      </w:pPr>
    </w:p>
    <w:p w14:paraId="7A137E74" w14:textId="77777777" w:rsidR="001A4346" w:rsidRPr="00D73C2F" w:rsidRDefault="001A4346" w:rsidP="001A4346">
      <w:pPr>
        <w:jc w:val="both"/>
      </w:pPr>
      <w:r w:rsidRPr="00D73C2F">
        <w:t>Mietinnössä ei ole lainkaan arvioitu erilaisten elinkeinonharjoittajien aseman muuttumista kä</w:t>
      </w:r>
      <w:r w:rsidRPr="00D73C2F">
        <w:t>y</w:t>
      </w:r>
      <w:r w:rsidRPr="00D73C2F">
        <w:t>tännön neuvottelutilanteissa, jossa olisi uusi aiempaa laajempi uhka kielloista ja/tai seuraamu</w:t>
      </w:r>
      <w:r w:rsidRPr="00D73C2F">
        <w:t>s</w:t>
      </w:r>
      <w:r w:rsidRPr="00D73C2F">
        <w:t>maksusta. Tällaisessa tilanteessa kuluttajaviranomainen voisi jatkaa esimerkiksi nykyistä la</w:t>
      </w:r>
      <w:r w:rsidRPr="00D73C2F">
        <w:t>a</w:t>
      </w:r>
      <w:r w:rsidRPr="00D73C2F">
        <w:t>jempaa summaaristen yrityskohtaisten kirjallisten sitoutusten pyytämistä, mikä loisi epäsy</w:t>
      </w:r>
      <w:r w:rsidRPr="00D73C2F">
        <w:t>m</w:t>
      </w:r>
      <w:r w:rsidRPr="00D73C2F">
        <w:t xml:space="preserve">metristä normatiivista asemaa elinkeinonharjoittajien kesken mitä ei voida pitää perusteltuna. </w:t>
      </w:r>
    </w:p>
    <w:p w14:paraId="58E71097" w14:textId="77777777" w:rsidR="001A4346" w:rsidRPr="00D73C2F" w:rsidRDefault="001A4346" w:rsidP="001A4346">
      <w:pPr>
        <w:jc w:val="both"/>
      </w:pPr>
    </w:p>
    <w:p w14:paraId="337452CA" w14:textId="77777777" w:rsidR="001A4346" w:rsidRPr="00D73C2F" w:rsidRDefault="001A4346" w:rsidP="001A4346">
      <w:pPr>
        <w:jc w:val="both"/>
      </w:pPr>
      <w:r w:rsidRPr="00D73C2F">
        <w:t>Uusien keinojen vaikutukset kohdistuvat nykyisten tavoin käytännössä epäsymmetrisesti eli se</w:t>
      </w:r>
      <w:r w:rsidRPr="00D73C2F">
        <w:t>l</w:t>
      </w:r>
      <w:r w:rsidRPr="00D73C2F">
        <w:t>keästi kattavammin ja ankarammin paikallisiin, suomalaisiin toimijoihin. Ulkomaalaiset toimijat ovat jo nyt olleet vähemmän ja kevyemmin valvontatoimien ja tämä epäsymmetrinen markkin</w:t>
      </w:r>
      <w:r w:rsidRPr="00D73C2F">
        <w:t>a</w:t>
      </w:r>
      <w:r w:rsidRPr="00D73C2F">
        <w:t xml:space="preserve">vaikutus kasvaisi uusien valvontakeinojen myötä. </w:t>
      </w:r>
    </w:p>
    <w:p w14:paraId="1098D25F" w14:textId="77777777" w:rsidR="001A4346" w:rsidRPr="00D73C2F" w:rsidRDefault="001A4346" w:rsidP="001A4346"/>
    <w:p w14:paraId="51CB48D3" w14:textId="77777777" w:rsidR="001A4346" w:rsidRPr="00D73C2F" w:rsidRDefault="001A4346" w:rsidP="001A4346"/>
    <w:p w14:paraId="7EB596F9" w14:textId="77777777" w:rsidR="001A4346" w:rsidRPr="00D73C2F" w:rsidRDefault="001A4346" w:rsidP="001A4346">
      <w:pPr>
        <w:rPr>
          <w:b/>
        </w:rPr>
      </w:pPr>
      <w:r w:rsidRPr="00D73C2F">
        <w:rPr>
          <w:b/>
        </w:rPr>
        <w:t>SEURAAMUSMAKSU</w:t>
      </w:r>
    </w:p>
    <w:p w14:paraId="176DC3DF" w14:textId="77777777" w:rsidR="001A4346" w:rsidRPr="00D73C2F" w:rsidRDefault="001A4346" w:rsidP="001A4346">
      <w:r w:rsidRPr="00D73C2F">
        <w:t>EU-laajuisen tutkimuksen mukaan suomalaiset kuluttajat ovat suhteessa EU-maiden keskiarvoon tyytyväisempiä ja luottavaisimpia siihen, että viranomaiset suojelevat heidän oikeuksiaan kulu</w:t>
      </w:r>
      <w:r w:rsidRPr="00D73C2F">
        <w:t>t</w:t>
      </w:r>
      <w:r w:rsidRPr="00D73C2F">
        <w:t xml:space="preserve">tajina sekä myös keskimääräistä tyytyväisempiä markkinoiden toimivuuteen. </w:t>
      </w:r>
    </w:p>
    <w:p w14:paraId="69000DC3" w14:textId="77777777" w:rsidR="001A4346" w:rsidRPr="00D73C2F" w:rsidRDefault="001A4346" w:rsidP="001A4346"/>
    <w:p w14:paraId="421CE42E" w14:textId="77777777" w:rsidR="001A4346" w:rsidRPr="00D73C2F" w:rsidRDefault="001A4346" w:rsidP="001A4346">
      <w:r w:rsidRPr="00D73C2F">
        <w:t>Työryhmän taustaselvitys kertoo, että nykyiset valvontakeinot ovat olleet vähäisessä käytössä. Viiden vuoden aikana kuluttaja-asiamies on määrännyt yhteensä 16 kieltoa ja hakenut markk</w:t>
      </w:r>
      <w:r w:rsidRPr="00D73C2F">
        <w:t>i</w:t>
      </w:r>
      <w:r w:rsidRPr="00D73C2F">
        <w:t>naoikeudelta kiellon määräämistä yhteensä 18 asiassa. Tästä vuositasolla hyvin vähäisestä va</w:t>
      </w:r>
      <w:r w:rsidRPr="00D73C2F">
        <w:t>l</w:t>
      </w:r>
      <w:r w:rsidRPr="00D73C2F">
        <w:t>vontakeinojen käytöstä ei perustellusti voi vetää johtopäätöstä että valvontakeinoja tulisi lisätä tai tiukentaa tai seuraamusjärjestelmää ankaroittaa uudella sanktioluonteisella seuraamusma</w:t>
      </w:r>
      <w:r w:rsidRPr="00D73C2F">
        <w:t>k</w:t>
      </w:r>
      <w:r w:rsidRPr="00D73C2F">
        <w:t xml:space="preserve">sulla. Seuraamusmaksu ei myöskään nopeuttaisi valvonta-asioiden käsittelyä. </w:t>
      </w:r>
    </w:p>
    <w:p w14:paraId="4FC4BB6C" w14:textId="77777777" w:rsidR="008C7CC8" w:rsidRPr="00D73C2F" w:rsidRDefault="008C7CC8" w:rsidP="001A4346"/>
    <w:p w14:paraId="149ABD52" w14:textId="7D45BA4C" w:rsidR="008C7CC8" w:rsidRPr="00D73C2F" w:rsidRDefault="00E710BD" w:rsidP="001A4346">
      <w:r w:rsidRPr="00D73C2F">
        <w:t>Yhteydenottoja</w:t>
      </w:r>
      <w:r w:rsidR="008C7CC8" w:rsidRPr="00D73C2F">
        <w:t xml:space="preserve"> kuluttajaviranomaisille </w:t>
      </w:r>
      <w:r w:rsidRPr="00D73C2F">
        <w:t>aikavälillä</w:t>
      </w:r>
      <w:r w:rsidR="008C7CC8" w:rsidRPr="00D73C2F">
        <w:t xml:space="preserve"> 2009-2014 </w:t>
      </w:r>
      <w:r w:rsidRPr="00D73C2F">
        <w:t>oli yhteensä</w:t>
      </w:r>
      <w:r w:rsidR="00E65091" w:rsidRPr="00D73C2F">
        <w:t xml:space="preserve"> 602 388</w:t>
      </w:r>
      <w:r w:rsidRPr="00D73C2F">
        <w:t>. S</w:t>
      </w:r>
      <w:r w:rsidR="008C7CC8" w:rsidRPr="00D73C2F">
        <w:t>amaan a</w:t>
      </w:r>
      <w:r w:rsidR="008C7CC8" w:rsidRPr="00D73C2F">
        <w:t>i</w:t>
      </w:r>
      <w:r w:rsidR="008C7CC8" w:rsidRPr="00D73C2F">
        <w:t>kaan mää</w:t>
      </w:r>
      <w:r w:rsidR="00ED6A35" w:rsidRPr="00D73C2F">
        <w:t>rät</w:t>
      </w:r>
      <w:r w:rsidR="00E65091" w:rsidRPr="00D73C2F">
        <w:t>tyjä ja haet</w:t>
      </w:r>
      <w:r w:rsidR="00ED6A35" w:rsidRPr="00D73C2F">
        <w:t>t</w:t>
      </w:r>
      <w:r w:rsidR="00E65091" w:rsidRPr="00D73C2F">
        <w:t>uja kieltoja</w:t>
      </w:r>
      <w:r w:rsidR="00ED6A35" w:rsidRPr="00D73C2F">
        <w:t xml:space="preserve"> </w:t>
      </w:r>
      <w:r w:rsidR="00E65091" w:rsidRPr="00D73C2F">
        <w:t xml:space="preserve">oli </w:t>
      </w:r>
      <w:r w:rsidR="00ED6A35" w:rsidRPr="00D73C2F">
        <w:t>yhteensä</w:t>
      </w:r>
      <w:r w:rsidR="00E65091" w:rsidRPr="00D73C2F">
        <w:t xml:space="preserve"> 34</w:t>
      </w:r>
      <w:r w:rsidR="00ED6A35" w:rsidRPr="00D73C2F">
        <w:t xml:space="preserve">. </w:t>
      </w:r>
      <w:r w:rsidR="00E65091" w:rsidRPr="00D73C2F">
        <w:t>Nykyisten valvontakeinojen käyttöaste su</w:t>
      </w:r>
      <w:r w:rsidR="00E65091" w:rsidRPr="00D73C2F">
        <w:t>h</w:t>
      </w:r>
      <w:r w:rsidR="00E65091" w:rsidRPr="00D73C2F">
        <w:t xml:space="preserve">teessa tulleisiin yhteydenottoihin on siis vain 0,0056%. </w:t>
      </w:r>
    </w:p>
    <w:p w14:paraId="696A9997" w14:textId="726D63CB" w:rsidR="001A4346" w:rsidRPr="00D73C2F" w:rsidRDefault="001A4346" w:rsidP="001A4346"/>
    <w:p w14:paraId="399330BD" w14:textId="77777777" w:rsidR="001A4346" w:rsidRPr="00D73C2F" w:rsidRDefault="001A4346" w:rsidP="001A4346">
      <w:r w:rsidRPr="00D73C2F">
        <w:t>Ehdotetun kaltainen seuraamusmaksu on perustuslakivaliokunnan tulkintakäytännössä rinna</w:t>
      </w:r>
      <w:r w:rsidRPr="00D73C2F">
        <w:t>s</w:t>
      </w:r>
      <w:r w:rsidRPr="00D73C2F">
        <w:t>tettu rikosoikeudellisiin seuraamuksiin, jotka soveltuvat huonosti kuluttajansuojalain yleisluo</w:t>
      </w:r>
      <w:r w:rsidRPr="00D73C2F">
        <w:t>n</w:t>
      </w:r>
      <w:r w:rsidRPr="00D73C2F">
        <w:t>teisten säännösten, kuten esimerkiksi markkinoinnin tunnistettavuutta tai tiedonantovelvoll</w:t>
      </w:r>
      <w:r w:rsidRPr="00D73C2F">
        <w:t>i</w:t>
      </w:r>
      <w:r w:rsidRPr="00D73C2F">
        <w:t xml:space="preserve">suuksia koskevien säännösten rikkomisen seuraamukseksi. Kriminalisoinneissa edellytyksenä on korkea yksiselitteisyyden ja tarkkuuden taso ja </w:t>
      </w:r>
      <w:r w:rsidRPr="00D73C2F">
        <w:rPr>
          <w:bCs/>
        </w:rPr>
        <w:t>kuluttajaviranomaiselle tulisikin asettaa vähi</w:t>
      </w:r>
      <w:r w:rsidRPr="00D73C2F">
        <w:rPr>
          <w:bCs/>
        </w:rPr>
        <w:t>n</w:t>
      </w:r>
      <w:r w:rsidRPr="00D73C2F">
        <w:rPr>
          <w:bCs/>
        </w:rPr>
        <w:t>tään tarkkarajaisia kriteereitä seuraamusmaksun vireille saattamisessa</w:t>
      </w:r>
      <w:r w:rsidRPr="00D73C2F">
        <w:t>. Näitä olisivat esimerki</w:t>
      </w:r>
      <w:r w:rsidRPr="00D73C2F">
        <w:t>k</w:t>
      </w:r>
      <w:r w:rsidRPr="00D73C2F">
        <w:t xml:space="preserve">si törkeä huolimattomuus huolimattomuuden sijaan, olennainen tai ainakin vähäistä suurempi rikkomus, vaikutuksen laajuus tai merkittävyys kuluttajille tai kuluttajaryhmälle. </w:t>
      </w:r>
    </w:p>
    <w:p w14:paraId="5EC1984D" w14:textId="77777777" w:rsidR="001A4346" w:rsidRPr="00D73C2F" w:rsidRDefault="001A4346" w:rsidP="001A4346"/>
    <w:p w14:paraId="3707BEBF" w14:textId="523BDAC2" w:rsidR="00C92E1C" w:rsidRPr="00D73C2F" w:rsidRDefault="001A4346" w:rsidP="00C92E1C">
      <w:pPr>
        <w:rPr>
          <w:bCs/>
        </w:rPr>
      </w:pPr>
      <w:r w:rsidRPr="00D73C2F">
        <w:rPr>
          <w:bCs/>
        </w:rPr>
        <w:t xml:space="preserve">Mikäli minkäänlaisia kriteereitä ei aseteta, kuluttajaviranomainen voisi viedä seuraamusmaksun täytäntöönpantavaksi markkinaoikeuteen vaikka kyseessä olisi </w:t>
      </w:r>
      <w:r w:rsidRPr="00D73C2F">
        <w:t>erittäin vähäinen rikkomus, ri</w:t>
      </w:r>
      <w:r w:rsidRPr="00D73C2F">
        <w:t>k</w:t>
      </w:r>
      <w:r w:rsidRPr="00D73C2F">
        <w:t>komus perustuisi vähäiseen huolimattomuuteen yrityksen prosessissa, taustalla olisi yleisluo</w:t>
      </w:r>
      <w:r w:rsidRPr="00D73C2F">
        <w:t>n</w:t>
      </w:r>
      <w:r w:rsidRPr="00D73C2F">
        <w:t>toinen ja tulkinnanvarainen pykälä eikä yhdellekään kuluttajalle olisi aiheutunut mitään kon</w:t>
      </w:r>
      <w:r w:rsidRPr="00D73C2F">
        <w:t>k</w:t>
      </w:r>
      <w:r w:rsidRPr="00D73C2F">
        <w:t>reettista vahinkoa. </w:t>
      </w:r>
      <w:r w:rsidRPr="00D73C2F">
        <w:rPr>
          <w:bCs/>
        </w:rPr>
        <w:t>Näin väljää sanktiorakennetta ei voi pitää hyvän hallinnon, ennustettavu</w:t>
      </w:r>
      <w:r w:rsidRPr="00D73C2F">
        <w:rPr>
          <w:bCs/>
        </w:rPr>
        <w:t>u</w:t>
      </w:r>
      <w:r w:rsidRPr="00D73C2F">
        <w:rPr>
          <w:bCs/>
        </w:rPr>
        <w:t xml:space="preserve">den, tarkkarajaisuuden ja oikeusvarmuuden kannalta perusteltuna. </w:t>
      </w:r>
      <w:r w:rsidR="00562458" w:rsidRPr="00D73C2F">
        <w:rPr>
          <w:bCs/>
        </w:rPr>
        <w:t xml:space="preserve">Koska markkinaoikeuden </w:t>
      </w:r>
      <w:r w:rsidR="00562458" w:rsidRPr="00D73C2F">
        <w:rPr>
          <w:bCs/>
        </w:rPr>
        <w:lastRenderedPageBreak/>
        <w:t xml:space="preserve">päätöksestä ei voi valittaa muutoin kuin valitusluvalla, on seuraamusmaksu </w:t>
      </w:r>
      <w:r w:rsidR="00CF0350" w:rsidRPr="00D73C2F">
        <w:rPr>
          <w:bCs/>
        </w:rPr>
        <w:t>täten myös</w:t>
      </w:r>
      <w:r w:rsidR="00690AB9" w:rsidRPr="00D73C2F">
        <w:rPr>
          <w:bCs/>
        </w:rPr>
        <w:t xml:space="preserve"> perustu</w:t>
      </w:r>
      <w:r w:rsidR="00690AB9" w:rsidRPr="00D73C2F">
        <w:rPr>
          <w:bCs/>
        </w:rPr>
        <w:t>s</w:t>
      </w:r>
      <w:r w:rsidR="00690AB9" w:rsidRPr="00D73C2F">
        <w:rPr>
          <w:bCs/>
        </w:rPr>
        <w:t>lain vastainen</w:t>
      </w:r>
      <w:r w:rsidR="00562458" w:rsidRPr="00D73C2F">
        <w:rPr>
          <w:bCs/>
        </w:rPr>
        <w:t xml:space="preserve">. </w:t>
      </w:r>
      <w:r w:rsidR="00C92E1C" w:rsidRPr="00D73C2F">
        <w:rPr>
          <w:bCs/>
        </w:rPr>
        <w:t xml:space="preserve">On myös huomioitava, että Keskuskauppakamarin hankkiman selvityksen mukaan Ruotsin markkinahäiriömaksu ei ole käytännössä osoittautunut </w:t>
      </w:r>
      <w:r w:rsidR="00CF0350" w:rsidRPr="00D73C2F">
        <w:rPr>
          <w:bCs/>
        </w:rPr>
        <w:t xml:space="preserve">lainkaan </w:t>
      </w:r>
      <w:r w:rsidR="00C92E1C" w:rsidRPr="00D73C2F">
        <w:rPr>
          <w:bCs/>
        </w:rPr>
        <w:t>niin tehokkaaksi san</w:t>
      </w:r>
      <w:r w:rsidR="00C92E1C" w:rsidRPr="00D73C2F">
        <w:rPr>
          <w:bCs/>
        </w:rPr>
        <w:t>k</w:t>
      </w:r>
      <w:r w:rsidR="00C92E1C" w:rsidRPr="00D73C2F">
        <w:rPr>
          <w:bCs/>
        </w:rPr>
        <w:t xml:space="preserve">tioksi kuin sitä säädettäessä </w:t>
      </w:r>
      <w:r w:rsidR="00686A27" w:rsidRPr="00D73C2F">
        <w:rPr>
          <w:bCs/>
        </w:rPr>
        <w:t>arvioitiin</w:t>
      </w:r>
      <w:r w:rsidR="00C92E1C" w:rsidRPr="00D73C2F">
        <w:rPr>
          <w:bCs/>
        </w:rPr>
        <w:t xml:space="preserve">. </w:t>
      </w:r>
    </w:p>
    <w:p w14:paraId="3F2D7689" w14:textId="77777777" w:rsidR="00C92E1C" w:rsidRPr="00D73C2F" w:rsidRDefault="00C92E1C" w:rsidP="001A4346">
      <w:pPr>
        <w:rPr>
          <w:bCs/>
        </w:rPr>
      </w:pPr>
    </w:p>
    <w:p w14:paraId="4E2934BE" w14:textId="77777777" w:rsidR="001A4346" w:rsidRPr="00D73C2F" w:rsidRDefault="001A4346" w:rsidP="001A4346"/>
    <w:p w14:paraId="1DD94819" w14:textId="77777777" w:rsidR="001A4346" w:rsidRPr="00D73C2F" w:rsidRDefault="001A4346" w:rsidP="001A4346">
      <w:pPr>
        <w:rPr>
          <w:b/>
        </w:rPr>
      </w:pPr>
      <w:r w:rsidRPr="00D73C2F">
        <w:rPr>
          <w:b/>
        </w:rPr>
        <w:t>ALUEHALLINTOVIRASTOJEN TOIMIVALTUUKSIEN LISÄÄMINEN</w:t>
      </w:r>
    </w:p>
    <w:p w14:paraId="33AFB037" w14:textId="77777777" w:rsidR="001A4346" w:rsidRPr="00D73C2F" w:rsidRDefault="001A4346" w:rsidP="001A4346">
      <w:r w:rsidRPr="00D73C2F">
        <w:t>Aluehallintovirastojen toimivaltuuksien lisäämistä perustellaan sillä, että se tehostaisi pelkästään paikallisesti tai alueellisesti toimivien yritysten valvontaa. Kuluttaja-asiamies on kuitenkin puu</w:t>
      </w:r>
      <w:r w:rsidRPr="00D73C2F">
        <w:t>t</w:t>
      </w:r>
      <w:r w:rsidRPr="00D73C2F">
        <w:t>tunut lähes yksinomaan valtakunnallisesti toimivien yritysten menettelyihin. Ehdotetut muuto</w:t>
      </w:r>
      <w:r w:rsidRPr="00D73C2F">
        <w:t>k</w:t>
      </w:r>
      <w:r w:rsidRPr="00D73C2F">
        <w:t>set aluehallintoviranomaisten tehtäviin ja toimivaltuuksiin merkitsisivät myös päällekkäisen va</w:t>
      </w:r>
      <w:r w:rsidRPr="00D73C2F">
        <w:t>l</w:t>
      </w:r>
      <w:r w:rsidRPr="00D73C2F">
        <w:t>vonnan luomista.</w:t>
      </w:r>
    </w:p>
    <w:p w14:paraId="7607EC3E" w14:textId="77777777" w:rsidR="001A4346" w:rsidRPr="00D73C2F" w:rsidRDefault="001A4346" w:rsidP="001A4346"/>
    <w:p w14:paraId="28FF048E" w14:textId="77777777" w:rsidR="001A4346" w:rsidRPr="00D73C2F" w:rsidRDefault="001A4346" w:rsidP="001A4346">
      <w:r w:rsidRPr="00D73C2F">
        <w:t>Kuluttajansuojalain markkinointia ja menettelyä asiakassuhteessa koskevien säännösten sove</w:t>
      </w:r>
      <w:r w:rsidRPr="00D73C2F">
        <w:t>l</w:t>
      </w:r>
      <w:r w:rsidRPr="00D73C2F">
        <w:t>taminen edellyttää vahvaa erityisosaamista muun muassa markkinoiden rakenteista sekä tekn</w:t>
      </w:r>
      <w:r w:rsidRPr="00D73C2F">
        <w:t>o</w:t>
      </w:r>
      <w:r w:rsidRPr="00D73C2F">
        <w:t xml:space="preserve">logian muutoksista. Tällaisen osaamisen ylläpito ja parantaminen on mahdollista kun valvonta on keskitettyä eikä hajautettua. </w:t>
      </w:r>
    </w:p>
    <w:p w14:paraId="5A5E8324" w14:textId="77777777" w:rsidR="001A4346" w:rsidRPr="00D73C2F" w:rsidRDefault="001A4346" w:rsidP="001A4346"/>
    <w:p w14:paraId="6EC487AC" w14:textId="6F1435C9" w:rsidR="0007636C" w:rsidRPr="00D73C2F" w:rsidRDefault="001A4346" w:rsidP="001A4346">
      <w:r w:rsidRPr="00D73C2F">
        <w:t xml:space="preserve">Lisäksi ASML:n ja sen jäsenyritysten näkemysten mukaan aluehallintovirastojen resurssit, tausta- ja substanssiosaaminen huomioiden virastot eivät omaa sellaista resursointia, sektoriosaamista, - kokemusta ja –ymmärrystä, jota moderni kuluttajasuojan valvonta ehdotetussa nykyistä selkeästi laajemmassa mitassa heiltä edellyttäisi. </w:t>
      </w:r>
      <w:r w:rsidR="005D6D28" w:rsidRPr="00D73C2F">
        <w:t>Vastaavasti Keskuskauppakamarin yritysten keskuude</w:t>
      </w:r>
      <w:r w:rsidR="005D6D28" w:rsidRPr="00D73C2F">
        <w:t>s</w:t>
      </w:r>
      <w:r w:rsidR="005D6D28" w:rsidRPr="00D73C2F">
        <w:t xml:space="preserve">sa tekemän selvityksen mukaan aluehallintovirastojen lupakäsittelyn todettiin olevan hidasta. Aluehallintovirastojen ongelmat nykyistenkin tehtäviensä hoitamisessa ilmenevät myös siltä osin, että niillä ei ole yhteistä tietojen tallennusjärjestelmää yhteisistä tehtävistä huolimatta. </w:t>
      </w:r>
    </w:p>
    <w:p w14:paraId="0201C59E" w14:textId="77777777" w:rsidR="0007636C" w:rsidRPr="00D73C2F" w:rsidRDefault="0007636C" w:rsidP="001A4346"/>
    <w:p w14:paraId="76D9E7D2" w14:textId="7936DEF9" w:rsidR="001A4346" w:rsidRPr="00D73C2F" w:rsidRDefault="001A4346" w:rsidP="001A4346">
      <w:r w:rsidRPr="00D73C2F">
        <w:t>ASML:n näkemyksen mukaan</w:t>
      </w:r>
      <w:r w:rsidR="00686A27" w:rsidRPr="00D73C2F">
        <w:t xml:space="preserve"> ehdotettua laajennusta ei tulisi nyt </w:t>
      </w:r>
      <w:r w:rsidRPr="00D73C2F">
        <w:t>toteutt</w:t>
      </w:r>
      <w:r w:rsidR="00686A27" w:rsidRPr="00D73C2F">
        <w:t>aa ja jatkossakin mahdo</w:t>
      </w:r>
      <w:r w:rsidR="00686A27" w:rsidRPr="00D73C2F">
        <w:t>l</w:t>
      </w:r>
      <w:r w:rsidR="00686A27" w:rsidRPr="00D73C2F">
        <w:t xml:space="preserve">lisen käyttöönoton harkinnan tulisi perustua </w:t>
      </w:r>
      <w:r w:rsidRPr="00D73C2F">
        <w:t>laajempaa</w:t>
      </w:r>
      <w:r w:rsidR="00686A27" w:rsidRPr="00D73C2F">
        <w:t>n</w:t>
      </w:r>
      <w:r w:rsidRPr="00D73C2F">
        <w:t xml:space="preserve"> ja analyyttisempaa</w:t>
      </w:r>
      <w:r w:rsidR="00686A27" w:rsidRPr="00D73C2F">
        <w:t>n taustaselvitykseen</w:t>
      </w:r>
      <w:r w:rsidRPr="00D73C2F">
        <w:t xml:space="preserve">. </w:t>
      </w:r>
    </w:p>
    <w:p w14:paraId="209F6B23" w14:textId="77777777" w:rsidR="001A4346" w:rsidRPr="00D73C2F" w:rsidRDefault="001A4346" w:rsidP="001A4346"/>
    <w:p w14:paraId="1EDDDD55" w14:textId="77777777" w:rsidR="001A4346" w:rsidRPr="00D73C2F" w:rsidRDefault="001A4346" w:rsidP="001A4346"/>
    <w:p w14:paraId="4080C186" w14:textId="77777777" w:rsidR="001A4346" w:rsidRPr="00D73C2F" w:rsidRDefault="001A4346" w:rsidP="001A4346">
      <w:pPr>
        <w:rPr>
          <w:b/>
          <w:bCs/>
          <w:lang w:val="en-US"/>
        </w:rPr>
      </w:pPr>
      <w:r w:rsidRPr="00D73C2F">
        <w:rPr>
          <w:b/>
          <w:bCs/>
          <w:lang w:val="en-US"/>
        </w:rPr>
        <w:t xml:space="preserve">KULUTTAJA-ASIAMIEHEN KIELTOON LIITTYVÄN MARKKINAOIKEUSPROSESSIN MUUTTAMINEN </w:t>
      </w:r>
    </w:p>
    <w:p w14:paraId="268CFBA3" w14:textId="77777777" w:rsidR="000051BA" w:rsidRPr="00D73C2F" w:rsidRDefault="000051BA" w:rsidP="001A4346">
      <w:pPr>
        <w:rPr>
          <w:b/>
          <w:bCs/>
          <w:lang w:val="en-US"/>
        </w:rPr>
      </w:pPr>
    </w:p>
    <w:p w14:paraId="099E5A69" w14:textId="77777777" w:rsidR="00C536F1" w:rsidRPr="00D73C2F" w:rsidRDefault="001A4346" w:rsidP="001A4346">
      <w:pPr>
        <w:rPr>
          <w:bCs/>
        </w:rPr>
      </w:pPr>
      <w:r w:rsidRPr="00D73C2F">
        <w:rPr>
          <w:bCs/>
        </w:rPr>
        <w:t>Markkinaoikeusprosessin kääntämistä Kuluttaja-asiamiehen osalta on perusteltu lähinnä ”mui</w:t>
      </w:r>
      <w:r w:rsidRPr="00D73C2F">
        <w:rPr>
          <w:bCs/>
        </w:rPr>
        <w:t>l</w:t>
      </w:r>
      <w:r w:rsidRPr="00D73C2F">
        <w:rPr>
          <w:bCs/>
        </w:rPr>
        <w:t xml:space="preserve">lakin on”-tyyppisesti.  Aiemmat selvitykset ovat esimerkiksi osoittaneet </w:t>
      </w:r>
      <w:proofErr w:type="spellStart"/>
      <w:r w:rsidRPr="00D73C2F">
        <w:rPr>
          <w:bCs/>
        </w:rPr>
        <w:t>KKV:n</w:t>
      </w:r>
      <w:proofErr w:type="spellEnd"/>
      <w:r w:rsidRPr="00D73C2F">
        <w:rPr>
          <w:bCs/>
        </w:rPr>
        <w:t xml:space="preserve"> hävinneen uude</w:t>
      </w:r>
      <w:r w:rsidRPr="00D73C2F">
        <w:rPr>
          <w:bCs/>
        </w:rPr>
        <w:t>n</w:t>
      </w:r>
      <w:r w:rsidRPr="00D73C2F">
        <w:rPr>
          <w:bCs/>
        </w:rPr>
        <w:t>tyyppisissä oikeuskysymyksissä markkinaoikeudessa jopa yli 60% oikeuskysymyksistä. Tällaisia oikeuskysymyksiä tulee alati muuttuvassa toimintaympäristössä jatkuvasti, mikä nimenomaan tukee nykyrakenteen säilyttämistä eikä summaarista uusien kieltojen viemistä markkinaoike</w:t>
      </w:r>
      <w:r w:rsidRPr="00D73C2F">
        <w:rPr>
          <w:bCs/>
        </w:rPr>
        <w:t>u</w:t>
      </w:r>
      <w:r w:rsidRPr="00D73C2F">
        <w:rPr>
          <w:bCs/>
        </w:rPr>
        <w:t xml:space="preserve">den ”taakaksi”. </w:t>
      </w:r>
    </w:p>
    <w:p w14:paraId="1AFF187B" w14:textId="77777777" w:rsidR="00C536F1" w:rsidRPr="00D73C2F" w:rsidRDefault="00C536F1" w:rsidP="001A4346">
      <w:pPr>
        <w:rPr>
          <w:bCs/>
        </w:rPr>
      </w:pPr>
    </w:p>
    <w:p w14:paraId="475AF236" w14:textId="022278E5" w:rsidR="001A4346" w:rsidRPr="00D73C2F" w:rsidRDefault="00C536F1" w:rsidP="001A4346">
      <w:pPr>
        <w:rPr>
          <w:bCs/>
        </w:rPr>
      </w:pPr>
      <w:r w:rsidRPr="00D73C2F">
        <w:rPr>
          <w:bCs/>
        </w:rPr>
        <w:t>Erityisesti tätä taustaa vasten mietinnössä olisi tullut käsitellä myös markkinaoikeusprosessin aiheuttamia oikeudenkäyntikuluja. Oikeudenkäynnistä markkinaoikeudessa annetun lain m</w:t>
      </w:r>
      <w:r w:rsidRPr="00D73C2F">
        <w:rPr>
          <w:bCs/>
        </w:rPr>
        <w:t>u</w:t>
      </w:r>
      <w:r w:rsidRPr="00D73C2F">
        <w:rPr>
          <w:bCs/>
        </w:rPr>
        <w:t>kaan asianosaiset vastaavat itse oikeudenkäyntikuluistaan. Vaikka kuluttaja-asiamiehen kielt</w:t>
      </w:r>
      <w:r w:rsidRPr="00D73C2F">
        <w:rPr>
          <w:bCs/>
        </w:rPr>
        <w:t>o</w:t>
      </w:r>
      <w:r w:rsidRPr="00D73C2F">
        <w:rPr>
          <w:bCs/>
        </w:rPr>
        <w:t>vaatimus ei menesty markkinaoikeudessa, yrityksen maksettavaksi tulisi sekä markkinaoikeuden oikeudenkäyntimaksu että asian menestyksekkään hoitamisen kannalta tarpeelliset asia</w:t>
      </w:r>
      <w:r w:rsidR="001969EA">
        <w:rPr>
          <w:bCs/>
        </w:rPr>
        <w:t>mies- ja muut kulut. Huomattava</w:t>
      </w:r>
      <w:r w:rsidRPr="00D73C2F">
        <w:rPr>
          <w:bCs/>
        </w:rPr>
        <w:t xml:space="preserve"> summa viranomaisen virheellisen menettelyn vuoksi. Jos sääntely tote</w:t>
      </w:r>
      <w:r w:rsidRPr="00D73C2F">
        <w:rPr>
          <w:bCs/>
        </w:rPr>
        <w:t>u</w:t>
      </w:r>
      <w:r w:rsidRPr="00D73C2F">
        <w:rPr>
          <w:bCs/>
        </w:rPr>
        <w:lastRenderedPageBreak/>
        <w:t>tetaan ehdotetun kaltaisena, elinkeinonharjoittajalla olisikin oltava oikeus valtion varoista ma</w:t>
      </w:r>
      <w:r w:rsidRPr="00D73C2F">
        <w:rPr>
          <w:bCs/>
        </w:rPr>
        <w:t>k</w:t>
      </w:r>
      <w:r w:rsidRPr="00D73C2F">
        <w:rPr>
          <w:bCs/>
        </w:rPr>
        <w:t>settavaan korvaukseen viranomaisen virheen johdosta hallintolainkäyttölain 74 § mukaisesti.</w:t>
      </w:r>
    </w:p>
    <w:p w14:paraId="070ADF0E" w14:textId="77777777" w:rsidR="001A4346" w:rsidRPr="00D73C2F" w:rsidRDefault="001A4346" w:rsidP="001A4346">
      <w:pPr>
        <w:rPr>
          <w:bCs/>
        </w:rPr>
      </w:pPr>
    </w:p>
    <w:p w14:paraId="471BE2F8" w14:textId="72DEE555" w:rsidR="001A4346" w:rsidRPr="00D73C2F" w:rsidRDefault="001A4346" w:rsidP="001A4346">
      <w:pPr>
        <w:rPr>
          <w:bCs/>
        </w:rPr>
      </w:pPr>
      <w:r w:rsidRPr="00D73C2F">
        <w:rPr>
          <w:bCs/>
        </w:rPr>
        <w:t xml:space="preserve">Perustellumpaa olisi keskittyä valvovien viranomaisten toiminnan laadun </w:t>
      </w:r>
      <w:r w:rsidR="00686A27" w:rsidRPr="00D73C2F">
        <w:rPr>
          <w:bCs/>
        </w:rPr>
        <w:t xml:space="preserve">ja toimintakulttuurin </w:t>
      </w:r>
      <w:r w:rsidRPr="00D73C2F">
        <w:rPr>
          <w:bCs/>
        </w:rPr>
        <w:t xml:space="preserve">kohentamiseen, toiminnan parempaan kohdentamiseen, parempaan tausta-analyysiin sekä koko valvonnan ja ohjauksen toimintamallin uudistamiseen nykyisten valvontakeinojen puitteissa. ASML katsookin, että Suomessa tulisi jatkaa </w:t>
      </w:r>
      <w:proofErr w:type="spellStart"/>
      <w:r w:rsidRPr="00D73C2F">
        <w:rPr>
          <w:bCs/>
        </w:rPr>
        <w:t>KA:n</w:t>
      </w:r>
      <w:proofErr w:type="spellEnd"/>
      <w:r w:rsidRPr="00D73C2F">
        <w:rPr>
          <w:bCs/>
        </w:rPr>
        <w:t xml:space="preserve"> kiellon osalta nykymallilla Ruotsin tavoin. </w:t>
      </w:r>
    </w:p>
    <w:p w14:paraId="4914F696" w14:textId="77777777" w:rsidR="00686A27" w:rsidRPr="00D73C2F" w:rsidRDefault="00686A27" w:rsidP="001A4346">
      <w:pPr>
        <w:rPr>
          <w:bCs/>
        </w:rPr>
      </w:pPr>
    </w:p>
    <w:p w14:paraId="4444A358" w14:textId="77777777" w:rsidR="00686A27" w:rsidRPr="00D73C2F" w:rsidRDefault="00686A27" w:rsidP="001A4346">
      <w:pPr>
        <w:rPr>
          <w:bCs/>
        </w:rPr>
      </w:pPr>
    </w:p>
    <w:p w14:paraId="426CA576" w14:textId="77777777" w:rsidR="00686A27" w:rsidRPr="00D73C2F" w:rsidRDefault="00686A27" w:rsidP="001A4346">
      <w:pPr>
        <w:rPr>
          <w:bCs/>
        </w:rPr>
      </w:pPr>
    </w:p>
    <w:p w14:paraId="183B526B" w14:textId="77777777" w:rsidR="00686A27" w:rsidRPr="00D73C2F" w:rsidRDefault="00686A27" w:rsidP="001A4346">
      <w:pPr>
        <w:rPr>
          <w:bCs/>
        </w:rPr>
      </w:pPr>
    </w:p>
    <w:p w14:paraId="36D5987B" w14:textId="3FA1D74B" w:rsidR="00686A27" w:rsidRPr="00D73C2F" w:rsidRDefault="00686A27" w:rsidP="001A4346">
      <w:pPr>
        <w:rPr>
          <w:bCs/>
        </w:rPr>
      </w:pPr>
      <w:r w:rsidRPr="00D73C2F">
        <w:rPr>
          <w:bCs/>
        </w:rPr>
        <w:t>Jari Perko</w:t>
      </w:r>
      <w:r w:rsidRPr="00D73C2F">
        <w:rPr>
          <w:bCs/>
        </w:rPr>
        <w:tab/>
      </w:r>
      <w:r w:rsidRPr="00D73C2F">
        <w:rPr>
          <w:bCs/>
        </w:rPr>
        <w:tab/>
      </w:r>
      <w:r w:rsidRPr="00D73C2F">
        <w:rPr>
          <w:bCs/>
        </w:rPr>
        <w:tab/>
      </w:r>
      <w:r w:rsidRPr="00D73C2F">
        <w:rPr>
          <w:bCs/>
        </w:rPr>
        <w:tab/>
        <w:t>Pia Pynnä</w:t>
      </w:r>
    </w:p>
    <w:p w14:paraId="3B4776B5" w14:textId="09E8C8D1" w:rsidR="00686A27" w:rsidRPr="00D73C2F" w:rsidRDefault="00686A27" w:rsidP="001A4346">
      <w:pPr>
        <w:rPr>
          <w:bCs/>
        </w:rPr>
      </w:pPr>
      <w:r w:rsidRPr="00D73C2F">
        <w:rPr>
          <w:bCs/>
        </w:rPr>
        <w:t>toimitusjohtaja</w:t>
      </w:r>
      <w:r w:rsidRPr="00D73C2F">
        <w:rPr>
          <w:bCs/>
        </w:rPr>
        <w:tab/>
      </w:r>
      <w:r w:rsidRPr="00D73C2F">
        <w:rPr>
          <w:bCs/>
        </w:rPr>
        <w:tab/>
      </w:r>
      <w:r w:rsidRPr="00D73C2F">
        <w:rPr>
          <w:bCs/>
        </w:rPr>
        <w:tab/>
        <w:t>lakimies</w:t>
      </w:r>
    </w:p>
    <w:p w14:paraId="163FA812" w14:textId="5E9923D3" w:rsidR="00686A27" w:rsidRPr="00D73C2F" w:rsidRDefault="00686A27" w:rsidP="00686A27">
      <w:pPr>
        <w:rPr>
          <w:bCs/>
        </w:rPr>
      </w:pPr>
      <w:r w:rsidRPr="00D73C2F">
        <w:rPr>
          <w:bCs/>
        </w:rPr>
        <w:t>Asiakkuusmarkkinointiliitto</w:t>
      </w:r>
      <w:r w:rsidRPr="00D73C2F">
        <w:rPr>
          <w:bCs/>
        </w:rPr>
        <w:tab/>
      </w:r>
      <w:r w:rsidRPr="00D73C2F">
        <w:rPr>
          <w:bCs/>
        </w:rPr>
        <w:tab/>
        <w:t>Asiakkuusmarkkinointiliitto</w:t>
      </w:r>
    </w:p>
    <w:p w14:paraId="15B01C52" w14:textId="7B2003D3" w:rsidR="00686A27" w:rsidRPr="00D73C2F" w:rsidRDefault="00686A27" w:rsidP="001A4346">
      <w:pPr>
        <w:rPr>
          <w:bCs/>
        </w:rPr>
      </w:pPr>
    </w:p>
    <w:p w14:paraId="13DF177E" w14:textId="77777777" w:rsidR="00DA38EC" w:rsidRPr="00D73C2F" w:rsidRDefault="00DA38EC"/>
    <w:sectPr w:rsidR="00DA38EC" w:rsidRPr="00D73C2F" w:rsidSect="00D47710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3E18"/>
    <w:multiLevelType w:val="hybridMultilevel"/>
    <w:tmpl w:val="7BB2E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A206E"/>
    <w:multiLevelType w:val="hybridMultilevel"/>
    <w:tmpl w:val="5B52DB7E"/>
    <w:lvl w:ilvl="0" w:tplc="08A8608C">
      <w:start w:val="1"/>
      <w:numFmt w:val="decimal"/>
      <w:pStyle w:val="Otsikko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46"/>
    <w:rsid w:val="000051BA"/>
    <w:rsid w:val="0007636C"/>
    <w:rsid w:val="001650E7"/>
    <w:rsid w:val="001969EA"/>
    <w:rsid w:val="001A4346"/>
    <w:rsid w:val="002363E9"/>
    <w:rsid w:val="003A67E1"/>
    <w:rsid w:val="00554BF5"/>
    <w:rsid w:val="00562458"/>
    <w:rsid w:val="005B6DC9"/>
    <w:rsid w:val="005D2142"/>
    <w:rsid w:val="005D6D28"/>
    <w:rsid w:val="00686A27"/>
    <w:rsid w:val="00690AB9"/>
    <w:rsid w:val="008C7CC8"/>
    <w:rsid w:val="00A661D6"/>
    <w:rsid w:val="00AF5FFE"/>
    <w:rsid w:val="00B823DC"/>
    <w:rsid w:val="00C536F1"/>
    <w:rsid w:val="00C92E1C"/>
    <w:rsid w:val="00CF0350"/>
    <w:rsid w:val="00D47710"/>
    <w:rsid w:val="00D73C2F"/>
    <w:rsid w:val="00DA38EC"/>
    <w:rsid w:val="00E65091"/>
    <w:rsid w:val="00E710BD"/>
    <w:rsid w:val="00E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5E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434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customStyle="1" w:styleId="Otsikkoa">
    <w:name w:val="Otsikkoa"/>
    <w:basedOn w:val="Otsikko"/>
    <w:qFormat/>
    <w:rsid w:val="002363E9"/>
    <w:pPr>
      <w:framePr w:hSpace="141" w:wrap="around" w:vAnchor="text" w:hAnchor="text" w:y="1"/>
      <w:numPr>
        <w:numId w:val="1"/>
      </w:numPr>
      <w:suppressOverlap/>
    </w:pPr>
    <w:rPr>
      <w:rFonts w:ascii="Helvetica Neue" w:hAnsi="Helvetica Neue"/>
      <w:b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2363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363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A434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C7CC8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7C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434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customStyle="1" w:styleId="Otsikkoa">
    <w:name w:val="Otsikkoa"/>
    <w:basedOn w:val="Otsikko"/>
    <w:qFormat/>
    <w:rsid w:val="002363E9"/>
    <w:pPr>
      <w:framePr w:hSpace="141" w:wrap="around" w:vAnchor="text" w:hAnchor="text" w:y="1"/>
      <w:numPr>
        <w:numId w:val="1"/>
      </w:numPr>
      <w:suppressOverlap/>
    </w:pPr>
    <w:rPr>
      <w:rFonts w:ascii="Helvetica Neue" w:hAnsi="Helvetica Neue"/>
      <w:b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2363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363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A434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C7CC8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7C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8779</Characters>
  <Application>Microsoft Office Word</Application>
  <DocSecurity>4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ASML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Pynnä</dc:creator>
  <cp:lastModifiedBy>Lakka Mari</cp:lastModifiedBy>
  <cp:revision>2</cp:revision>
  <cp:lastPrinted>2015-04-30T08:44:00Z</cp:lastPrinted>
  <dcterms:created xsi:type="dcterms:W3CDTF">2015-04-30T08:44:00Z</dcterms:created>
  <dcterms:modified xsi:type="dcterms:W3CDTF">2015-04-30T08:44:00Z</dcterms:modified>
</cp:coreProperties>
</file>