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966B06" w:rsidTr="005C7446">
        <w:trPr>
          <w:cantSplit/>
          <w:trHeight w:hRule="exact" w:val="255"/>
        </w:trPr>
        <w:tc>
          <w:tcPr>
            <w:tcW w:w="5166" w:type="dxa"/>
            <w:tcBorders>
              <w:top w:val="nil"/>
              <w:left w:val="nil"/>
              <w:bottom w:val="nil"/>
              <w:right w:val="nil"/>
            </w:tcBorders>
          </w:tcPr>
          <w:p w:rsidR="00916620" w:rsidRPr="00966B06" w:rsidRDefault="00916620" w:rsidP="002D334D">
            <w:pPr>
              <w:pStyle w:val="Normaali9pt"/>
            </w:pPr>
            <w:bookmarkStart w:id="0" w:name="_GoBack"/>
            <w:bookmarkEnd w:id="0"/>
          </w:p>
        </w:tc>
        <w:tc>
          <w:tcPr>
            <w:tcW w:w="2617" w:type="dxa"/>
            <w:tcBorders>
              <w:top w:val="nil"/>
              <w:left w:val="nil"/>
              <w:bottom w:val="nil"/>
              <w:right w:val="nil"/>
            </w:tcBorders>
          </w:tcPr>
          <w:p w:rsidR="00916620" w:rsidRPr="00966B06" w:rsidRDefault="00786F78" w:rsidP="007A598C">
            <w:pPr>
              <w:pStyle w:val="Normaali9pt"/>
              <w:rPr>
                <w:b/>
              </w:rPr>
            </w:pPr>
            <w:r>
              <w:rPr>
                <w:b/>
              </w:rPr>
              <w:t xml:space="preserve">Lausuntoyhteenveto </w:t>
            </w:r>
          </w:p>
        </w:tc>
        <w:tc>
          <w:tcPr>
            <w:tcW w:w="2565" w:type="dxa"/>
            <w:tcBorders>
              <w:top w:val="nil"/>
              <w:left w:val="nil"/>
              <w:bottom w:val="nil"/>
              <w:right w:val="nil"/>
            </w:tcBorders>
          </w:tcPr>
          <w:p w:rsidR="00916620" w:rsidRPr="00966B06" w:rsidRDefault="00916620"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786F78" w:rsidP="002D334D">
            <w:pPr>
              <w:pStyle w:val="Normaali9pt"/>
            </w:pPr>
            <w:r>
              <w:t>Verkko-osasto</w:t>
            </w: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B37F4D" w:rsidP="002D334D">
            <w:pPr>
              <w:pStyle w:val="Normaali9pt"/>
            </w:pPr>
            <w:r>
              <w:t>LVM/337/03/2018</w:t>
            </w: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1C184D" w:rsidP="002D334D">
            <w:pPr>
              <w:pStyle w:val="Normaali9pt"/>
            </w:pPr>
            <w:r>
              <w:t>Aino Mäkinen</w:t>
            </w:r>
            <w:r w:rsidR="00786F78">
              <w:t xml:space="preserve"> </w:t>
            </w:r>
          </w:p>
        </w:tc>
        <w:tc>
          <w:tcPr>
            <w:tcW w:w="2617" w:type="dxa"/>
            <w:tcBorders>
              <w:top w:val="nil"/>
              <w:left w:val="nil"/>
              <w:bottom w:val="nil"/>
              <w:right w:val="nil"/>
            </w:tcBorders>
          </w:tcPr>
          <w:p w:rsidR="00FE355C" w:rsidRPr="00966B06" w:rsidRDefault="00355979" w:rsidP="002D334D">
            <w:pPr>
              <w:pStyle w:val="Normaali9pt"/>
            </w:pPr>
            <w:r>
              <w:t>21</w:t>
            </w:r>
            <w:r w:rsidR="00B37F4D">
              <w:t>.3.2018</w:t>
            </w: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624"/>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bl>
    <w:p w:rsidR="000E60B6" w:rsidRPr="00966B06" w:rsidRDefault="000E60B6" w:rsidP="009F18EF">
      <w:pPr>
        <w:sectPr w:rsidR="000E60B6" w:rsidRPr="00966B06" w:rsidSect="00F916C2">
          <w:headerReference w:type="default" r:id="rId7"/>
          <w:footerReference w:type="default" r:id="rId8"/>
          <w:headerReference w:type="first" r:id="rId9"/>
          <w:footerReference w:type="first" r:id="rId10"/>
          <w:pgSz w:w="11906" w:h="16838" w:code="9"/>
          <w:pgMar w:top="1134" w:right="567" w:bottom="1616" w:left="1134" w:header="612" w:footer="284" w:gutter="0"/>
          <w:cols w:space="720"/>
          <w:titlePg/>
          <w:docGrid w:linePitch="360"/>
        </w:sectPr>
      </w:pPr>
    </w:p>
    <w:p w:rsidR="009F18EF" w:rsidRDefault="00786F78" w:rsidP="005C7446">
      <w:pPr>
        <w:pStyle w:val="Otsikko"/>
      </w:pPr>
      <w:r>
        <w:t xml:space="preserve">Lausuntoyhteenveto </w:t>
      </w:r>
      <w:r w:rsidR="00B37F4D">
        <w:t>hallituksen esityksestä luotsauslain muuttamiseksi</w:t>
      </w:r>
      <w:r>
        <w:tab/>
      </w:r>
    </w:p>
    <w:p w:rsidR="00786F78" w:rsidRDefault="00786F78" w:rsidP="00786F78">
      <w:pPr>
        <w:pStyle w:val="Leipteksti"/>
      </w:pPr>
      <w:r>
        <w:t>Liikenne</w:t>
      </w:r>
      <w:r w:rsidR="00B37F4D">
        <w:t>- ja viestintäministeriö pyysi 16.2.2018</w:t>
      </w:r>
      <w:r>
        <w:t xml:space="preserve"> lausuntoja </w:t>
      </w:r>
      <w:r w:rsidR="00D608B9">
        <w:t>hallituksen esitysluonnoksesta luotsauslain (940/2003) muuttamiseksi</w:t>
      </w:r>
      <w:r>
        <w:t>. Lausun</w:t>
      </w:r>
      <w:r w:rsidR="00D608B9">
        <w:t>not pyydettiin toimittamaan 19.3</w:t>
      </w:r>
      <w:r>
        <w:t>.</w:t>
      </w:r>
      <w:r w:rsidR="00D608B9">
        <w:t>2018</w:t>
      </w:r>
      <w:r>
        <w:t xml:space="preserve"> mennessä.</w:t>
      </w:r>
    </w:p>
    <w:p w:rsidR="00786F78" w:rsidRDefault="00786F78" w:rsidP="00786F78">
      <w:pPr>
        <w:pStyle w:val="Leipteksti"/>
      </w:pPr>
    </w:p>
    <w:p w:rsidR="00786F78" w:rsidRDefault="00786F78" w:rsidP="00786F78">
      <w:pPr>
        <w:pStyle w:val="Leipteksti"/>
      </w:pPr>
      <w:r>
        <w:t xml:space="preserve">Lausuntoja saatiin </w:t>
      </w:r>
      <w:r w:rsidR="00AD0A26" w:rsidRPr="00AD0A26">
        <w:t>22</w:t>
      </w:r>
      <w:r>
        <w:t xml:space="preserve"> kappaletta. Lausunnon antoivat:</w:t>
      </w:r>
    </w:p>
    <w:p w:rsidR="00786F78" w:rsidRDefault="00786F78" w:rsidP="00786F78">
      <w:pPr>
        <w:pStyle w:val="Leipteksti"/>
      </w:pPr>
    </w:p>
    <w:p w:rsidR="00695847" w:rsidRDefault="00695847" w:rsidP="00786F78">
      <w:pPr>
        <w:pStyle w:val="Leipteksti"/>
      </w:pPr>
      <w:r>
        <w:t xml:space="preserve">European Maritime Pilots’ Association </w:t>
      </w:r>
    </w:p>
    <w:p w:rsidR="00A67723" w:rsidRDefault="00A67723" w:rsidP="00786F78">
      <w:pPr>
        <w:pStyle w:val="Leipteksti"/>
      </w:pPr>
      <w:r>
        <w:t>Finnpilot Pilatage Oy</w:t>
      </w:r>
    </w:p>
    <w:p w:rsidR="00D608B9" w:rsidRDefault="00D608B9" w:rsidP="00786F78">
      <w:pPr>
        <w:pStyle w:val="Leipteksti"/>
      </w:pPr>
      <w:r>
        <w:t>Ilmatieteen laitos</w:t>
      </w:r>
    </w:p>
    <w:p w:rsidR="00D608B9" w:rsidRDefault="00D608B9" w:rsidP="00786F78">
      <w:pPr>
        <w:pStyle w:val="Leipteksti"/>
      </w:pPr>
      <w:r>
        <w:t>Innovaatiorahoituskeskus Business Finland Oy</w:t>
      </w:r>
    </w:p>
    <w:p w:rsidR="00A67723" w:rsidRDefault="00A67723" w:rsidP="00786F78">
      <w:pPr>
        <w:pStyle w:val="Leipteksti"/>
      </w:pPr>
      <w:r>
        <w:t>Liikennevirasto</w:t>
      </w:r>
    </w:p>
    <w:p w:rsidR="00C92226" w:rsidRDefault="00C92226" w:rsidP="00786F78">
      <w:pPr>
        <w:pStyle w:val="Leipteksti"/>
      </w:pPr>
      <w:r>
        <w:t>Liikenteen turvallisuusvirasto Trafi</w:t>
      </w:r>
    </w:p>
    <w:p w:rsidR="00B74BF3" w:rsidRDefault="00D608B9" w:rsidP="00786F78">
      <w:pPr>
        <w:pStyle w:val="Leipteksti"/>
      </w:pPr>
      <w:r>
        <w:t>Luotsiliitto – Lotsförbundet ry.</w:t>
      </w:r>
    </w:p>
    <w:p w:rsidR="00D608B9" w:rsidRDefault="00D608B9" w:rsidP="00786F78">
      <w:pPr>
        <w:pStyle w:val="Leipteksti"/>
      </w:pPr>
      <w:r>
        <w:t>Maanmittauslaitos</w:t>
      </w:r>
    </w:p>
    <w:p w:rsidR="007A1931" w:rsidRDefault="007A1931" w:rsidP="00786F78">
      <w:pPr>
        <w:pStyle w:val="Leipteksti"/>
      </w:pPr>
      <w:r>
        <w:t>Meriteollisuus ry</w:t>
      </w:r>
    </w:p>
    <w:p w:rsidR="00D608B9" w:rsidRPr="003402B7" w:rsidRDefault="00D608B9" w:rsidP="00786F78">
      <w:pPr>
        <w:pStyle w:val="Leipteksti"/>
      </w:pPr>
      <w:r>
        <w:t>Onnettomuustutkintakeskus</w:t>
      </w:r>
    </w:p>
    <w:p w:rsidR="00D608B9" w:rsidRDefault="00D608B9" w:rsidP="00786F78">
      <w:pPr>
        <w:pStyle w:val="Leipteksti"/>
      </w:pPr>
      <w:r>
        <w:t>Poliisihallitus</w:t>
      </w:r>
    </w:p>
    <w:p w:rsidR="00DF29B8" w:rsidRDefault="00DF29B8" w:rsidP="00786F78">
      <w:pPr>
        <w:pStyle w:val="Leipteksti"/>
      </w:pPr>
      <w:r>
        <w:t>Puolustusministeriö</w:t>
      </w:r>
    </w:p>
    <w:p w:rsidR="00036529" w:rsidRDefault="00036529" w:rsidP="00786F78">
      <w:pPr>
        <w:pStyle w:val="Leipteksti"/>
      </w:pPr>
      <w:r>
        <w:t>Rajavartiolaitoksen esikunta</w:t>
      </w:r>
    </w:p>
    <w:p w:rsidR="00A67723" w:rsidRDefault="00A67723" w:rsidP="00786F78">
      <w:pPr>
        <w:pStyle w:val="Leipteksti"/>
      </w:pPr>
      <w:r>
        <w:t>Rolls-Royce Oy Ab</w:t>
      </w:r>
    </w:p>
    <w:p w:rsidR="007A1931" w:rsidRDefault="007A1931" w:rsidP="00786F78">
      <w:pPr>
        <w:pStyle w:val="Leipteksti"/>
      </w:pPr>
      <w:r>
        <w:t>Satakunnan ammattikorkeakoulu, Logistiikka ja meriteknologia</w:t>
      </w:r>
    </w:p>
    <w:p w:rsidR="00D608B9" w:rsidRDefault="00D608B9" w:rsidP="00786F78">
      <w:pPr>
        <w:pStyle w:val="Leipteksti"/>
      </w:pPr>
      <w:r>
        <w:t>Suomen Konepäällystöliitto</w:t>
      </w:r>
    </w:p>
    <w:p w:rsidR="00A67723" w:rsidRDefault="00A67723" w:rsidP="00786F78">
      <w:pPr>
        <w:pStyle w:val="Leipteksti"/>
      </w:pPr>
      <w:r>
        <w:t>Suomen luonnonsuojeluliitto ry</w:t>
      </w:r>
    </w:p>
    <w:p w:rsidR="00A67723" w:rsidRPr="003402B7" w:rsidRDefault="00A67723" w:rsidP="00786F78">
      <w:pPr>
        <w:pStyle w:val="Leipteksti"/>
      </w:pPr>
      <w:r>
        <w:t>Suomen Satamaliitto</w:t>
      </w:r>
    </w:p>
    <w:p w:rsidR="009E7012" w:rsidRPr="003402B7" w:rsidRDefault="009E7012" w:rsidP="00786F78">
      <w:pPr>
        <w:pStyle w:val="Leipteksti"/>
      </w:pPr>
      <w:r w:rsidRPr="003402B7">
        <w:t>S</w:t>
      </w:r>
      <w:r w:rsidR="00D608B9">
        <w:t>uomen Varustamot ry</w:t>
      </w:r>
    </w:p>
    <w:p w:rsidR="0026368D" w:rsidRDefault="00D608B9" w:rsidP="00786F78">
      <w:pPr>
        <w:pStyle w:val="Leipteksti"/>
      </w:pPr>
      <w:r>
        <w:t>Suomen Vesitieyhdistys r.y.</w:t>
      </w:r>
    </w:p>
    <w:p w:rsidR="00D030C8" w:rsidRDefault="00D608B9" w:rsidP="00786F78">
      <w:pPr>
        <w:pStyle w:val="Leipteksti"/>
      </w:pPr>
      <w:r>
        <w:t>Työ- ja elinkeinoministeriö</w:t>
      </w:r>
    </w:p>
    <w:p w:rsidR="007A1931" w:rsidRDefault="007A1931" w:rsidP="00786F78">
      <w:pPr>
        <w:pStyle w:val="Leipteksti"/>
      </w:pPr>
      <w:r>
        <w:t>Viestintävirasto</w:t>
      </w:r>
    </w:p>
    <w:p w:rsidR="00A67723" w:rsidRPr="003402B7" w:rsidRDefault="00A67723" w:rsidP="00786F78">
      <w:pPr>
        <w:pStyle w:val="Leipteksti"/>
      </w:pPr>
      <w:r>
        <w:t>Ålands lansksapsregering</w:t>
      </w:r>
    </w:p>
    <w:p w:rsidR="003402B7" w:rsidRPr="003D4E8E" w:rsidRDefault="00B74BF3" w:rsidP="00D608B9">
      <w:pPr>
        <w:pStyle w:val="Leipteksti"/>
        <w:ind w:left="0"/>
      </w:pPr>
      <w:r w:rsidRPr="003402B7">
        <w:tab/>
      </w:r>
      <w:r w:rsidRPr="003402B7">
        <w:tab/>
      </w:r>
      <w:r w:rsidR="003402B7" w:rsidRPr="003D4E8E">
        <w:t xml:space="preserve"> </w:t>
      </w:r>
    </w:p>
    <w:p w:rsidR="00786F78" w:rsidRPr="003402B7" w:rsidRDefault="00786F78" w:rsidP="00786F78">
      <w:pPr>
        <w:pStyle w:val="Leipteksti"/>
      </w:pPr>
    </w:p>
    <w:p w:rsidR="0026368D" w:rsidRPr="0026368D" w:rsidRDefault="00D608B9" w:rsidP="00D608B9">
      <w:pPr>
        <w:pStyle w:val="Leipteksti"/>
      </w:pPr>
      <w:r>
        <w:t xml:space="preserve">Opetus- ja kulttuuriministeriö </w:t>
      </w:r>
      <w:r w:rsidR="00786F78">
        <w:t xml:space="preserve">ilmoitti, ettei </w:t>
      </w:r>
      <w:r>
        <w:t>sillä</w:t>
      </w:r>
      <w:r w:rsidR="0026368D">
        <w:t xml:space="preserve"> ole lausuttavaa asiassa. </w:t>
      </w:r>
    </w:p>
    <w:p w:rsidR="00AD0A26" w:rsidRDefault="00AD0A26" w:rsidP="00355979">
      <w:pPr>
        <w:pStyle w:val="Leipteksti"/>
        <w:ind w:left="0"/>
        <w:rPr>
          <w:b/>
        </w:rPr>
      </w:pPr>
    </w:p>
    <w:p w:rsidR="00AD0A26" w:rsidRDefault="00355979" w:rsidP="00355979">
      <w:pPr>
        <w:pStyle w:val="Leipteksti"/>
        <w:ind w:left="0"/>
        <w:rPr>
          <w:b/>
        </w:rPr>
      </w:pPr>
      <w:r>
        <w:rPr>
          <w:b/>
        </w:rPr>
        <w:t>Yleistä lausunnoista</w:t>
      </w:r>
    </w:p>
    <w:p w:rsidR="00695847" w:rsidRPr="00695847" w:rsidRDefault="00695847" w:rsidP="00387091">
      <w:pPr>
        <w:pStyle w:val="Leipteksti"/>
        <w:jc w:val="both"/>
      </w:pPr>
      <w:r>
        <w:rPr>
          <w:b/>
        </w:rPr>
        <w:t xml:space="preserve">European Maritime Pilots’ Association </w:t>
      </w:r>
      <w:r>
        <w:t xml:space="preserve">(EMPA) totesi lausunnossaan suhtautuvansa positiivisesti merenkulun automaatioon ja digitalisaatioon, mutta korosti sen myös aiheuttavan uusia haasteita. EMPA totesi lausunnossaan, ettei sen mukaan etäluotsausta kuuluisi kutsua luotsaukseksi. Lisäksi se totesi etäluotsauksen edellyttävän pitkää kokemusta ja koulutusta. EMPA kiinnitti huomiotaan myös vastuukysymyksiin, joihin se toivoi otettavan tarkemmin kantaa lakiesityksessä. EMPA esitti myös, että Liikenteen turvallisuusviraston tulisi määritellä, millä kaikilla aluksilla etäluotsausta voitaisiin tehdä. </w:t>
      </w:r>
    </w:p>
    <w:p w:rsidR="00695847" w:rsidRDefault="00695847" w:rsidP="00387091">
      <w:pPr>
        <w:pStyle w:val="Leipteksti"/>
        <w:jc w:val="both"/>
        <w:rPr>
          <w:b/>
        </w:rPr>
      </w:pPr>
    </w:p>
    <w:p w:rsidR="00B66290" w:rsidRPr="00B66290" w:rsidRDefault="00B66290" w:rsidP="00387091">
      <w:pPr>
        <w:pStyle w:val="Leipteksti"/>
        <w:jc w:val="both"/>
      </w:pPr>
      <w:r>
        <w:rPr>
          <w:b/>
        </w:rPr>
        <w:lastRenderedPageBreak/>
        <w:t>Finnpilot Pilotage Oy</w:t>
      </w:r>
      <w:r>
        <w:t xml:space="preserve"> </w:t>
      </w:r>
      <w:r w:rsidR="00EE6CCA">
        <w:t>(Finnpilot) piti esitysluonno</w:t>
      </w:r>
      <w:r w:rsidR="00AD0A26">
        <w:t xml:space="preserve">ksessa esitettyjä muutoksia tervetulleina. </w:t>
      </w:r>
      <w:r w:rsidR="00EE6CCA">
        <w:t>Finnpilot kuitenkin korosti, että on tärkeää erottaa ehdotuksen mahdollistama kokeilu ja varsinainen Finnpilotin lain perusteella tuottama luotsauspalvelu toisistaan.</w:t>
      </w:r>
    </w:p>
    <w:p w:rsidR="00B66290" w:rsidRDefault="00B66290" w:rsidP="00387091">
      <w:pPr>
        <w:pStyle w:val="Leipteksti"/>
        <w:jc w:val="both"/>
        <w:rPr>
          <w:b/>
        </w:rPr>
      </w:pPr>
    </w:p>
    <w:p w:rsidR="00642E95" w:rsidRPr="00786F78" w:rsidRDefault="00D608B9" w:rsidP="00387091">
      <w:pPr>
        <w:pStyle w:val="Leipteksti"/>
        <w:jc w:val="both"/>
      </w:pPr>
      <w:r>
        <w:rPr>
          <w:b/>
        </w:rPr>
        <w:t>Ilmatieteen laitos</w:t>
      </w:r>
      <w:r w:rsidR="00642E95">
        <w:t xml:space="preserve"> </w:t>
      </w:r>
      <w:r w:rsidR="00782BD2">
        <w:t>totesi</w:t>
      </w:r>
      <w:r w:rsidR="00642E95">
        <w:t xml:space="preserve"> lausunnossaan, että </w:t>
      </w:r>
      <w:r w:rsidR="00750B6D">
        <w:t>turvallisuus ja meriliikenteen automaatio edellyttävät, että luotsaustoimintaan, meriliikenteen ohjaukseen ja alusten operointiin osallistuvilla on käytössään parhaat mahdolliset sää- ja merenolosuhdetiedot reaaliaikaisesti ja tietoturvallisesti</w:t>
      </w:r>
      <w:r w:rsidR="00642E95">
        <w:t>.</w:t>
      </w:r>
      <w:r w:rsidR="00D030C8">
        <w:t xml:space="preserve"> </w:t>
      </w:r>
      <w:r w:rsidR="00750B6D">
        <w:t>Ilmatieteen laitos katsoi esitetyn lainmuutoksen tukevan liikennemuotojen digitalisaatiota.</w:t>
      </w:r>
    </w:p>
    <w:p w:rsidR="009F18EF" w:rsidRDefault="009F18EF" w:rsidP="00387091">
      <w:pPr>
        <w:pStyle w:val="Leipteksti"/>
        <w:jc w:val="both"/>
      </w:pPr>
    </w:p>
    <w:p w:rsidR="00750B6D" w:rsidRDefault="00750B6D" w:rsidP="00387091">
      <w:pPr>
        <w:pStyle w:val="Leipteksti"/>
        <w:jc w:val="both"/>
      </w:pPr>
      <w:r>
        <w:rPr>
          <w:b/>
        </w:rPr>
        <w:t xml:space="preserve">Innovaatiokeskus Busness Finland Oy </w:t>
      </w:r>
      <w:r w:rsidRPr="00387091">
        <w:t>(Business Finland)</w:t>
      </w:r>
      <w:r w:rsidR="00036529">
        <w:t xml:space="preserve"> </w:t>
      </w:r>
      <w:r w:rsidR="00782BD2">
        <w:t>korosti</w:t>
      </w:r>
      <w:r w:rsidR="00036529">
        <w:t xml:space="preserve"> lausunnossaan </w:t>
      </w:r>
      <w:r w:rsidR="00782BD2">
        <w:t>merenkulun digitaalisten ratkaisujen liiketoimintapotentiaalia</w:t>
      </w:r>
      <w:r w:rsidR="007E021B">
        <w:t>, digitaalisten työkalujen nopeaa kehitystä</w:t>
      </w:r>
      <w:r w:rsidR="00782BD2">
        <w:t xml:space="preserve"> sekä yhteystyön ja pilotointimahdollisuuksien tarvetta yrityssektorin kanssa.</w:t>
      </w:r>
    </w:p>
    <w:p w:rsidR="00322380" w:rsidRDefault="00322380" w:rsidP="00387091">
      <w:pPr>
        <w:pStyle w:val="Leipteksti"/>
        <w:jc w:val="both"/>
      </w:pPr>
    </w:p>
    <w:p w:rsidR="00322380" w:rsidRDefault="00322380" w:rsidP="00387091">
      <w:pPr>
        <w:pStyle w:val="Leipteksti"/>
        <w:jc w:val="both"/>
      </w:pPr>
      <w:r>
        <w:rPr>
          <w:b/>
        </w:rPr>
        <w:t>Liikennevirasto</w:t>
      </w:r>
      <w:r w:rsidR="00681777">
        <w:rPr>
          <w:b/>
        </w:rPr>
        <w:t xml:space="preserve"> </w:t>
      </w:r>
      <w:r w:rsidR="00681777">
        <w:t xml:space="preserve">piti esitystä kannatettavana ja etäluotsauspalveluiden kokeilua myönteisenä asiana. </w:t>
      </w:r>
      <w:r w:rsidR="0024422F">
        <w:t>Liikennevirasto huomautti Liikenneviraston VHF-radioyhteyden olevan osa VTS-järjestelmää ja päivittäistä VTS-toimintaa.</w:t>
      </w:r>
    </w:p>
    <w:p w:rsidR="00387091" w:rsidRDefault="00387091" w:rsidP="00387091">
      <w:pPr>
        <w:pStyle w:val="Leipteksti"/>
        <w:jc w:val="both"/>
      </w:pPr>
    </w:p>
    <w:p w:rsidR="00387091" w:rsidRDefault="00387091" w:rsidP="00387091">
      <w:pPr>
        <w:pStyle w:val="Leipteksti"/>
        <w:jc w:val="both"/>
      </w:pPr>
      <w:r>
        <w:rPr>
          <w:b/>
        </w:rPr>
        <w:t>Liikenteen turvallisuusvirasto Trafi</w:t>
      </w:r>
      <w:r>
        <w:t xml:space="preserve"> (Trafi) kannatti esitystä, mutta ehdotti siihen muutamia muutoksia. Trafi huomautti, ettei esityksessä ole arvioitu viranomaisvaikutuksia ja ehdotti lisättäväksi esityksen vaikutuksiin maininnan siitä, että esityksellä on vaikutuksia Trafin toimintaan. Trafi esitti myös, että esityksen 21 e §:n säännöstä ”Edellä sanottu ei koske viranomaisten toiminnan julkisuudesta annetun lain (621/1999) 24 §:n 1 momentin 10 kohdassa tarkoitettuja tietoja” muutettaisiin siten, että siihen lisättäisiin myös julkisuuslain 24 § 1 momentin 15 kohta.</w:t>
      </w:r>
    </w:p>
    <w:p w:rsidR="00DF5FC4" w:rsidRDefault="00DF5FC4" w:rsidP="00387091">
      <w:pPr>
        <w:pStyle w:val="Leipteksti"/>
        <w:ind w:left="0"/>
        <w:jc w:val="both"/>
        <w:rPr>
          <w:b/>
        </w:rPr>
      </w:pPr>
    </w:p>
    <w:p w:rsidR="00DF5FC4" w:rsidRPr="004C34A2" w:rsidRDefault="00DF5FC4" w:rsidP="00387091">
      <w:pPr>
        <w:pStyle w:val="Leipteksti"/>
        <w:jc w:val="both"/>
      </w:pPr>
      <w:r>
        <w:rPr>
          <w:b/>
        </w:rPr>
        <w:t xml:space="preserve">Luotsiliitto – Lotsförbundet </w:t>
      </w:r>
      <w:r w:rsidR="004C34A2">
        <w:rPr>
          <w:b/>
        </w:rPr>
        <w:t xml:space="preserve">ry </w:t>
      </w:r>
      <w:r w:rsidR="004C34A2" w:rsidRPr="004C34A2">
        <w:t>(Luotsiliitto)</w:t>
      </w:r>
      <w:r w:rsidR="004C34A2">
        <w:rPr>
          <w:b/>
        </w:rPr>
        <w:t xml:space="preserve"> </w:t>
      </w:r>
      <w:r w:rsidR="004C34A2">
        <w:t>katsoi lausunnossaan, ettei ehdotettua etäluotsausta voida pitää luotsauslain mukaisena luotsauksena, vaan kyse olisi luotsaukseen rinnastettavasta toiminnasta. Luotsiliitto lähtökohtaisesti kannatti etäluotsauskokeilua, mutta piti ongelmallisena siihen liittyviä vastuu</w:t>
      </w:r>
      <w:r w:rsidR="00AD0A26">
        <w:t>kysymyksiä</w:t>
      </w:r>
      <w:r w:rsidR="004C34A2">
        <w:t xml:space="preserve">. </w:t>
      </w:r>
      <w:r w:rsidR="00602DAE">
        <w:t xml:space="preserve">Luotsiliitto esitti, että </w:t>
      </w:r>
      <w:r w:rsidR="00E72B57">
        <w:t xml:space="preserve">vähintäänkin </w:t>
      </w:r>
      <w:r w:rsidR="00602DAE">
        <w:t xml:space="preserve">esitetyn lain 21 f §:n tulee muuttaa niin, että vastuu kokeiluista on järjestävällä taholla Finnpilot Pilotage Oy:llä. </w:t>
      </w:r>
      <w:r w:rsidR="004C34A2">
        <w:t xml:space="preserve">Luotsiliitto </w:t>
      </w:r>
      <w:r w:rsidR="00602DAE">
        <w:t>ehdotti myös</w:t>
      </w:r>
      <w:r w:rsidR="004C34A2">
        <w:t>, että etäluotsauskokeilusta säädettäisiin luotsauslain</w:t>
      </w:r>
      <w:r w:rsidR="00765585">
        <w:t xml:space="preserve"> (940/2003)</w:t>
      </w:r>
      <w:r w:rsidR="004C34A2">
        <w:t xml:space="preserve"> sijasta </w:t>
      </w:r>
      <w:r w:rsidR="004C34A2" w:rsidRPr="004C34A2">
        <w:t>laissa Luotsausliikelaitoksen muuttamisesta osakeyhtiöksi (130/2010) niin, että luotsausyhtiön tehtäviin lisättäisiin luotsauslain mukaisten luotsauspalveluiden tarjoamisen ja toimintaedellytysten turvaamisen lisäksi luotsaukseen rinnastettava toimita</w:t>
      </w:r>
      <w:r w:rsidR="00765585">
        <w:t>, eli etäluotsaus.</w:t>
      </w:r>
      <w:r w:rsidR="00E72B57">
        <w:t xml:space="preserve"> Lisäksi Luotsiliitto kiinnitti</w:t>
      </w:r>
      <w:r w:rsidR="00777FA7">
        <w:t xml:space="preserve"> lausunnossaan</w:t>
      </w:r>
      <w:r w:rsidR="00E72B57">
        <w:t xml:space="preserve"> huomiota </w:t>
      </w:r>
      <w:r w:rsidR="00777FA7">
        <w:t xml:space="preserve">esityksen </w:t>
      </w:r>
      <w:r w:rsidR="00777FA7" w:rsidRPr="00AD0A26">
        <w:t>Nykytila</w:t>
      </w:r>
      <w:r w:rsidR="00777FA7">
        <w:rPr>
          <w:i/>
        </w:rPr>
        <w:t xml:space="preserve"> </w:t>
      </w:r>
      <w:r w:rsidR="00777FA7">
        <w:rPr>
          <w:i/>
        </w:rPr>
        <w:softHyphen/>
        <w:t>–</w:t>
      </w:r>
      <w:r w:rsidR="00777FA7">
        <w:t>kohdassa tehtyyn</w:t>
      </w:r>
      <w:r w:rsidR="00777FA7" w:rsidRPr="00777FA7">
        <w:t xml:space="preserve"> </w:t>
      </w:r>
      <w:r w:rsidR="00777FA7">
        <w:t>toteamukseen, jonka mukaan luotsauslaki estä kokeiluja, jossa luotsi toimii aluksen ulkopuolella, jos kokeilut tehdään luotsattavien väylien ulkopuolella. Luotsausliitto totesi, että luotsilla on oikeus luotsata alusta vain niillä luotsattavaksi säädetyillä väylillä, johon hän Liikenteen turvallisuusviraston myöntämällä ohjauskirjalla on saanut luotsausoikeuden, eikä oikeus toimia luotsauslain tarkoittamana luotsina siten koske muuta vesialuetta.</w:t>
      </w:r>
    </w:p>
    <w:p w:rsidR="00750B6D" w:rsidRDefault="00750B6D" w:rsidP="00387091">
      <w:pPr>
        <w:pStyle w:val="Leipteksti"/>
        <w:jc w:val="both"/>
        <w:rPr>
          <w:b/>
        </w:rPr>
      </w:pPr>
    </w:p>
    <w:p w:rsidR="00B74BF3" w:rsidRDefault="00B74BF3" w:rsidP="00387091">
      <w:pPr>
        <w:pStyle w:val="Leipteksti"/>
        <w:jc w:val="both"/>
      </w:pPr>
      <w:r w:rsidRPr="00B74BF3">
        <w:rPr>
          <w:b/>
        </w:rPr>
        <w:lastRenderedPageBreak/>
        <w:t>M</w:t>
      </w:r>
      <w:r w:rsidR="00043C40">
        <w:rPr>
          <w:b/>
        </w:rPr>
        <w:t xml:space="preserve">aanmittauslaitos </w:t>
      </w:r>
      <w:r w:rsidR="00DD734E">
        <w:t>totesi jo aikaisemmin 11.10.2017 lausumansa mukaisesti, että paikkatietokeskus on sopimuksesta valmis osallistumaan kehittämis-, kokeilu tai tieteelliseen tutkimustyöhön, joka edistää etäluotsauksen käyttöönottoa.</w:t>
      </w:r>
    </w:p>
    <w:p w:rsidR="00782BD2" w:rsidRDefault="00782BD2" w:rsidP="00387091">
      <w:pPr>
        <w:pStyle w:val="Leipteksti"/>
        <w:jc w:val="both"/>
      </w:pPr>
    </w:p>
    <w:p w:rsidR="00782BD2" w:rsidRDefault="00782BD2" w:rsidP="00387091">
      <w:pPr>
        <w:pStyle w:val="Leipteksti"/>
        <w:jc w:val="both"/>
      </w:pPr>
      <w:r>
        <w:rPr>
          <w:b/>
        </w:rPr>
        <w:t>Meriteollisuus ry</w:t>
      </w:r>
      <w:r w:rsidR="00DF66B7">
        <w:rPr>
          <w:b/>
        </w:rPr>
        <w:t>, Suomen Vesitieyhdistys r.y.</w:t>
      </w:r>
      <w:r w:rsidR="00681777">
        <w:rPr>
          <w:b/>
        </w:rPr>
        <w:t xml:space="preserve"> ja </w:t>
      </w:r>
      <w:r w:rsidR="00A67723">
        <w:rPr>
          <w:b/>
        </w:rPr>
        <w:t>Viestintävirasto</w:t>
      </w:r>
      <w:r w:rsidR="00322380">
        <w:rPr>
          <w:b/>
        </w:rPr>
        <w:t xml:space="preserve"> </w:t>
      </w:r>
      <w:r w:rsidR="00A67723">
        <w:t xml:space="preserve">kannattivat lausunnoissaan esitystä ja sen mahdollistamia </w:t>
      </w:r>
      <w:r w:rsidR="00DF66B7">
        <w:t>etä</w:t>
      </w:r>
      <w:r w:rsidR="00A67723">
        <w:t>luotsauspalveluiden kokeiluja.</w:t>
      </w:r>
    </w:p>
    <w:p w:rsidR="00777FA7" w:rsidRDefault="00777FA7" w:rsidP="00387091">
      <w:pPr>
        <w:pStyle w:val="Leipteksti"/>
        <w:jc w:val="both"/>
      </w:pPr>
    </w:p>
    <w:p w:rsidR="00DD734E" w:rsidRDefault="00777FA7" w:rsidP="00387091">
      <w:pPr>
        <w:pStyle w:val="Leipteksti"/>
        <w:jc w:val="both"/>
      </w:pPr>
      <w:r>
        <w:rPr>
          <w:b/>
        </w:rPr>
        <w:t>Onnettomuustutkintakeskus</w:t>
      </w:r>
      <w:r>
        <w:t xml:space="preserve"> </w:t>
      </w:r>
      <w:r w:rsidR="00AD5EE8">
        <w:t xml:space="preserve">korosti lausunnossaan luotsin ja aluksen siltahenkilökunnan saumattoman yhteistoiminnan merkitystä luotsauksen aikana sekä välittömästi ennen ja jälkeen luotsauksen. Onnettomuustutkintakeskus esittää lakiehdotukseen lisättäväksi vaatimuksia koskien kokeiluun osallistuvien alusten valmiutta osallistua kokeiluun. </w:t>
      </w:r>
      <w:r w:rsidR="00D549A6">
        <w:t>Lausunnossa esitettiin, että esitykseen lisättäisiin maininta kokeiluun liittyvien toimintojen sisällyttämisestä myös alusten turvallisuusjohtamisjärjestelmiin etäluotsaukseen valmistautumisen tukemiseksi. Lisäksi onnettomuustutkintakeskus esitti, että luotsauslakiin lisättäväksi esitetystä 21 a §:n 4 momentista poistettaisiin sana ”mahdollisesti” ja lisättäisiin maininta kokeiluun osallistuvien alusten riskienhallinnasta. Onnettomuustutkintakeskus piti hyvänä sitä, että aluksen päälliköllä säilyy päätösvalta kokeiluun osallistumisesta.</w:t>
      </w:r>
    </w:p>
    <w:p w:rsidR="00D549A6" w:rsidRDefault="00D549A6" w:rsidP="00387091">
      <w:pPr>
        <w:pStyle w:val="Leipteksti"/>
        <w:jc w:val="both"/>
        <w:rPr>
          <w:b/>
        </w:rPr>
      </w:pPr>
    </w:p>
    <w:p w:rsidR="00DD734E" w:rsidRDefault="00DD734E" w:rsidP="00387091">
      <w:pPr>
        <w:pStyle w:val="Leipteksti"/>
        <w:jc w:val="both"/>
      </w:pPr>
      <w:r>
        <w:rPr>
          <w:b/>
        </w:rPr>
        <w:t xml:space="preserve">Poliisihallitus </w:t>
      </w:r>
      <w:r>
        <w:t xml:space="preserve">ei ottanut esitykseen muutoin kantaa, kuin huomauttamalla, että kokeilulupia myönnettäessä ja kokeiluja toteutettaessa tulee varmistaa alusliikenteen turvallisuus </w:t>
      </w:r>
      <w:r w:rsidR="00C9427B" w:rsidRPr="00C9427B">
        <w:t xml:space="preserve">ehdotetun luotsauslain </w:t>
      </w:r>
      <w:r w:rsidR="00D04506">
        <w:t>21 a §:n mukaisesti varmistamalla lupaa hakevan luotsiyhtiön antamien selvitysten riittävyys ja kattavuus erityisesti turvallisuuden näkökulmasta.</w:t>
      </w:r>
    </w:p>
    <w:p w:rsidR="009E26F8" w:rsidRDefault="009E26F8" w:rsidP="00387091">
      <w:pPr>
        <w:pStyle w:val="Leipteksti"/>
        <w:jc w:val="both"/>
      </w:pPr>
    </w:p>
    <w:p w:rsidR="009E26F8" w:rsidRPr="009E26F8" w:rsidRDefault="009E26F8" w:rsidP="00387091">
      <w:pPr>
        <w:pStyle w:val="Leipteksti"/>
        <w:jc w:val="both"/>
      </w:pPr>
      <w:r>
        <w:rPr>
          <w:b/>
        </w:rPr>
        <w:t xml:space="preserve">Puolustusministeriö </w:t>
      </w:r>
      <w:r w:rsidRPr="009E26F8">
        <w:t>(PLM)</w:t>
      </w:r>
      <w:r>
        <w:rPr>
          <w:b/>
        </w:rPr>
        <w:t xml:space="preserve"> </w:t>
      </w:r>
      <w:r w:rsidR="00355979">
        <w:t>piti et</w:t>
      </w:r>
      <w:r>
        <w:t xml:space="preserve">äluotsauksen kokeilemista turvallisuutta vaarantamatta kannatettavana. </w:t>
      </w:r>
      <w:r w:rsidR="00324A7B">
        <w:t>Puolustusministeriö esitti, että luotsauslain (940/2003)  5 §:n 3 momentin mukaiseen l</w:t>
      </w:r>
      <w:r>
        <w:t xml:space="preserve">uotsinkäyttövelvollisuudesta vapautettujen alusten </w:t>
      </w:r>
      <w:r w:rsidR="00324A7B">
        <w:t>luetteloon lisättäisiin uusi 5 kohta</w:t>
      </w:r>
      <w:r w:rsidR="00DF29B8">
        <w:t xml:space="preserve"> seuraavasti: </w:t>
      </w:r>
      <w:r w:rsidR="00324A7B">
        <w:t>”vieraan valtion valtionalus, joka osallistuu Suomen alueella koulutus- ja harjoitustoimintaan tai puolustusvoimista annetun lain (551/2007)2 §:n 1 momentin 3 kohdassa tarkoitettuun Euroopan unionista tehdyn sopimuksen 222 artiklaan tai Euroopan unionista tehdyn sopimuksen 42 artiklan 7 kohtaan perustuvaan apuun, aluevalvontayhteistyöhön tai muuhun kansainvälisen avun antamiseen ja kansainväliseen toimintaan”.</w:t>
      </w:r>
      <w:r w:rsidR="00DF29B8">
        <w:t xml:space="preserve"> PLM piti tärkeänä sitä, että vapautus luotsin käyttövelvollisuudesta voitaisiin myöntää sotilaallisten harjoitusten lisäksi myös aikariittisessä puolustusyhteistyössä.</w:t>
      </w:r>
    </w:p>
    <w:p w:rsidR="00202D14" w:rsidRDefault="00202D14" w:rsidP="00387091">
      <w:pPr>
        <w:pStyle w:val="Leipteksti"/>
        <w:jc w:val="both"/>
      </w:pPr>
    </w:p>
    <w:p w:rsidR="00202D14" w:rsidRDefault="00043C40" w:rsidP="00387091">
      <w:pPr>
        <w:pStyle w:val="Leipteksti"/>
        <w:jc w:val="both"/>
      </w:pPr>
      <w:r>
        <w:rPr>
          <w:b/>
        </w:rPr>
        <w:t>Rajavartiolai</w:t>
      </w:r>
      <w:r w:rsidR="00036529">
        <w:rPr>
          <w:b/>
        </w:rPr>
        <w:t>toksen esikunta</w:t>
      </w:r>
      <w:r w:rsidR="00202D14">
        <w:t xml:space="preserve"> </w:t>
      </w:r>
      <w:r>
        <w:t>kannatti ehdotetun kokeilun aloittamista, mutta painotti lausunnossaan riittävän seurannan ja vaikutusten arvioinnin toteuttamista. Rajavartiolaitos ehdotti siksi kokeilun aloittamista ns. turvallisilta väyliltä sekä vaarallisia tai haitallisia aineita kuljettavien alusten sekä suurimpien matkustaja-alusten jättämistä toistaiseksi kokeilun ulkopuolelle.</w:t>
      </w:r>
    </w:p>
    <w:p w:rsidR="0024422F" w:rsidRDefault="0024422F" w:rsidP="00387091">
      <w:pPr>
        <w:pStyle w:val="Leipteksti"/>
        <w:jc w:val="both"/>
      </w:pPr>
    </w:p>
    <w:p w:rsidR="0024422F" w:rsidRPr="0024422F" w:rsidRDefault="0024422F" w:rsidP="00387091">
      <w:pPr>
        <w:pStyle w:val="Leipteksti"/>
        <w:jc w:val="both"/>
      </w:pPr>
      <w:r>
        <w:rPr>
          <w:b/>
        </w:rPr>
        <w:t>Rolls-Royce Oy Ab</w:t>
      </w:r>
      <w:r>
        <w:t xml:space="preserve"> </w:t>
      </w:r>
      <w:r w:rsidR="00B66290">
        <w:t>piti etäluotsauskokeilujen mahdollistamista merenkulun turvallisuutta, uusien digitaalisten palvelujen ja liiketoimintojen syntymistä sekä globaalia kilpailukykyä edistävänä tekijänä.</w:t>
      </w:r>
    </w:p>
    <w:p w:rsidR="00D030C8" w:rsidRDefault="00D030C8" w:rsidP="00387091">
      <w:pPr>
        <w:pStyle w:val="Leipteksti"/>
        <w:jc w:val="both"/>
      </w:pPr>
    </w:p>
    <w:p w:rsidR="009E7012" w:rsidRDefault="009E7012" w:rsidP="00387091">
      <w:pPr>
        <w:pStyle w:val="Leipteksti"/>
        <w:jc w:val="both"/>
      </w:pPr>
      <w:r w:rsidRPr="009E7012">
        <w:rPr>
          <w:b/>
        </w:rPr>
        <w:lastRenderedPageBreak/>
        <w:t>S</w:t>
      </w:r>
      <w:r w:rsidR="007A1931">
        <w:rPr>
          <w:b/>
        </w:rPr>
        <w:t>atakunnan ammattikorkeakoulun Logistiikka ja meriteknologia</w:t>
      </w:r>
      <w:r w:rsidR="007A1931">
        <w:t xml:space="preserve"> piti esitystä kannatettavana ja etäluotsauksen kokeilujen mahdollistamista erittäin tarpeellisena toimenpiteenä.</w:t>
      </w:r>
      <w:r>
        <w:t xml:space="preserve"> </w:t>
      </w:r>
      <w:r w:rsidR="007A1931">
        <w:t>Lausunnossa todettiin, että ehdotukseen olisi tarpeellista sisällyttää vaatimukset kokeiluun osallistuvien alusten ja kokeilu</w:t>
      </w:r>
      <w:r w:rsidR="00322380">
        <w:t>alueiden valmiuksista kokeiluun.</w:t>
      </w:r>
    </w:p>
    <w:p w:rsidR="00C9427B" w:rsidRDefault="00C9427B" w:rsidP="00387091">
      <w:pPr>
        <w:pStyle w:val="Leipteksti"/>
        <w:jc w:val="both"/>
      </w:pPr>
    </w:p>
    <w:p w:rsidR="00C9427B" w:rsidRDefault="00C9427B" w:rsidP="00387091">
      <w:pPr>
        <w:pStyle w:val="Leipteksti"/>
        <w:jc w:val="both"/>
      </w:pPr>
      <w:r>
        <w:rPr>
          <w:b/>
        </w:rPr>
        <w:t xml:space="preserve">Suomen Konepäällystöliitto </w:t>
      </w:r>
      <w:r w:rsidRPr="00C9427B">
        <w:t>(SKL)</w:t>
      </w:r>
      <w:r>
        <w:t xml:space="preserve"> vastusti luotsauslain muuttamista siten, että etäluotsaus ja kokeilujen tekeminen nykyisten väylien ulkopuolella sallittaisiin. S</w:t>
      </w:r>
      <w:r w:rsidR="00BB0225">
        <w:t>KL totesi</w:t>
      </w:r>
      <w:r>
        <w:t xml:space="preserve">, että </w:t>
      </w:r>
      <w:r w:rsidR="00BB0225">
        <w:t xml:space="preserve">paras ja turvallisin tapa hoitaa luotsaustoiminta on nykyisen luotsauslain mukainen velvoite käyttää aluksella luotsia. SKL huomautti, että </w:t>
      </w:r>
      <w:r>
        <w:t xml:space="preserve">etäluotsauksen kokeilun salliminen ja mahdollinen toteutus </w:t>
      </w:r>
      <w:r w:rsidR="00BB0225">
        <w:t>tulevaisuudessa lisäävät riskiä, että ulkopuolinen taho tahallisesti vahingoittamistarkoituksessa puuttuisi luotsaustapahtumaan teknisin toimenpitein. SKL viittasi myös Norjassa ja Hollannissa tehtyihin etäluotsauksen kokeiluihin, joissa todettiin, ettei se ole toteuttamiskelpoinen.</w:t>
      </w:r>
    </w:p>
    <w:p w:rsidR="00813719" w:rsidRDefault="00813719" w:rsidP="00387091">
      <w:pPr>
        <w:pStyle w:val="Leipteksti"/>
        <w:jc w:val="both"/>
      </w:pPr>
    </w:p>
    <w:p w:rsidR="00813719" w:rsidRPr="002F2E0E" w:rsidRDefault="00813719" w:rsidP="00387091">
      <w:pPr>
        <w:pStyle w:val="Leipteksti"/>
        <w:jc w:val="both"/>
      </w:pPr>
      <w:r>
        <w:rPr>
          <w:b/>
        </w:rPr>
        <w:t>Suomen luonnonsuojeluliitto ry</w:t>
      </w:r>
      <w:r w:rsidR="002F2E0E">
        <w:rPr>
          <w:b/>
        </w:rPr>
        <w:t xml:space="preserve"> </w:t>
      </w:r>
      <w:r w:rsidR="002F2E0E" w:rsidRPr="00387091">
        <w:t>(SLS)</w:t>
      </w:r>
      <w:r w:rsidR="002F2E0E">
        <w:rPr>
          <w:b/>
        </w:rPr>
        <w:t xml:space="preserve"> </w:t>
      </w:r>
      <w:r w:rsidR="002F2E0E">
        <w:t>totesi, että esityksessä tulisi olla menettelyt sen takaamiseksi, ettei meriliikenteen kokonaisturvallisuus heikkene kokeilujen vuoksi. SLS ehdotti, että lakiesityksen 21 b §:n</w:t>
      </w:r>
      <w:r w:rsidR="0064109B">
        <w:t xml:space="preserve"> kokeiluluvan ehtoja koskeva</w:t>
      </w:r>
      <w:r w:rsidR="002F2E0E">
        <w:t xml:space="preserve"> sanamuoto ”voidaan liittää” muutettaisiin muotoon ”on liitettävä”. </w:t>
      </w:r>
      <w:r w:rsidR="0064109B">
        <w:t xml:space="preserve">Lisäksi SLS esitti, että esityksen perusteella tulisi antaa </w:t>
      </w:r>
      <w:r w:rsidR="00387091">
        <w:t>liikenteen turvallisuusvirastolle</w:t>
      </w:r>
      <w:r w:rsidR="0064109B">
        <w:t xml:space="preserve"> tarkemmat ohjeet turvallisuuden varmistamisesta. Lisäksi SLS totesi, ettei etäluotsausta tulisi aloittaa lainkaan, mikäli aluksen henkilöstö ei täydellisesti ymmärrä luotsin ohjeita kielitaidon puutteiden vuoksi.</w:t>
      </w:r>
    </w:p>
    <w:p w:rsidR="00813719" w:rsidRDefault="00813719" w:rsidP="00387091">
      <w:pPr>
        <w:pStyle w:val="Leipteksti"/>
        <w:jc w:val="both"/>
        <w:rPr>
          <w:b/>
        </w:rPr>
      </w:pPr>
    </w:p>
    <w:p w:rsidR="00813719" w:rsidRPr="0064109B" w:rsidRDefault="00813719" w:rsidP="00387091">
      <w:pPr>
        <w:pStyle w:val="Leipteksti"/>
        <w:jc w:val="both"/>
      </w:pPr>
      <w:r>
        <w:rPr>
          <w:b/>
        </w:rPr>
        <w:t>Suomen Satamaliitto</w:t>
      </w:r>
      <w:r w:rsidR="0064109B">
        <w:rPr>
          <w:b/>
        </w:rPr>
        <w:t xml:space="preserve"> </w:t>
      </w:r>
      <w:r w:rsidR="0064109B">
        <w:t xml:space="preserve">suhtautui myönteisesti esitykseen. Suomen Satamaliitto </w:t>
      </w:r>
      <w:r w:rsidR="009E26F8">
        <w:t>kannatti ensisijaisesti</w:t>
      </w:r>
      <w:r w:rsidR="0064109B">
        <w:t xml:space="preserve"> säädösmuutos</w:t>
      </w:r>
      <w:r w:rsidR="009E26F8">
        <w:t>ta</w:t>
      </w:r>
      <w:r w:rsidR="0064109B">
        <w:t>, jolla taattaisiin etäluotsauksell</w:t>
      </w:r>
      <w:r w:rsidR="009E26F8">
        <w:t>e pysyvät toimintamahdollisuudet kokeilun toteuttaessa sille asetetut tavoitteet. Lakimuutoksen mahdollistaessa</w:t>
      </w:r>
      <w:r w:rsidR="00387091">
        <w:t xml:space="preserve"> kuitenkin</w:t>
      </w:r>
      <w:r w:rsidR="009E26F8">
        <w:t xml:space="preserve"> vain etäluotsauksen kokeilun, tulisi kokeilun olla riittävän pitkäkestoinen. Suomen Satamaliitto piti tärkeänä sitä, että toimijoille syntyy vahva ennustettava varmuus kokeilujaksolle saatavasta jatkomahdollisuudesta, kokeilun täyttäessä sille asetetut tavoitteet.</w:t>
      </w:r>
    </w:p>
    <w:p w:rsidR="00BB0225" w:rsidRDefault="00BB0225" w:rsidP="00387091">
      <w:pPr>
        <w:pStyle w:val="Leipteksti"/>
        <w:jc w:val="both"/>
      </w:pPr>
    </w:p>
    <w:p w:rsidR="00BB0225" w:rsidRDefault="00BB0225" w:rsidP="00387091">
      <w:pPr>
        <w:pStyle w:val="Leipteksti"/>
        <w:jc w:val="both"/>
      </w:pPr>
      <w:r>
        <w:rPr>
          <w:b/>
        </w:rPr>
        <w:t xml:space="preserve">Suomen Varustamot ry </w:t>
      </w:r>
      <w:r w:rsidR="005C1612" w:rsidRPr="00387091">
        <w:t xml:space="preserve">(SV) </w:t>
      </w:r>
      <w:r>
        <w:t xml:space="preserve">kannatti ehdotusta, mutta piti muutosesitystä </w:t>
      </w:r>
      <w:r w:rsidR="001932AE">
        <w:t>puutteellisena. L</w:t>
      </w:r>
      <w:r w:rsidR="00D62128">
        <w:t>ausunnossa ehdotettiin esitykseen lisäyksiä etäluotsauksen organisoinnin ja hinnoittelun sekä vastuunrajoitusehtojen</w:t>
      </w:r>
      <w:r w:rsidR="00CA340D">
        <w:t xml:space="preserve"> ja palveluvelvoitteiden osalta. SV totesi, että ehdotus antaa käytännössä yksinoikeuden etäluotsauskokeiluihin luotausyhtiö Finnpilot Pilotage Oy:lle ja ehdotti, että </w:t>
      </w:r>
      <w:r w:rsidR="00322380">
        <w:t xml:space="preserve">lupa uusien luotsauspalveluiden kokeiluihin tulisi voida myöntää </w:t>
      </w:r>
      <w:r w:rsidR="00CA340D">
        <w:t>myös</w:t>
      </w:r>
      <w:r w:rsidR="00387091">
        <w:t xml:space="preserve"> muun</w:t>
      </w:r>
      <w:r w:rsidR="00CA340D">
        <w:t xml:space="preserve"> luotsauspalveluiden </w:t>
      </w:r>
      <w:r w:rsidR="00387091">
        <w:t>tarjoajan</w:t>
      </w:r>
      <w:r w:rsidR="00CA340D">
        <w:t xml:space="preserve"> </w:t>
      </w:r>
      <w:r w:rsidR="00322380">
        <w:t>hakemuksesta.</w:t>
      </w:r>
    </w:p>
    <w:p w:rsidR="002F2E0E" w:rsidRDefault="002F2E0E" w:rsidP="00387091">
      <w:pPr>
        <w:pStyle w:val="Leipteksti"/>
        <w:ind w:left="0"/>
        <w:jc w:val="both"/>
        <w:rPr>
          <w:b/>
        </w:rPr>
      </w:pPr>
    </w:p>
    <w:p w:rsidR="00DF66B7" w:rsidRDefault="00DF66B7" w:rsidP="00387091">
      <w:pPr>
        <w:pStyle w:val="Leipteksti"/>
        <w:jc w:val="both"/>
      </w:pPr>
      <w:r>
        <w:rPr>
          <w:b/>
        </w:rPr>
        <w:t xml:space="preserve">Työ- ja elinkeinoministeriö </w:t>
      </w:r>
      <w:r w:rsidRPr="00387091">
        <w:t>(TEM)</w:t>
      </w:r>
      <w:r>
        <w:rPr>
          <w:b/>
        </w:rPr>
        <w:t xml:space="preserve"> </w:t>
      </w:r>
      <w:r>
        <w:t>totesi lausunnossaan, että uudenlaisten luotsauspalveluiden markkinoille tulon mahdollistaminen on kannatettava tavoite.</w:t>
      </w:r>
      <w:r w:rsidR="00101C5E">
        <w:t xml:space="preserve"> TEM piti tärkeänä, että kokeilulupaan</w:t>
      </w:r>
      <w:r w:rsidR="00A16E65">
        <w:t xml:space="preserve"> mahdollisesti</w:t>
      </w:r>
      <w:r w:rsidR="00101C5E">
        <w:t xml:space="preserve"> liitettävät ehdot ovat perusteltuja ja oikeasuhtaisia, eikä niillä liikaa rajoiteta palveluiden tarjoajien mahdollisuuksia kokeiluluvan saamiseen. TEM piti esityksen va</w:t>
      </w:r>
      <w:r w:rsidR="00A16E65">
        <w:t>ikutusarviointia varsin suppeana</w:t>
      </w:r>
      <w:r w:rsidR="00D62128">
        <w:t>,</w:t>
      </w:r>
      <w:r w:rsidR="00A16E65">
        <w:t xml:space="preserve"> erityisesti turvallisuusnäkökohtien osalta.</w:t>
      </w:r>
    </w:p>
    <w:p w:rsidR="00681777" w:rsidRDefault="00681777" w:rsidP="00387091">
      <w:pPr>
        <w:pStyle w:val="Leipteksti"/>
        <w:jc w:val="both"/>
      </w:pPr>
    </w:p>
    <w:p w:rsidR="001B0A58" w:rsidRPr="00681777" w:rsidRDefault="00681777" w:rsidP="00387091">
      <w:pPr>
        <w:pStyle w:val="Leipteksti"/>
        <w:jc w:val="both"/>
      </w:pPr>
      <w:r>
        <w:rPr>
          <w:b/>
        </w:rPr>
        <w:t>Ålands landskapsregering</w:t>
      </w:r>
      <w:r>
        <w:t xml:space="preserve"> piti luotsauspalveluiden automatisointia lähtökohtaisesti positiivisena. Älands lanskapsregerin totesi, ettei sillä ole vastalauseita niin kauan kuin kehitys tapahtuu yhteistyössä alan toimijoiden </w:t>
      </w:r>
      <w:r>
        <w:lastRenderedPageBreak/>
        <w:t>kanssa eikä meriturvallisuutta vaaranneta ja ympäristönäkökohdat otetaan huomioon.</w:t>
      </w:r>
    </w:p>
    <w:p w:rsidR="004129E2" w:rsidRDefault="004129E2" w:rsidP="00602DAE">
      <w:pPr>
        <w:pStyle w:val="Leipteksti"/>
        <w:ind w:left="0"/>
      </w:pPr>
    </w:p>
    <w:p w:rsidR="00B74BF3" w:rsidRDefault="00B74BF3" w:rsidP="00F916C2">
      <w:pPr>
        <w:pStyle w:val="Leipteksti"/>
      </w:pPr>
    </w:p>
    <w:p w:rsidR="00B74BF3" w:rsidRPr="00B74BF3" w:rsidRDefault="00B74BF3" w:rsidP="00F916C2">
      <w:pPr>
        <w:pStyle w:val="Leipteksti"/>
      </w:pPr>
    </w:p>
    <w:sectPr w:rsidR="00B74BF3" w:rsidRPr="00B74BF3" w:rsidSect="00F916C2">
      <w:headerReference w:type="default" r:id="rId11"/>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644" w:rsidRDefault="001E3644">
      <w:r>
        <w:separator/>
      </w:r>
    </w:p>
  </w:endnote>
  <w:endnote w:type="continuationSeparator" w:id="0">
    <w:p w:rsidR="001E3644" w:rsidRDefault="001E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4D" w:rsidRDefault="00B37F4D" w:rsidP="00F916C2"/>
  <w:p w:rsidR="00B37F4D" w:rsidRDefault="001E3644" w:rsidP="00F916C2">
    <w:pPr>
      <w:pStyle w:val="LVMAsiakirjanidver"/>
    </w:pPr>
    <w:r>
      <w:fldChar w:fldCharType="begin"/>
    </w:r>
    <w:r>
      <w:instrText xml:space="preserve"> DOCPROPERTY  tweb_doc_id  \* MERGEFORMAT </w:instrText>
    </w:r>
    <w:r>
      <w:fldChar w:fldCharType="separate"/>
    </w:r>
    <w:r w:rsidR="00DD734E">
      <w:t>Id</w:t>
    </w:r>
    <w:r>
      <w:fldChar w:fldCharType="end"/>
    </w:r>
    <w:r w:rsidR="00B37F4D">
      <w:t xml:space="preserve">  </w:t>
    </w:r>
    <w:r>
      <w:fldChar w:fldCharType="begin"/>
    </w:r>
    <w:r>
      <w:instrText xml:space="preserve"> DOCPROPERTY  tweb_doc_mamiversion  \* MERGEFORMAT </w:instrText>
    </w:r>
    <w:r>
      <w:fldChar w:fldCharType="separate"/>
    </w:r>
    <w:r w:rsidR="00DD734E">
      <w:t>Versionumero</w:t>
    </w:r>
    <w:r>
      <w:fldChar w:fldCharType="end"/>
    </w:r>
  </w:p>
  <w:p w:rsidR="00B37F4D" w:rsidRPr="00653640" w:rsidRDefault="00B37F4D" w:rsidP="00F916C2">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B37F4D" w:rsidTr="00B74BF3">
      <w:trPr>
        <w:cantSplit/>
        <w:trHeight w:hRule="exact" w:val="113"/>
      </w:trPr>
      <w:tc>
        <w:tcPr>
          <w:tcW w:w="2628" w:type="dxa"/>
          <w:tcBorders>
            <w:top w:val="single" w:sz="4" w:space="0" w:color="auto"/>
          </w:tcBorders>
          <w:noWrap/>
        </w:tcPr>
        <w:p w:rsidR="00B37F4D" w:rsidRDefault="00B37F4D" w:rsidP="00B74BF3">
          <w:pPr>
            <w:pStyle w:val="Alatunniste"/>
          </w:pPr>
        </w:p>
      </w:tc>
      <w:tc>
        <w:tcPr>
          <w:tcW w:w="1796" w:type="dxa"/>
          <w:tcBorders>
            <w:top w:val="single" w:sz="4" w:space="0" w:color="auto"/>
          </w:tcBorders>
          <w:noWrap/>
        </w:tcPr>
        <w:p w:rsidR="00B37F4D" w:rsidRDefault="00B37F4D" w:rsidP="00B74BF3">
          <w:pPr>
            <w:pStyle w:val="Alatunniste"/>
          </w:pPr>
        </w:p>
      </w:tc>
      <w:tc>
        <w:tcPr>
          <w:tcW w:w="2057" w:type="dxa"/>
          <w:tcBorders>
            <w:top w:val="single" w:sz="4" w:space="0" w:color="auto"/>
          </w:tcBorders>
          <w:noWrap/>
        </w:tcPr>
        <w:p w:rsidR="00B37F4D" w:rsidRDefault="00B37F4D" w:rsidP="00B74BF3">
          <w:pPr>
            <w:pStyle w:val="Alatunniste"/>
          </w:pPr>
        </w:p>
      </w:tc>
      <w:tc>
        <w:tcPr>
          <w:tcW w:w="1316" w:type="dxa"/>
          <w:tcBorders>
            <w:top w:val="single" w:sz="4" w:space="0" w:color="auto"/>
          </w:tcBorders>
          <w:noWrap/>
        </w:tcPr>
        <w:p w:rsidR="00B37F4D" w:rsidRDefault="00B37F4D" w:rsidP="00B74BF3">
          <w:pPr>
            <w:pStyle w:val="Alatunniste"/>
          </w:pPr>
        </w:p>
      </w:tc>
      <w:tc>
        <w:tcPr>
          <w:tcW w:w="2551" w:type="dxa"/>
          <w:tcBorders>
            <w:top w:val="single" w:sz="4" w:space="0" w:color="auto"/>
          </w:tcBorders>
          <w:noWrap/>
        </w:tcPr>
        <w:p w:rsidR="00B37F4D" w:rsidRDefault="00B37F4D" w:rsidP="00B74BF3">
          <w:pPr>
            <w:pStyle w:val="Alatunniste"/>
          </w:pPr>
        </w:p>
      </w:tc>
    </w:tr>
    <w:tr w:rsidR="00B37F4D" w:rsidTr="00B74BF3">
      <w:trPr>
        <w:cantSplit/>
        <w:trHeight w:hRule="exact" w:val="227"/>
      </w:trPr>
      <w:tc>
        <w:tcPr>
          <w:tcW w:w="2628" w:type="dxa"/>
          <w:noWrap/>
        </w:tcPr>
        <w:p w:rsidR="00B37F4D" w:rsidRDefault="00B37F4D" w:rsidP="00B74BF3">
          <w:pPr>
            <w:pStyle w:val="Alatunniste"/>
          </w:pPr>
          <w:r>
            <w:t>Liikenne- ja viestintäministeriö</w:t>
          </w:r>
        </w:p>
      </w:tc>
      <w:tc>
        <w:tcPr>
          <w:tcW w:w="1796" w:type="dxa"/>
          <w:noWrap/>
        </w:tcPr>
        <w:p w:rsidR="00B37F4D" w:rsidRDefault="00B37F4D" w:rsidP="00B74BF3">
          <w:pPr>
            <w:pStyle w:val="Alatunniste"/>
          </w:pPr>
          <w:r>
            <w:t>Käyntiosoite</w:t>
          </w:r>
        </w:p>
      </w:tc>
      <w:tc>
        <w:tcPr>
          <w:tcW w:w="2057" w:type="dxa"/>
          <w:noWrap/>
        </w:tcPr>
        <w:p w:rsidR="00B37F4D" w:rsidRDefault="00B37F4D" w:rsidP="00B74BF3">
          <w:pPr>
            <w:pStyle w:val="Alatunniste"/>
          </w:pPr>
          <w:r>
            <w:t>Postiosoite</w:t>
          </w:r>
        </w:p>
      </w:tc>
      <w:tc>
        <w:tcPr>
          <w:tcW w:w="1316" w:type="dxa"/>
          <w:noWrap/>
        </w:tcPr>
        <w:p w:rsidR="00B37F4D" w:rsidRDefault="00B37F4D" w:rsidP="00B74BF3">
          <w:pPr>
            <w:pStyle w:val="Alatunniste"/>
          </w:pPr>
          <w:r>
            <w:t>Puhelin</w:t>
          </w:r>
        </w:p>
      </w:tc>
      <w:tc>
        <w:tcPr>
          <w:tcW w:w="2551" w:type="dxa"/>
          <w:noWrap/>
        </w:tcPr>
        <w:p w:rsidR="00B37F4D" w:rsidRDefault="00B37F4D" w:rsidP="00B74BF3">
          <w:pPr>
            <w:pStyle w:val="Alatunniste"/>
          </w:pPr>
          <w:r>
            <w:t>www.lvm.fi</w:t>
          </w:r>
        </w:p>
      </w:tc>
    </w:tr>
    <w:tr w:rsidR="00B37F4D" w:rsidTr="00B74BF3">
      <w:trPr>
        <w:cantSplit/>
        <w:trHeight w:hRule="exact" w:val="227"/>
      </w:trPr>
      <w:tc>
        <w:tcPr>
          <w:tcW w:w="2628" w:type="dxa"/>
        </w:tcPr>
        <w:p w:rsidR="00B37F4D" w:rsidRDefault="00B37F4D" w:rsidP="00B74BF3">
          <w:pPr>
            <w:pStyle w:val="Alatunniste"/>
          </w:pPr>
        </w:p>
      </w:tc>
      <w:tc>
        <w:tcPr>
          <w:tcW w:w="1796" w:type="dxa"/>
        </w:tcPr>
        <w:p w:rsidR="00B37F4D" w:rsidRDefault="00B37F4D" w:rsidP="00B74BF3">
          <w:pPr>
            <w:pStyle w:val="Alatunniste"/>
          </w:pPr>
          <w:r>
            <w:t xml:space="preserve">Eteläesplanadi 16 </w:t>
          </w:r>
        </w:p>
      </w:tc>
      <w:tc>
        <w:tcPr>
          <w:tcW w:w="2057" w:type="dxa"/>
        </w:tcPr>
        <w:p w:rsidR="00B37F4D" w:rsidRDefault="00B37F4D" w:rsidP="00B74BF3">
          <w:pPr>
            <w:pStyle w:val="Alatunniste"/>
          </w:pPr>
          <w:r>
            <w:t>PL 31</w:t>
          </w:r>
        </w:p>
      </w:tc>
      <w:tc>
        <w:tcPr>
          <w:tcW w:w="1316" w:type="dxa"/>
        </w:tcPr>
        <w:p w:rsidR="00B37F4D" w:rsidRDefault="00B37F4D" w:rsidP="00B74BF3">
          <w:pPr>
            <w:pStyle w:val="Alatunniste"/>
          </w:pPr>
          <w:r>
            <w:t>029516001</w:t>
          </w:r>
        </w:p>
      </w:tc>
      <w:tc>
        <w:tcPr>
          <w:tcW w:w="2551" w:type="dxa"/>
        </w:tcPr>
        <w:p w:rsidR="00B37F4D" w:rsidRDefault="00B37F4D" w:rsidP="00B74BF3">
          <w:pPr>
            <w:pStyle w:val="Alatunniste"/>
          </w:pPr>
          <w:r>
            <w:t>etunimi.sukunimi@lvm.fi</w:t>
          </w:r>
        </w:p>
      </w:tc>
    </w:tr>
    <w:tr w:rsidR="00B37F4D" w:rsidTr="00B74BF3">
      <w:trPr>
        <w:cantSplit/>
        <w:trHeight w:hRule="exact" w:val="227"/>
      </w:trPr>
      <w:tc>
        <w:tcPr>
          <w:tcW w:w="2628" w:type="dxa"/>
        </w:tcPr>
        <w:p w:rsidR="00B37F4D" w:rsidRDefault="00B37F4D" w:rsidP="00B74BF3">
          <w:pPr>
            <w:pStyle w:val="Alatunniste"/>
          </w:pPr>
        </w:p>
      </w:tc>
      <w:tc>
        <w:tcPr>
          <w:tcW w:w="1796" w:type="dxa"/>
        </w:tcPr>
        <w:p w:rsidR="00B37F4D" w:rsidRDefault="00B37F4D" w:rsidP="00B74BF3">
          <w:pPr>
            <w:pStyle w:val="Alatunniste"/>
          </w:pPr>
          <w:r>
            <w:t>(kirjaamo)</w:t>
          </w:r>
        </w:p>
      </w:tc>
      <w:tc>
        <w:tcPr>
          <w:tcW w:w="2057" w:type="dxa"/>
        </w:tcPr>
        <w:p w:rsidR="00B37F4D" w:rsidRDefault="00B37F4D" w:rsidP="00B74BF3">
          <w:pPr>
            <w:pStyle w:val="Alatunniste"/>
          </w:pPr>
          <w:r>
            <w:t>00023 Valtioneuvosto</w:t>
          </w:r>
        </w:p>
      </w:tc>
      <w:tc>
        <w:tcPr>
          <w:tcW w:w="1316" w:type="dxa"/>
        </w:tcPr>
        <w:p w:rsidR="00B37F4D" w:rsidRDefault="00B37F4D" w:rsidP="00B74BF3">
          <w:pPr>
            <w:pStyle w:val="Alatunniste"/>
          </w:pPr>
        </w:p>
      </w:tc>
      <w:tc>
        <w:tcPr>
          <w:tcW w:w="2551" w:type="dxa"/>
        </w:tcPr>
        <w:p w:rsidR="00B37F4D" w:rsidRDefault="00B37F4D" w:rsidP="00B74BF3">
          <w:pPr>
            <w:pStyle w:val="Alatunniste"/>
          </w:pPr>
          <w:r>
            <w:t>kirjaamo@lvm.fi</w:t>
          </w:r>
        </w:p>
      </w:tc>
    </w:tr>
    <w:tr w:rsidR="00B37F4D" w:rsidTr="00B74BF3">
      <w:trPr>
        <w:cantSplit/>
        <w:trHeight w:hRule="exact" w:val="227"/>
      </w:trPr>
      <w:tc>
        <w:tcPr>
          <w:tcW w:w="2628" w:type="dxa"/>
        </w:tcPr>
        <w:p w:rsidR="00B37F4D" w:rsidRDefault="00B37F4D" w:rsidP="00B74BF3">
          <w:pPr>
            <w:pStyle w:val="Alatunniste"/>
          </w:pPr>
        </w:p>
      </w:tc>
      <w:tc>
        <w:tcPr>
          <w:tcW w:w="1796" w:type="dxa"/>
        </w:tcPr>
        <w:p w:rsidR="00B37F4D" w:rsidRDefault="00B37F4D" w:rsidP="00B74BF3">
          <w:pPr>
            <w:pStyle w:val="Alatunniste"/>
          </w:pPr>
          <w:r>
            <w:t>Helsinki</w:t>
          </w:r>
        </w:p>
      </w:tc>
      <w:tc>
        <w:tcPr>
          <w:tcW w:w="2057" w:type="dxa"/>
        </w:tcPr>
        <w:p w:rsidR="00B37F4D" w:rsidRDefault="00B37F4D" w:rsidP="00B74BF3">
          <w:pPr>
            <w:pStyle w:val="Alatunniste"/>
          </w:pPr>
        </w:p>
      </w:tc>
      <w:tc>
        <w:tcPr>
          <w:tcW w:w="1316" w:type="dxa"/>
        </w:tcPr>
        <w:p w:rsidR="00B37F4D" w:rsidRDefault="00B37F4D" w:rsidP="00B74BF3">
          <w:pPr>
            <w:pStyle w:val="Alatunniste"/>
          </w:pPr>
        </w:p>
      </w:tc>
      <w:tc>
        <w:tcPr>
          <w:tcW w:w="2551" w:type="dxa"/>
        </w:tcPr>
        <w:p w:rsidR="00B37F4D" w:rsidRDefault="00B37F4D" w:rsidP="00B74BF3">
          <w:pPr>
            <w:pStyle w:val="Alatunniste"/>
          </w:pPr>
        </w:p>
      </w:tc>
    </w:tr>
  </w:tbl>
  <w:p w:rsidR="00B37F4D" w:rsidRPr="00F916C2" w:rsidRDefault="00B37F4D" w:rsidP="00F916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4D" w:rsidRDefault="00B37F4D" w:rsidP="00037954"/>
  <w:p w:rsidR="00B37F4D" w:rsidRPr="00653640" w:rsidRDefault="00B37F4D"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B37F4D" w:rsidTr="00F916C2">
      <w:trPr>
        <w:cantSplit/>
        <w:trHeight w:hRule="exact" w:val="113"/>
      </w:trPr>
      <w:tc>
        <w:tcPr>
          <w:tcW w:w="2628" w:type="dxa"/>
          <w:tcBorders>
            <w:top w:val="single" w:sz="4" w:space="0" w:color="auto"/>
          </w:tcBorders>
          <w:noWrap/>
        </w:tcPr>
        <w:p w:rsidR="00B37F4D" w:rsidRDefault="00B37F4D" w:rsidP="00653640">
          <w:pPr>
            <w:pStyle w:val="Alatunniste"/>
          </w:pPr>
        </w:p>
      </w:tc>
      <w:tc>
        <w:tcPr>
          <w:tcW w:w="1796" w:type="dxa"/>
          <w:tcBorders>
            <w:top w:val="single" w:sz="4" w:space="0" w:color="auto"/>
          </w:tcBorders>
          <w:noWrap/>
        </w:tcPr>
        <w:p w:rsidR="00B37F4D" w:rsidRDefault="00B37F4D" w:rsidP="00653640">
          <w:pPr>
            <w:pStyle w:val="Alatunniste"/>
          </w:pPr>
        </w:p>
      </w:tc>
      <w:tc>
        <w:tcPr>
          <w:tcW w:w="2057" w:type="dxa"/>
          <w:tcBorders>
            <w:top w:val="single" w:sz="4" w:space="0" w:color="auto"/>
          </w:tcBorders>
          <w:noWrap/>
        </w:tcPr>
        <w:p w:rsidR="00B37F4D" w:rsidRDefault="00B37F4D" w:rsidP="00653640">
          <w:pPr>
            <w:pStyle w:val="Alatunniste"/>
          </w:pPr>
        </w:p>
      </w:tc>
      <w:tc>
        <w:tcPr>
          <w:tcW w:w="1316" w:type="dxa"/>
          <w:tcBorders>
            <w:top w:val="single" w:sz="4" w:space="0" w:color="auto"/>
          </w:tcBorders>
          <w:noWrap/>
        </w:tcPr>
        <w:p w:rsidR="00B37F4D" w:rsidRDefault="00B37F4D" w:rsidP="00653640">
          <w:pPr>
            <w:pStyle w:val="Alatunniste"/>
          </w:pPr>
        </w:p>
      </w:tc>
      <w:tc>
        <w:tcPr>
          <w:tcW w:w="2551" w:type="dxa"/>
          <w:tcBorders>
            <w:top w:val="single" w:sz="4" w:space="0" w:color="auto"/>
          </w:tcBorders>
          <w:noWrap/>
        </w:tcPr>
        <w:p w:rsidR="00B37F4D" w:rsidRDefault="00B37F4D" w:rsidP="00653640">
          <w:pPr>
            <w:pStyle w:val="Alatunniste"/>
          </w:pPr>
        </w:p>
      </w:tc>
    </w:tr>
    <w:tr w:rsidR="00B37F4D" w:rsidTr="00653640">
      <w:trPr>
        <w:cantSplit/>
        <w:trHeight w:hRule="exact" w:val="227"/>
      </w:trPr>
      <w:tc>
        <w:tcPr>
          <w:tcW w:w="2628" w:type="dxa"/>
          <w:noWrap/>
        </w:tcPr>
        <w:p w:rsidR="00B37F4D" w:rsidRDefault="00B37F4D" w:rsidP="00653640">
          <w:pPr>
            <w:pStyle w:val="Alatunniste"/>
          </w:pPr>
          <w:r>
            <w:t>Liikenne- ja viestintäministeriö</w:t>
          </w:r>
        </w:p>
      </w:tc>
      <w:tc>
        <w:tcPr>
          <w:tcW w:w="1796" w:type="dxa"/>
          <w:noWrap/>
        </w:tcPr>
        <w:p w:rsidR="00B37F4D" w:rsidRDefault="00B37F4D" w:rsidP="00653640">
          <w:pPr>
            <w:pStyle w:val="Alatunniste"/>
          </w:pPr>
          <w:r>
            <w:t>Käyntiosoite</w:t>
          </w:r>
        </w:p>
      </w:tc>
      <w:tc>
        <w:tcPr>
          <w:tcW w:w="2057" w:type="dxa"/>
          <w:noWrap/>
        </w:tcPr>
        <w:p w:rsidR="00B37F4D" w:rsidRDefault="00B37F4D" w:rsidP="00653640">
          <w:pPr>
            <w:pStyle w:val="Alatunniste"/>
          </w:pPr>
          <w:r>
            <w:t>Postiosoite</w:t>
          </w:r>
        </w:p>
      </w:tc>
      <w:tc>
        <w:tcPr>
          <w:tcW w:w="1316" w:type="dxa"/>
          <w:noWrap/>
        </w:tcPr>
        <w:p w:rsidR="00B37F4D" w:rsidRDefault="00B37F4D" w:rsidP="00653640">
          <w:pPr>
            <w:pStyle w:val="Alatunniste"/>
          </w:pPr>
          <w:r>
            <w:t>Puhelin</w:t>
          </w:r>
        </w:p>
      </w:tc>
      <w:tc>
        <w:tcPr>
          <w:tcW w:w="2551" w:type="dxa"/>
          <w:noWrap/>
        </w:tcPr>
        <w:p w:rsidR="00B37F4D" w:rsidRDefault="00B37F4D" w:rsidP="00653640">
          <w:pPr>
            <w:pStyle w:val="Alatunniste"/>
          </w:pPr>
          <w:r>
            <w:t>www.lvm.fi</w:t>
          </w:r>
        </w:p>
      </w:tc>
    </w:tr>
    <w:tr w:rsidR="00B37F4D" w:rsidTr="00653640">
      <w:trPr>
        <w:cantSplit/>
        <w:trHeight w:hRule="exact" w:val="227"/>
      </w:trPr>
      <w:tc>
        <w:tcPr>
          <w:tcW w:w="2628" w:type="dxa"/>
        </w:tcPr>
        <w:p w:rsidR="00B37F4D" w:rsidRDefault="00B37F4D" w:rsidP="00653640">
          <w:pPr>
            <w:pStyle w:val="Alatunniste"/>
          </w:pPr>
        </w:p>
      </w:tc>
      <w:tc>
        <w:tcPr>
          <w:tcW w:w="1796" w:type="dxa"/>
        </w:tcPr>
        <w:p w:rsidR="00B37F4D" w:rsidRDefault="00B37F4D" w:rsidP="00653640">
          <w:pPr>
            <w:pStyle w:val="Alatunniste"/>
          </w:pPr>
          <w:r>
            <w:t xml:space="preserve">Eteläesplanadi 16 </w:t>
          </w:r>
        </w:p>
      </w:tc>
      <w:tc>
        <w:tcPr>
          <w:tcW w:w="2057" w:type="dxa"/>
        </w:tcPr>
        <w:p w:rsidR="00B37F4D" w:rsidRDefault="00B37F4D" w:rsidP="00653640">
          <w:pPr>
            <w:pStyle w:val="Alatunniste"/>
          </w:pPr>
          <w:r>
            <w:t>PL 31</w:t>
          </w:r>
        </w:p>
      </w:tc>
      <w:tc>
        <w:tcPr>
          <w:tcW w:w="1316" w:type="dxa"/>
        </w:tcPr>
        <w:p w:rsidR="00B37F4D" w:rsidRDefault="00B37F4D" w:rsidP="00653640">
          <w:pPr>
            <w:pStyle w:val="Alatunniste"/>
          </w:pPr>
          <w:r>
            <w:t>029516001</w:t>
          </w:r>
        </w:p>
      </w:tc>
      <w:tc>
        <w:tcPr>
          <w:tcW w:w="2551" w:type="dxa"/>
        </w:tcPr>
        <w:p w:rsidR="00B37F4D" w:rsidRDefault="00B37F4D" w:rsidP="00653640">
          <w:pPr>
            <w:pStyle w:val="Alatunniste"/>
          </w:pPr>
          <w:r>
            <w:t>etunimi.sukunimi@lvm.fi</w:t>
          </w:r>
        </w:p>
      </w:tc>
    </w:tr>
    <w:tr w:rsidR="00B37F4D" w:rsidTr="00653640">
      <w:trPr>
        <w:cantSplit/>
        <w:trHeight w:hRule="exact" w:val="227"/>
      </w:trPr>
      <w:tc>
        <w:tcPr>
          <w:tcW w:w="2628" w:type="dxa"/>
        </w:tcPr>
        <w:p w:rsidR="00B37F4D" w:rsidRDefault="00B37F4D" w:rsidP="00653640">
          <w:pPr>
            <w:pStyle w:val="Alatunniste"/>
          </w:pPr>
        </w:p>
      </w:tc>
      <w:tc>
        <w:tcPr>
          <w:tcW w:w="1796" w:type="dxa"/>
        </w:tcPr>
        <w:p w:rsidR="00B37F4D" w:rsidRDefault="00B37F4D" w:rsidP="00653640">
          <w:pPr>
            <w:pStyle w:val="Alatunniste"/>
          </w:pPr>
          <w:r>
            <w:t>(kirjaamo)</w:t>
          </w:r>
        </w:p>
      </w:tc>
      <w:tc>
        <w:tcPr>
          <w:tcW w:w="2057" w:type="dxa"/>
        </w:tcPr>
        <w:p w:rsidR="00B37F4D" w:rsidRDefault="00B37F4D" w:rsidP="00B74BF3">
          <w:pPr>
            <w:pStyle w:val="Alatunniste"/>
          </w:pPr>
          <w:r>
            <w:t>00023 Valtioneuvosto</w:t>
          </w:r>
        </w:p>
      </w:tc>
      <w:tc>
        <w:tcPr>
          <w:tcW w:w="1316" w:type="dxa"/>
        </w:tcPr>
        <w:p w:rsidR="00B37F4D" w:rsidRDefault="00B37F4D" w:rsidP="00B74BF3">
          <w:pPr>
            <w:pStyle w:val="Alatunniste"/>
          </w:pPr>
        </w:p>
      </w:tc>
      <w:tc>
        <w:tcPr>
          <w:tcW w:w="2551" w:type="dxa"/>
        </w:tcPr>
        <w:p w:rsidR="00B37F4D" w:rsidRDefault="00B37F4D" w:rsidP="00B74BF3">
          <w:pPr>
            <w:pStyle w:val="Alatunniste"/>
          </w:pPr>
          <w:r>
            <w:t>kirjaamo@lvm.fi</w:t>
          </w:r>
        </w:p>
      </w:tc>
    </w:tr>
    <w:tr w:rsidR="00B37F4D" w:rsidTr="00653640">
      <w:trPr>
        <w:cantSplit/>
        <w:trHeight w:hRule="exact" w:val="227"/>
      </w:trPr>
      <w:tc>
        <w:tcPr>
          <w:tcW w:w="2628" w:type="dxa"/>
        </w:tcPr>
        <w:p w:rsidR="00B37F4D" w:rsidRDefault="00B37F4D" w:rsidP="00653640">
          <w:pPr>
            <w:pStyle w:val="Alatunniste"/>
          </w:pPr>
        </w:p>
      </w:tc>
      <w:tc>
        <w:tcPr>
          <w:tcW w:w="1796" w:type="dxa"/>
        </w:tcPr>
        <w:p w:rsidR="00B37F4D" w:rsidRDefault="00B37F4D" w:rsidP="00B74BF3">
          <w:pPr>
            <w:pStyle w:val="Alatunniste"/>
          </w:pPr>
          <w:r>
            <w:t>Helsinki</w:t>
          </w:r>
        </w:p>
      </w:tc>
      <w:tc>
        <w:tcPr>
          <w:tcW w:w="2057" w:type="dxa"/>
        </w:tcPr>
        <w:p w:rsidR="00B37F4D" w:rsidRDefault="00B37F4D" w:rsidP="00B74BF3">
          <w:pPr>
            <w:pStyle w:val="Alatunniste"/>
          </w:pPr>
        </w:p>
      </w:tc>
      <w:tc>
        <w:tcPr>
          <w:tcW w:w="1316" w:type="dxa"/>
        </w:tcPr>
        <w:p w:rsidR="00B37F4D" w:rsidRDefault="00B37F4D" w:rsidP="00B74BF3">
          <w:pPr>
            <w:pStyle w:val="Alatunniste"/>
          </w:pPr>
        </w:p>
      </w:tc>
      <w:tc>
        <w:tcPr>
          <w:tcW w:w="2551" w:type="dxa"/>
        </w:tcPr>
        <w:p w:rsidR="00B37F4D" w:rsidRDefault="00B37F4D" w:rsidP="00B74BF3">
          <w:pPr>
            <w:pStyle w:val="Alatunniste"/>
          </w:pPr>
        </w:p>
      </w:tc>
    </w:tr>
  </w:tbl>
  <w:p w:rsidR="00B37F4D" w:rsidRDefault="00B37F4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644" w:rsidRDefault="001E3644">
      <w:r>
        <w:separator/>
      </w:r>
    </w:p>
  </w:footnote>
  <w:footnote w:type="continuationSeparator" w:id="0">
    <w:p w:rsidR="001E3644" w:rsidRDefault="001E3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4D" w:rsidRDefault="00B37F4D">
    <w:pPr>
      <w:pStyle w:val="Yltunniste"/>
    </w:pPr>
    <w:r>
      <w:tab/>
    </w: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DD734E">
      <w:rPr>
        <w:rStyle w:val="Sivunumero"/>
        <w:noProof/>
      </w:rPr>
      <w:t>1</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4D" w:rsidRPr="00EB5F36" w:rsidRDefault="00B37F4D"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D46218">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D46218">
      <w:rPr>
        <w:rStyle w:val="Sivunumero"/>
        <w:noProof/>
      </w:rPr>
      <w:t>5</w:t>
    </w:r>
    <w:r w:rsidRPr="00EB5F36">
      <w:rPr>
        <w:rStyle w:val="Sivunumero"/>
      </w:rPr>
      <w:fldChar w:fldCharType="end"/>
    </w:r>
    <w:r w:rsidRPr="00EB5F36">
      <w:rPr>
        <w:rStyle w:val="Sivunumero"/>
      </w:rPr>
      <w:t>)</w:t>
    </w:r>
  </w:p>
  <w:p w:rsidR="00B37F4D" w:rsidRDefault="00B37F4D">
    <w:pPr>
      <w:pStyle w:val="Yltunniste"/>
    </w:pPr>
    <w:r>
      <w:rPr>
        <w:noProof/>
      </w:rPr>
      <w:drawing>
        <wp:anchor distT="0" distB="0" distL="114300" distR="114300" simplePos="0" relativeHeight="251660288" behindDoc="1" locked="1" layoutInCell="0" allowOverlap="1" wp14:anchorId="60A280E4" wp14:editId="5537A124">
          <wp:simplePos x="0" y="0"/>
          <wp:positionH relativeFrom="page">
            <wp:posOffset>566420</wp:posOffset>
          </wp:positionH>
          <wp:positionV relativeFrom="page">
            <wp:posOffset>204470</wp:posOffset>
          </wp:positionV>
          <wp:extent cx="2804795" cy="58356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795" cy="583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4D" w:rsidRPr="00EB5F36" w:rsidRDefault="00B37F4D"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D46218">
      <w:rPr>
        <w:rStyle w:val="Sivunumero"/>
        <w:noProof/>
      </w:rPr>
      <w:t>5</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D46218">
      <w:rPr>
        <w:rStyle w:val="Sivunumero"/>
        <w:noProof/>
      </w:rPr>
      <w:t>5</w:t>
    </w:r>
    <w:r w:rsidRPr="00EB5F36">
      <w:rPr>
        <w:rStyle w:val="Sivunumero"/>
      </w:rPr>
      <w:fldChar w:fldCharType="end"/>
    </w:r>
    <w:r w:rsidRPr="00EB5F36">
      <w:rPr>
        <w:rStyle w:val="Sivunumero"/>
      </w:rPr>
      <w:t>)</w:t>
    </w:r>
  </w:p>
  <w:p w:rsidR="00B37F4D" w:rsidRDefault="00B37F4D" w:rsidP="00EB5F36">
    <w:pPr>
      <w:pStyle w:val="Yltunniste"/>
    </w:pPr>
  </w:p>
  <w:p w:rsidR="00B37F4D" w:rsidRPr="00EB5F36" w:rsidRDefault="00B37F4D"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06215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5"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6" w15:restartNumberingAfterBreak="0">
    <w:nsid w:val="2DA7239A"/>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8"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19"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2"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3"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15:restartNumberingAfterBreak="0">
    <w:nsid w:val="4A45036B"/>
    <w:multiLevelType w:val="multilevel"/>
    <w:tmpl w:val="173832AA"/>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7" w15:restartNumberingAfterBreak="0">
    <w:nsid w:val="4CE654F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9"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0" w15:restartNumberingAfterBreak="0">
    <w:nsid w:val="608D51EF"/>
    <w:multiLevelType w:val="multilevel"/>
    <w:tmpl w:val="22D82C84"/>
    <w:lvl w:ilvl="0">
      <w:start w:val="1"/>
      <w:numFmt w:val="bullet"/>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1"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3"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7B09E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8134D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0"/>
  </w:num>
  <w:num w:numId="3">
    <w:abstractNumId w:val="17"/>
  </w:num>
  <w:num w:numId="4">
    <w:abstractNumId w:val="28"/>
  </w:num>
  <w:num w:numId="5">
    <w:abstractNumId w:val="15"/>
  </w:num>
  <w:num w:numId="6">
    <w:abstractNumId w:val="14"/>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2"/>
  </w:num>
  <w:num w:numId="15">
    <w:abstractNumId w:val="22"/>
  </w:num>
  <w:num w:numId="16">
    <w:abstractNumId w:val="30"/>
  </w:num>
  <w:num w:numId="17">
    <w:abstractNumId w:val="30"/>
  </w:num>
  <w:num w:numId="18">
    <w:abstractNumId w:val="30"/>
  </w:num>
  <w:num w:numId="19">
    <w:abstractNumId w:val="8"/>
  </w:num>
  <w:num w:numId="20">
    <w:abstractNumId w:val="30"/>
  </w:num>
  <w:num w:numId="21">
    <w:abstractNumId w:val="7"/>
  </w:num>
  <w:num w:numId="22">
    <w:abstractNumId w:val="31"/>
  </w:num>
  <w:num w:numId="23">
    <w:abstractNumId w:val="18"/>
  </w:num>
  <w:num w:numId="24">
    <w:abstractNumId w:val="25"/>
  </w:num>
  <w:num w:numId="25">
    <w:abstractNumId w:val="21"/>
  </w:num>
  <w:num w:numId="26">
    <w:abstractNumId w:val="32"/>
  </w:num>
  <w:num w:numId="27">
    <w:abstractNumId w:val="39"/>
  </w:num>
  <w:num w:numId="28">
    <w:abstractNumId w:val="41"/>
  </w:num>
  <w:num w:numId="29">
    <w:abstractNumId w:val="11"/>
  </w:num>
  <w:num w:numId="30">
    <w:abstractNumId w:val="12"/>
  </w:num>
  <w:num w:numId="31">
    <w:abstractNumId w:val="37"/>
  </w:num>
  <w:num w:numId="32">
    <w:abstractNumId w:val="19"/>
  </w:num>
  <w:num w:numId="33">
    <w:abstractNumId w:val="20"/>
  </w:num>
  <w:num w:numId="34">
    <w:abstractNumId w:val="35"/>
  </w:num>
  <w:num w:numId="35">
    <w:abstractNumId w:val="33"/>
  </w:num>
  <w:num w:numId="36">
    <w:abstractNumId w:val="23"/>
  </w:num>
  <w:num w:numId="37">
    <w:abstractNumId w:val="9"/>
  </w:num>
  <w:num w:numId="38">
    <w:abstractNumId w:val="34"/>
  </w:num>
  <w:num w:numId="39">
    <w:abstractNumId w:val="29"/>
  </w:num>
  <w:num w:numId="40">
    <w:abstractNumId w:val="25"/>
  </w:num>
  <w:num w:numId="41">
    <w:abstractNumId w:val="21"/>
  </w:num>
  <w:num w:numId="42">
    <w:abstractNumId w:val="32"/>
  </w:num>
  <w:num w:numId="43">
    <w:abstractNumId w:val="40"/>
  </w:num>
  <w:num w:numId="44">
    <w:abstractNumId w:val="16"/>
  </w:num>
  <w:num w:numId="45">
    <w:abstractNumId w:val="13"/>
  </w:num>
  <w:num w:numId="46">
    <w:abstractNumId w:val="24"/>
  </w:num>
  <w:num w:numId="47">
    <w:abstractNumId w:val="27"/>
  </w:num>
  <w:num w:numId="48">
    <w:abstractNumId w:val="3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78"/>
    <w:rsid w:val="00005269"/>
    <w:rsid w:val="00036529"/>
    <w:rsid w:val="00037954"/>
    <w:rsid w:val="00043C40"/>
    <w:rsid w:val="00047B32"/>
    <w:rsid w:val="000660CE"/>
    <w:rsid w:val="00083F94"/>
    <w:rsid w:val="00084321"/>
    <w:rsid w:val="000959E2"/>
    <w:rsid w:val="000A4C1C"/>
    <w:rsid w:val="000B20ED"/>
    <w:rsid w:val="000D096F"/>
    <w:rsid w:val="000E505E"/>
    <w:rsid w:val="000E60B6"/>
    <w:rsid w:val="000F2157"/>
    <w:rsid w:val="00101C5E"/>
    <w:rsid w:val="00140EF8"/>
    <w:rsid w:val="00146B2A"/>
    <w:rsid w:val="00150D84"/>
    <w:rsid w:val="00170A17"/>
    <w:rsid w:val="001710DD"/>
    <w:rsid w:val="00173A5C"/>
    <w:rsid w:val="0017538B"/>
    <w:rsid w:val="00186449"/>
    <w:rsid w:val="001932AE"/>
    <w:rsid w:val="001A132E"/>
    <w:rsid w:val="001A33A8"/>
    <w:rsid w:val="001B0A58"/>
    <w:rsid w:val="001C184D"/>
    <w:rsid w:val="001D0C86"/>
    <w:rsid w:val="001D4E1A"/>
    <w:rsid w:val="001E3644"/>
    <w:rsid w:val="00202D14"/>
    <w:rsid w:val="00210627"/>
    <w:rsid w:val="0024422F"/>
    <w:rsid w:val="002457DC"/>
    <w:rsid w:val="00256C44"/>
    <w:rsid w:val="0026368D"/>
    <w:rsid w:val="00280CFF"/>
    <w:rsid w:val="002C1927"/>
    <w:rsid w:val="002D334D"/>
    <w:rsid w:val="002D7A71"/>
    <w:rsid w:val="002E635F"/>
    <w:rsid w:val="002F2E0E"/>
    <w:rsid w:val="002F34C4"/>
    <w:rsid w:val="002F5C73"/>
    <w:rsid w:val="003105EB"/>
    <w:rsid w:val="003221EF"/>
    <w:rsid w:val="00322380"/>
    <w:rsid w:val="00323503"/>
    <w:rsid w:val="003241A6"/>
    <w:rsid w:val="00324A7B"/>
    <w:rsid w:val="0032782F"/>
    <w:rsid w:val="003323E0"/>
    <w:rsid w:val="003402B7"/>
    <w:rsid w:val="00355979"/>
    <w:rsid w:val="003564B3"/>
    <w:rsid w:val="00374779"/>
    <w:rsid w:val="00385A23"/>
    <w:rsid w:val="00387091"/>
    <w:rsid w:val="003B0583"/>
    <w:rsid w:val="003B7A8E"/>
    <w:rsid w:val="003C2F72"/>
    <w:rsid w:val="003C7039"/>
    <w:rsid w:val="003D18C3"/>
    <w:rsid w:val="003D4E8E"/>
    <w:rsid w:val="003E6477"/>
    <w:rsid w:val="003F3EC5"/>
    <w:rsid w:val="004129E2"/>
    <w:rsid w:val="0041565A"/>
    <w:rsid w:val="004206FE"/>
    <w:rsid w:val="00423292"/>
    <w:rsid w:val="00432AC3"/>
    <w:rsid w:val="00443E58"/>
    <w:rsid w:val="004740E7"/>
    <w:rsid w:val="00494FD4"/>
    <w:rsid w:val="004A5271"/>
    <w:rsid w:val="004B2020"/>
    <w:rsid w:val="004B6034"/>
    <w:rsid w:val="004C34A2"/>
    <w:rsid w:val="004C72E8"/>
    <w:rsid w:val="004D0F99"/>
    <w:rsid w:val="004D63CE"/>
    <w:rsid w:val="004E5453"/>
    <w:rsid w:val="004E756B"/>
    <w:rsid w:val="00511EF2"/>
    <w:rsid w:val="00512645"/>
    <w:rsid w:val="005308DE"/>
    <w:rsid w:val="00541595"/>
    <w:rsid w:val="0059215F"/>
    <w:rsid w:val="0059738C"/>
    <w:rsid w:val="005A559B"/>
    <w:rsid w:val="005B4E1B"/>
    <w:rsid w:val="005C1612"/>
    <w:rsid w:val="005C4A69"/>
    <w:rsid w:val="005C7446"/>
    <w:rsid w:val="005F576C"/>
    <w:rsid w:val="00602DAE"/>
    <w:rsid w:val="00610F06"/>
    <w:rsid w:val="00617F8C"/>
    <w:rsid w:val="0063146D"/>
    <w:rsid w:val="0064109B"/>
    <w:rsid w:val="00642E95"/>
    <w:rsid w:val="00653640"/>
    <w:rsid w:val="006565EA"/>
    <w:rsid w:val="00657F29"/>
    <w:rsid w:val="0066014C"/>
    <w:rsid w:val="00671118"/>
    <w:rsid w:val="006765B8"/>
    <w:rsid w:val="00677470"/>
    <w:rsid w:val="00681777"/>
    <w:rsid w:val="00684BB4"/>
    <w:rsid w:val="00695847"/>
    <w:rsid w:val="006C1382"/>
    <w:rsid w:val="006C7FE9"/>
    <w:rsid w:val="006E4AF7"/>
    <w:rsid w:val="006E4F2E"/>
    <w:rsid w:val="006F1C67"/>
    <w:rsid w:val="006F4ECD"/>
    <w:rsid w:val="00701471"/>
    <w:rsid w:val="007177C2"/>
    <w:rsid w:val="00717B0F"/>
    <w:rsid w:val="00732D08"/>
    <w:rsid w:val="0074332B"/>
    <w:rsid w:val="00743526"/>
    <w:rsid w:val="00744876"/>
    <w:rsid w:val="00750B6D"/>
    <w:rsid w:val="00765585"/>
    <w:rsid w:val="0077386C"/>
    <w:rsid w:val="00777FA7"/>
    <w:rsid w:val="00782BD2"/>
    <w:rsid w:val="00786285"/>
    <w:rsid w:val="007863D8"/>
    <w:rsid w:val="00786F78"/>
    <w:rsid w:val="007A1931"/>
    <w:rsid w:val="007A4F32"/>
    <w:rsid w:val="007A598C"/>
    <w:rsid w:val="007B3232"/>
    <w:rsid w:val="007D053C"/>
    <w:rsid w:val="007D631B"/>
    <w:rsid w:val="007E021B"/>
    <w:rsid w:val="007F1AC6"/>
    <w:rsid w:val="007F36F2"/>
    <w:rsid w:val="00813719"/>
    <w:rsid w:val="00817C85"/>
    <w:rsid w:val="00826BF0"/>
    <w:rsid w:val="008423BA"/>
    <w:rsid w:val="0087522E"/>
    <w:rsid w:val="00891E12"/>
    <w:rsid w:val="008B2352"/>
    <w:rsid w:val="008B73C6"/>
    <w:rsid w:val="008C20D8"/>
    <w:rsid w:val="008D59A2"/>
    <w:rsid w:val="008E25B4"/>
    <w:rsid w:val="008F0CB0"/>
    <w:rsid w:val="008F1715"/>
    <w:rsid w:val="008F3A17"/>
    <w:rsid w:val="009044E9"/>
    <w:rsid w:val="009067C7"/>
    <w:rsid w:val="00916620"/>
    <w:rsid w:val="00931E23"/>
    <w:rsid w:val="009506EF"/>
    <w:rsid w:val="00956FCF"/>
    <w:rsid w:val="00966B06"/>
    <w:rsid w:val="009840D5"/>
    <w:rsid w:val="009A2A64"/>
    <w:rsid w:val="009B3467"/>
    <w:rsid w:val="009D1FDC"/>
    <w:rsid w:val="009E26F8"/>
    <w:rsid w:val="009E3095"/>
    <w:rsid w:val="009E7012"/>
    <w:rsid w:val="009F18EF"/>
    <w:rsid w:val="009F7F40"/>
    <w:rsid w:val="00A16E65"/>
    <w:rsid w:val="00A3353E"/>
    <w:rsid w:val="00A377EB"/>
    <w:rsid w:val="00A514B8"/>
    <w:rsid w:val="00A67723"/>
    <w:rsid w:val="00A7748B"/>
    <w:rsid w:val="00A96DD0"/>
    <w:rsid w:val="00AD0375"/>
    <w:rsid w:val="00AD0A26"/>
    <w:rsid w:val="00AD59BE"/>
    <w:rsid w:val="00AD5EE8"/>
    <w:rsid w:val="00AE1BB8"/>
    <w:rsid w:val="00AE1F5A"/>
    <w:rsid w:val="00AF01F5"/>
    <w:rsid w:val="00B37F4D"/>
    <w:rsid w:val="00B45F0E"/>
    <w:rsid w:val="00B53AA1"/>
    <w:rsid w:val="00B66290"/>
    <w:rsid w:val="00B72A80"/>
    <w:rsid w:val="00B74BF3"/>
    <w:rsid w:val="00B80601"/>
    <w:rsid w:val="00BA18F6"/>
    <w:rsid w:val="00BB0225"/>
    <w:rsid w:val="00BD08C5"/>
    <w:rsid w:val="00BD2B2F"/>
    <w:rsid w:val="00BF3576"/>
    <w:rsid w:val="00C0067E"/>
    <w:rsid w:val="00C00CBE"/>
    <w:rsid w:val="00C0562A"/>
    <w:rsid w:val="00C12430"/>
    <w:rsid w:val="00C17399"/>
    <w:rsid w:val="00C30C05"/>
    <w:rsid w:val="00C31C77"/>
    <w:rsid w:val="00C47B5A"/>
    <w:rsid w:val="00C5102E"/>
    <w:rsid w:val="00C560E6"/>
    <w:rsid w:val="00C8246F"/>
    <w:rsid w:val="00C87EF0"/>
    <w:rsid w:val="00C92226"/>
    <w:rsid w:val="00C9427B"/>
    <w:rsid w:val="00CA340D"/>
    <w:rsid w:val="00CC0BA5"/>
    <w:rsid w:val="00CC46FE"/>
    <w:rsid w:val="00CD23F4"/>
    <w:rsid w:val="00CD249F"/>
    <w:rsid w:val="00CF779F"/>
    <w:rsid w:val="00D030C8"/>
    <w:rsid w:val="00D04506"/>
    <w:rsid w:val="00D0671F"/>
    <w:rsid w:val="00D20185"/>
    <w:rsid w:val="00D22A93"/>
    <w:rsid w:val="00D32FC1"/>
    <w:rsid w:val="00D429A7"/>
    <w:rsid w:val="00D46218"/>
    <w:rsid w:val="00D549A6"/>
    <w:rsid w:val="00D608B9"/>
    <w:rsid w:val="00D62128"/>
    <w:rsid w:val="00D70D30"/>
    <w:rsid w:val="00D8152F"/>
    <w:rsid w:val="00DA12E1"/>
    <w:rsid w:val="00DA3D6E"/>
    <w:rsid w:val="00DB3905"/>
    <w:rsid w:val="00DD0E5A"/>
    <w:rsid w:val="00DD734E"/>
    <w:rsid w:val="00DD756D"/>
    <w:rsid w:val="00DE26FA"/>
    <w:rsid w:val="00DF29AA"/>
    <w:rsid w:val="00DF29B8"/>
    <w:rsid w:val="00DF5FC4"/>
    <w:rsid w:val="00DF66B7"/>
    <w:rsid w:val="00DF6C52"/>
    <w:rsid w:val="00E067F2"/>
    <w:rsid w:val="00E40377"/>
    <w:rsid w:val="00E56509"/>
    <w:rsid w:val="00E61C8E"/>
    <w:rsid w:val="00E6398E"/>
    <w:rsid w:val="00E63DB5"/>
    <w:rsid w:val="00E6594D"/>
    <w:rsid w:val="00E65E18"/>
    <w:rsid w:val="00E72B57"/>
    <w:rsid w:val="00E805AA"/>
    <w:rsid w:val="00E84F18"/>
    <w:rsid w:val="00E86C00"/>
    <w:rsid w:val="00EB5F36"/>
    <w:rsid w:val="00EC3253"/>
    <w:rsid w:val="00ED752B"/>
    <w:rsid w:val="00EE6CCA"/>
    <w:rsid w:val="00F0076F"/>
    <w:rsid w:val="00F12AA5"/>
    <w:rsid w:val="00F134EA"/>
    <w:rsid w:val="00F20007"/>
    <w:rsid w:val="00F377E5"/>
    <w:rsid w:val="00F42114"/>
    <w:rsid w:val="00F46EBC"/>
    <w:rsid w:val="00F52E07"/>
    <w:rsid w:val="00F83734"/>
    <w:rsid w:val="00F916C2"/>
    <w:rsid w:val="00F96954"/>
    <w:rsid w:val="00FC03FF"/>
    <w:rsid w:val="00FC3B1A"/>
    <w:rsid w:val="00FC45AC"/>
    <w:rsid w:val="00FD0590"/>
    <w:rsid w:val="00FE29FE"/>
    <w:rsid w:val="00FE35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E32221-8F49-4CC0-903F-13D0FA52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2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46"/>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49"/>
      </w:numPr>
      <w:ind w:left="357" w:hanging="357"/>
      <w:contextualSpacing/>
    </w:pPr>
  </w:style>
  <w:style w:type="paragraph" w:styleId="HTML-esimuotoiltu">
    <w:name w:val="HTML Preformatted"/>
    <w:basedOn w:val="Normaali"/>
    <w:link w:val="HTML-esimuotoiltuChar"/>
    <w:uiPriority w:val="99"/>
    <w:unhideWhenUsed/>
    <w:rsid w:val="009E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esimuotoiltuChar">
    <w:name w:val="HTML-esimuotoiltu Char"/>
    <w:basedOn w:val="Kappaleenoletusfontti"/>
    <w:link w:val="HTML-esimuotoiltu"/>
    <w:uiPriority w:val="99"/>
    <w:rsid w:val="009E701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 w:id="20004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Office00\Mallit\LVM-asiakirjat\LVM_muistiopohja_SU.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LVM_muistiopohja_SU.dotx</Template>
  <TotalTime>0</TotalTime>
  <Pages>5</Pages>
  <Words>1244</Words>
  <Characters>10079</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Vuorela Katariina</dc:creator>
  <cp:lastModifiedBy>Karppanen Mira</cp:lastModifiedBy>
  <cp:revision>2</cp:revision>
  <cp:lastPrinted>2017-06-07T10:38:00Z</cp:lastPrinted>
  <dcterms:created xsi:type="dcterms:W3CDTF">2018-11-01T06:30:00Z</dcterms:created>
  <dcterms:modified xsi:type="dcterms:W3CDTF">2018-11-01T06:30:00Z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