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FBA" w:rsidRPr="000D6C9F" w:rsidRDefault="001523B9">
      <w:pPr>
        <w:rPr>
          <w:sz w:val="21"/>
          <w:szCs w:val="21"/>
        </w:rPr>
      </w:pPr>
      <w:bookmarkStart w:id="0" w:name="_GoBack"/>
      <w:bookmarkEnd w:id="0"/>
    </w:p>
    <w:p w:rsidR="000A322D" w:rsidRPr="000D6C9F" w:rsidRDefault="000A322D" w:rsidP="000A322D">
      <w:pPr>
        <w:pStyle w:val="Default"/>
        <w:rPr>
          <w:rFonts w:asciiTheme="minorHAnsi" w:hAnsiTheme="minorHAnsi"/>
          <w:sz w:val="21"/>
          <w:szCs w:val="21"/>
        </w:rPr>
      </w:pPr>
      <w:r w:rsidRPr="000D6C9F">
        <w:rPr>
          <w:rFonts w:asciiTheme="minorHAnsi" w:hAnsiTheme="minorHAnsi"/>
          <w:sz w:val="21"/>
          <w:szCs w:val="21"/>
        </w:rPr>
        <w:t>Liikenne ja viestintäministeriölle</w:t>
      </w:r>
    </w:p>
    <w:p w:rsidR="000A322D" w:rsidRPr="000D6C9F" w:rsidRDefault="000A322D" w:rsidP="000A322D">
      <w:pPr>
        <w:pStyle w:val="Default"/>
        <w:rPr>
          <w:rFonts w:asciiTheme="minorHAnsi" w:hAnsiTheme="minorHAnsi"/>
          <w:sz w:val="21"/>
          <w:szCs w:val="21"/>
        </w:rPr>
      </w:pPr>
      <w:r w:rsidRPr="000D6C9F">
        <w:rPr>
          <w:rFonts w:asciiTheme="minorHAnsi" w:hAnsiTheme="minorHAnsi"/>
          <w:sz w:val="21"/>
          <w:szCs w:val="21"/>
        </w:rPr>
        <w:t>Valtiovarainministeriölle</w:t>
      </w:r>
    </w:p>
    <w:p w:rsidR="000A322D" w:rsidRPr="000D6C9F" w:rsidRDefault="000A322D" w:rsidP="000A322D">
      <w:pPr>
        <w:pStyle w:val="Default"/>
        <w:rPr>
          <w:rFonts w:asciiTheme="minorHAnsi" w:hAnsiTheme="minorHAnsi"/>
          <w:b/>
          <w:bCs/>
          <w:sz w:val="21"/>
          <w:szCs w:val="21"/>
        </w:rPr>
      </w:pPr>
    </w:p>
    <w:p w:rsidR="000A322D" w:rsidRPr="000D6C9F" w:rsidRDefault="000A322D" w:rsidP="000A322D">
      <w:pPr>
        <w:pStyle w:val="Default"/>
        <w:rPr>
          <w:rFonts w:asciiTheme="minorHAnsi" w:hAnsiTheme="minorHAnsi"/>
          <w:b/>
          <w:bCs/>
          <w:sz w:val="21"/>
          <w:szCs w:val="21"/>
        </w:rPr>
      </w:pPr>
    </w:p>
    <w:p w:rsidR="000A322D" w:rsidRPr="000D6C9F" w:rsidRDefault="000A322D" w:rsidP="000A322D">
      <w:pPr>
        <w:pStyle w:val="Default"/>
        <w:rPr>
          <w:rFonts w:asciiTheme="minorHAnsi" w:hAnsiTheme="minorHAnsi"/>
          <w:b/>
          <w:bCs/>
          <w:sz w:val="21"/>
          <w:szCs w:val="21"/>
        </w:rPr>
      </w:pPr>
    </w:p>
    <w:p w:rsidR="000A322D" w:rsidRPr="000D6C9F" w:rsidRDefault="000A322D" w:rsidP="000A322D">
      <w:pPr>
        <w:pStyle w:val="Default"/>
        <w:rPr>
          <w:rFonts w:asciiTheme="minorHAnsi" w:hAnsiTheme="minorHAnsi"/>
          <w:sz w:val="21"/>
          <w:szCs w:val="21"/>
        </w:rPr>
      </w:pPr>
    </w:p>
    <w:p w:rsidR="000A322D" w:rsidRPr="000D6C9F" w:rsidRDefault="000A322D" w:rsidP="000A322D">
      <w:pPr>
        <w:pStyle w:val="Default"/>
        <w:rPr>
          <w:rFonts w:asciiTheme="minorHAnsi" w:hAnsiTheme="minorHAnsi"/>
          <w:sz w:val="21"/>
          <w:szCs w:val="21"/>
        </w:rPr>
      </w:pPr>
    </w:p>
    <w:p w:rsidR="000A322D" w:rsidRPr="000D6C9F" w:rsidRDefault="002A28DD" w:rsidP="000A322D">
      <w:pPr>
        <w:pStyle w:val="Default"/>
        <w:rPr>
          <w:rFonts w:asciiTheme="minorHAnsi" w:hAnsiTheme="minorHAnsi"/>
          <w:sz w:val="21"/>
          <w:szCs w:val="21"/>
        </w:rPr>
      </w:pPr>
      <w:r w:rsidRPr="000D6C9F">
        <w:rPr>
          <w:rFonts w:asciiTheme="minorHAnsi" w:hAnsiTheme="minorHAnsi"/>
          <w:sz w:val="21"/>
          <w:szCs w:val="21"/>
        </w:rPr>
        <w:t xml:space="preserve">Viite: </w:t>
      </w:r>
    </w:p>
    <w:p w:rsidR="002A28DD" w:rsidRPr="000D6C9F" w:rsidRDefault="002A28DD" w:rsidP="000A322D">
      <w:pPr>
        <w:pStyle w:val="Default"/>
        <w:rPr>
          <w:rFonts w:asciiTheme="minorHAnsi" w:hAnsiTheme="minorHAnsi"/>
          <w:sz w:val="21"/>
          <w:szCs w:val="21"/>
        </w:rPr>
      </w:pPr>
      <w:r w:rsidRPr="000D6C9F">
        <w:rPr>
          <w:rFonts w:asciiTheme="minorHAnsi" w:hAnsiTheme="minorHAnsi"/>
          <w:sz w:val="21"/>
          <w:szCs w:val="21"/>
        </w:rPr>
        <w:t xml:space="preserve"> </w:t>
      </w:r>
    </w:p>
    <w:p w:rsidR="000A322D" w:rsidRPr="000D6C9F" w:rsidRDefault="000A322D" w:rsidP="000A322D">
      <w:pPr>
        <w:pStyle w:val="Default"/>
        <w:rPr>
          <w:rFonts w:asciiTheme="minorHAnsi" w:hAnsiTheme="minorHAnsi"/>
          <w:sz w:val="21"/>
          <w:szCs w:val="21"/>
        </w:rPr>
      </w:pPr>
      <w:r w:rsidRPr="000D6C9F">
        <w:rPr>
          <w:rFonts w:asciiTheme="minorHAnsi" w:hAnsiTheme="minorHAnsi"/>
          <w:sz w:val="21"/>
          <w:szCs w:val="21"/>
        </w:rPr>
        <w:t>HALLITUKSEN ESITYS</w:t>
      </w:r>
      <w:r w:rsidR="002A28DD" w:rsidRPr="000D6C9F">
        <w:rPr>
          <w:rFonts w:asciiTheme="minorHAnsi" w:hAnsiTheme="minorHAnsi"/>
          <w:sz w:val="21"/>
          <w:szCs w:val="21"/>
        </w:rPr>
        <w:t>LUONNOS</w:t>
      </w:r>
      <w:r w:rsidRPr="000D6C9F">
        <w:rPr>
          <w:rFonts w:asciiTheme="minorHAnsi" w:hAnsiTheme="minorHAnsi"/>
          <w:sz w:val="21"/>
          <w:szCs w:val="21"/>
        </w:rPr>
        <w:t xml:space="preserve"> VAHVASTA SÄHKÖISESTÄ TUNNISTAMISESTA JA SÄHKÖISISTÄ ALLEKIRJOITUKSISTA ANNETUN LAIN MUUTTAMISESTA JA VALTIONEUVOSTON </w:t>
      </w:r>
      <w:r w:rsidR="000C52DB" w:rsidRPr="000D6C9F">
        <w:rPr>
          <w:rFonts w:asciiTheme="minorHAnsi" w:hAnsiTheme="minorHAnsi"/>
          <w:sz w:val="21"/>
          <w:szCs w:val="21"/>
        </w:rPr>
        <w:t xml:space="preserve">ASETUKSESTA </w:t>
      </w:r>
      <w:r w:rsidR="002A28DD" w:rsidRPr="000D6C9F">
        <w:rPr>
          <w:rFonts w:asciiTheme="minorHAnsi" w:hAnsiTheme="minorHAnsi"/>
          <w:sz w:val="21"/>
          <w:szCs w:val="21"/>
        </w:rPr>
        <w:t xml:space="preserve"> </w:t>
      </w:r>
      <w:r w:rsidRPr="000D6C9F">
        <w:rPr>
          <w:rFonts w:asciiTheme="minorHAnsi" w:hAnsiTheme="minorHAnsi"/>
          <w:sz w:val="21"/>
          <w:szCs w:val="21"/>
        </w:rPr>
        <w:t xml:space="preserve">. </w:t>
      </w:r>
    </w:p>
    <w:p w:rsidR="000A322D" w:rsidRPr="000D6C9F" w:rsidRDefault="000A322D" w:rsidP="000A322D">
      <w:pPr>
        <w:pStyle w:val="Default"/>
        <w:rPr>
          <w:rFonts w:asciiTheme="minorHAnsi" w:hAnsiTheme="minorHAnsi"/>
          <w:sz w:val="21"/>
          <w:szCs w:val="21"/>
        </w:rPr>
      </w:pPr>
    </w:p>
    <w:p w:rsidR="000A322D" w:rsidRPr="000D6C9F" w:rsidRDefault="000A322D" w:rsidP="000A322D">
      <w:pPr>
        <w:pStyle w:val="Default"/>
        <w:rPr>
          <w:rFonts w:asciiTheme="minorHAnsi" w:hAnsiTheme="minorHAnsi"/>
          <w:b/>
          <w:bCs/>
          <w:sz w:val="21"/>
          <w:szCs w:val="21"/>
        </w:rPr>
      </w:pPr>
    </w:p>
    <w:p w:rsidR="000A322D" w:rsidRPr="000D6C9F" w:rsidRDefault="000A322D" w:rsidP="000A322D">
      <w:pPr>
        <w:pStyle w:val="Default"/>
        <w:rPr>
          <w:rFonts w:asciiTheme="minorHAnsi" w:hAnsiTheme="minorHAnsi"/>
          <w:b/>
          <w:bCs/>
          <w:sz w:val="21"/>
          <w:szCs w:val="21"/>
        </w:rPr>
      </w:pPr>
      <w:r w:rsidRPr="000D6C9F">
        <w:rPr>
          <w:rFonts w:asciiTheme="minorHAnsi" w:hAnsiTheme="minorHAnsi"/>
          <w:b/>
          <w:bCs/>
          <w:sz w:val="21"/>
          <w:szCs w:val="21"/>
        </w:rPr>
        <w:t xml:space="preserve">NORDEA PANKKI SUOMI OYJ:N KOMMENTIT II ESITYSLUONNOKSEEN </w:t>
      </w:r>
    </w:p>
    <w:p w:rsidR="000A322D" w:rsidRPr="000D6C9F" w:rsidRDefault="000A322D" w:rsidP="000A322D">
      <w:pPr>
        <w:pStyle w:val="Default"/>
        <w:rPr>
          <w:rFonts w:asciiTheme="minorHAnsi" w:hAnsiTheme="minorHAnsi"/>
          <w:sz w:val="21"/>
          <w:szCs w:val="21"/>
        </w:rPr>
      </w:pPr>
    </w:p>
    <w:p w:rsidR="002A28DD" w:rsidRPr="000D6C9F" w:rsidRDefault="002A28DD" w:rsidP="00CE3FB9">
      <w:pPr>
        <w:pStyle w:val="Default"/>
        <w:numPr>
          <w:ilvl w:val="0"/>
          <w:numId w:val="1"/>
        </w:numPr>
        <w:ind w:left="360"/>
        <w:rPr>
          <w:rFonts w:asciiTheme="minorHAnsi" w:hAnsiTheme="minorHAnsi"/>
          <w:b/>
          <w:bCs/>
          <w:sz w:val="21"/>
          <w:szCs w:val="21"/>
        </w:rPr>
      </w:pPr>
      <w:r w:rsidRPr="000D6C9F">
        <w:rPr>
          <w:rFonts w:asciiTheme="minorHAnsi" w:hAnsiTheme="minorHAnsi"/>
          <w:b/>
          <w:bCs/>
          <w:sz w:val="21"/>
          <w:szCs w:val="21"/>
        </w:rPr>
        <w:t>Perustelut</w:t>
      </w:r>
    </w:p>
    <w:p w:rsidR="002A28DD" w:rsidRPr="000D6C9F" w:rsidRDefault="002A28DD" w:rsidP="000A322D">
      <w:pPr>
        <w:pStyle w:val="Default"/>
        <w:rPr>
          <w:rFonts w:asciiTheme="minorHAnsi" w:hAnsiTheme="minorHAnsi"/>
          <w:sz w:val="21"/>
          <w:szCs w:val="21"/>
        </w:rPr>
      </w:pPr>
    </w:p>
    <w:p w:rsidR="000C52DB" w:rsidRPr="000D6C9F" w:rsidRDefault="00CC4E5A">
      <w:pPr>
        <w:rPr>
          <w:sz w:val="21"/>
          <w:szCs w:val="21"/>
        </w:rPr>
      </w:pPr>
      <w:r w:rsidRPr="000D6C9F">
        <w:rPr>
          <w:sz w:val="21"/>
          <w:szCs w:val="21"/>
        </w:rPr>
        <w:t>Sääntelyn v</w:t>
      </w:r>
      <w:r w:rsidR="004F60EE" w:rsidRPr="000D6C9F">
        <w:rPr>
          <w:sz w:val="21"/>
          <w:szCs w:val="21"/>
        </w:rPr>
        <w:t xml:space="preserve">aikutusarviointiin ja valmisteluun liittyvät puutteet ovat </w:t>
      </w:r>
      <w:r w:rsidRPr="000D6C9F">
        <w:rPr>
          <w:sz w:val="21"/>
          <w:szCs w:val="21"/>
        </w:rPr>
        <w:t xml:space="preserve">edelleen joltain osin </w:t>
      </w:r>
      <w:r w:rsidR="004F60EE" w:rsidRPr="000D6C9F">
        <w:rPr>
          <w:sz w:val="21"/>
          <w:szCs w:val="21"/>
        </w:rPr>
        <w:t xml:space="preserve">korjaamatta. </w:t>
      </w:r>
      <w:r w:rsidRPr="000D6C9F">
        <w:rPr>
          <w:sz w:val="21"/>
          <w:szCs w:val="21"/>
        </w:rPr>
        <w:t xml:space="preserve"> </w:t>
      </w:r>
      <w:r w:rsidR="000C52DB" w:rsidRPr="000D6C9F">
        <w:rPr>
          <w:sz w:val="21"/>
          <w:szCs w:val="21"/>
        </w:rPr>
        <w:t xml:space="preserve">Esimerkiksi hintasääntelyä siirtohinnoista emme esitetyssä muodossa (1 snt/tapahtuma) emme pidä perusteltuna.  </w:t>
      </w:r>
      <w:r w:rsidR="000C52DB" w:rsidRPr="000D6C9F">
        <w:rPr>
          <w:sz w:val="21"/>
          <w:szCs w:val="21"/>
          <w:u w:val="single"/>
        </w:rPr>
        <w:t xml:space="preserve">Jos hintasääntely toteutetaan, tulee sen toimia kustannusvastaavasti ja </w:t>
      </w:r>
      <w:r w:rsidR="000D6C9F">
        <w:rPr>
          <w:sz w:val="21"/>
          <w:szCs w:val="21"/>
          <w:u w:val="single"/>
        </w:rPr>
        <w:t>käsittää myös</w:t>
      </w:r>
      <w:r w:rsidR="000C52DB" w:rsidRPr="000D6C9F">
        <w:rPr>
          <w:sz w:val="21"/>
          <w:szCs w:val="21"/>
          <w:u w:val="single"/>
        </w:rPr>
        <w:t xml:space="preserve"> insentiivi toiminnan harjoittamiseen ja kehittämiseen</w:t>
      </w:r>
      <w:r w:rsidR="000C52DB" w:rsidRPr="000D6C9F">
        <w:rPr>
          <w:sz w:val="21"/>
          <w:szCs w:val="21"/>
        </w:rPr>
        <w:t>.</w:t>
      </w:r>
      <w:r w:rsidR="004A3801" w:rsidRPr="000D6C9F">
        <w:rPr>
          <w:sz w:val="21"/>
          <w:szCs w:val="21"/>
        </w:rPr>
        <w:t xml:space="preserve"> Hintasääntely voidaan toteuttaa vain asianmukaisen vaikutusarvioinnin perusteella.</w:t>
      </w:r>
    </w:p>
    <w:p w:rsidR="002A28DD" w:rsidRPr="000D6C9F" w:rsidRDefault="002A28DD" w:rsidP="002A28DD">
      <w:pPr>
        <w:rPr>
          <w:sz w:val="21"/>
          <w:szCs w:val="21"/>
          <w:u w:val="single"/>
        </w:rPr>
      </w:pPr>
      <w:r w:rsidRPr="000D6C9F">
        <w:rPr>
          <w:sz w:val="21"/>
          <w:szCs w:val="21"/>
        </w:rPr>
        <w:t xml:space="preserve">Perustelujen sivulla 9 esitetään, että uusien toimijoiden markkinoille tulo on vaikeaa. Sääntelyn näkökulmasta tämä ei sinänsä vastaa vallitsevaa tilannetta.  Nykyisten TUPAS-palvelujen tuottajien näkökulmasta palvelujen kehittymistä ja kilpailua on haitannut eniten se, etteivät ne toimijat, jotka teknisesti kykenevät tuottamaan tunnistuspalveluja ole olleet valmiita korvaamaan ensitunnistamisesta aiheutuneita kustannuksia. Siirtohinnoittelua koskevassa perusteluosassa viitataan sentin suuruisen siirtohinnoittelun osalta ns. vapaamatkustajaongelmaan (sivu 20).   Kustannukset alittavaa siirtohinnoittelua suurempi vapaamatkustajaongelma syntyy </w:t>
      </w:r>
      <w:r w:rsidR="004A3801" w:rsidRPr="000D6C9F">
        <w:rPr>
          <w:sz w:val="21"/>
          <w:szCs w:val="21"/>
        </w:rPr>
        <w:t>kuitenkin</w:t>
      </w:r>
      <w:r w:rsidRPr="000D6C9F">
        <w:rPr>
          <w:sz w:val="21"/>
          <w:szCs w:val="21"/>
        </w:rPr>
        <w:t>, jos ensitunnistamisen kustannusten korvaamista koskevaa velvoitetta ei säännellä.</w:t>
      </w:r>
      <w:r w:rsidR="004A3801" w:rsidRPr="000D6C9F">
        <w:rPr>
          <w:sz w:val="21"/>
          <w:szCs w:val="21"/>
        </w:rPr>
        <w:t xml:space="preserve"> </w:t>
      </w:r>
      <w:r w:rsidRPr="000D6C9F">
        <w:rPr>
          <w:sz w:val="21"/>
          <w:szCs w:val="21"/>
        </w:rPr>
        <w:t xml:space="preserve"> </w:t>
      </w:r>
      <w:r w:rsidRPr="000D6C9F">
        <w:rPr>
          <w:sz w:val="21"/>
          <w:szCs w:val="21"/>
          <w:u w:val="single"/>
        </w:rPr>
        <w:t>Pidämmekin erittäin perusteltuna sitä, että ensitunnistukseen liittyvä hintasääntely on poistettu uudesta esitysluonnoksesta.  Ensitunnistuksen tekemiseen liittyvien kustannusten korvaamista koskeva velvoite tulee silti huomioida sääntelyssä</w:t>
      </w:r>
      <w:r w:rsidR="004A3801" w:rsidRPr="000D6C9F">
        <w:rPr>
          <w:sz w:val="21"/>
          <w:szCs w:val="21"/>
          <w:u w:val="single"/>
        </w:rPr>
        <w:t>.</w:t>
      </w:r>
      <w:r w:rsidRPr="000D6C9F">
        <w:rPr>
          <w:sz w:val="21"/>
          <w:szCs w:val="21"/>
          <w:u w:val="single"/>
        </w:rPr>
        <w:t xml:space="preserve"> </w:t>
      </w:r>
    </w:p>
    <w:p w:rsidR="004F60EE" w:rsidRDefault="000C52DB" w:rsidP="00CE3FB9">
      <w:pPr>
        <w:pStyle w:val="Default"/>
        <w:numPr>
          <w:ilvl w:val="0"/>
          <w:numId w:val="1"/>
        </w:numPr>
        <w:ind w:left="360"/>
        <w:rPr>
          <w:rFonts w:asciiTheme="minorHAnsi" w:hAnsiTheme="minorHAnsi"/>
          <w:b/>
          <w:bCs/>
          <w:sz w:val="21"/>
          <w:szCs w:val="21"/>
        </w:rPr>
      </w:pPr>
      <w:r w:rsidRPr="000D6C9F">
        <w:rPr>
          <w:rFonts w:asciiTheme="minorHAnsi" w:hAnsiTheme="minorHAnsi"/>
          <w:b/>
          <w:bCs/>
          <w:sz w:val="21"/>
          <w:szCs w:val="21"/>
        </w:rPr>
        <w:t xml:space="preserve">Ensitunnistamisen </w:t>
      </w:r>
      <w:r w:rsidR="002A28DD" w:rsidRPr="000D6C9F">
        <w:rPr>
          <w:rFonts w:asciiTheme="minorHAnsi" w:hAnsiTheme="minorHAnsi"/>
          <w:b/>
          <w:bCs/>
          <w:sz w:val="21"/>
          <w:szCs w:val="21"/>
        </w:rPr>
        <w:t>sääntely 17 §:ssä edellyttää täsmennyksiä</w:t>
      </w:r>
    </w:p>
    <w:p w:rsidR="00CE3FB9" w:rsidRPr="000D6C9F" w:rsidRDefault="00CE3FB9" w:rsidP="00CE3FB9">
      <w:pPr>
        <w:pStyle w:val="Default"/>
        <w:ind w:left="360"/>
        <w:rPr>
          <w:rFonts w:asciiTheme="minorHAnsi" w:hAnsiTheme="minorHAnsi"/>
          <w:b/>
          <w:bCs/>
          <w:sz w:val="21"/>
          <w:szCs w:val="21"/>
        </w:rPr>
      </w:pPr>
    </w:p>
    <w:p w:rsidR="00BA0D00" w:rsidRDefault="004F60EE" w:rsidP="002A28DD">
      <w:pPr>
        <w:rPr>
          <w:sz w:val="21"/>
          <w:szCs w:val="21"/>
        </w:rPr>
      </w:pPr>
      <w:r w:rsidRPr="000D6C9F">
        <w:rPr>
          <w:sz w:val="21"/>
          <w:szCs w:val="21"/>
        </w:rPr>
        <w:t xml:space="preserve">17 § sisältää oikeuden käyttää vahvoja sähköisiä tunnisteita uusien tunnisteiden luomiseen.  </w:t>
      </w:r>
      <w:r w:rsidRPr="000D6C9F">
        <w:rPr>
          <w:sz w:val="21"/>
          <w:szCs w:val="21"/>
          <w:u w:val="single"/>
        </w:rPr>
        <w:t>Jos edellä mainittu oikeus säädetään tunnistepalvelun tarjoajalle, oikeuden tulee olla voimassa ainoastaan samanaikaisen kustannusten korvaamista koskevan velvoitteen kanssa.</w:t>
      </w:r>
      <w:r w:rsidRPr="000D6C9F">
        <w:rPr>
          <w:sz w:val="21"/>
          <w:szCs w:val="21"/>
        </w:rPr>
        <w:t xml:space="preserve">  Velvoite ensitunnistuksen kustannusten korvaamisesta ensitunnistuksen tekijälle on sisällytettävä 17 §:</w:t>
      </w:r>
      <w:r w:rsidR="000C52DB" w:rsidRPr="000D6C9F">
        <w:rPr>
          <w:sz w:val="21"/>
          <w:szCs w:val="21"/>
        </w:rPr>
        <w:t>ää</w:t>
      </w:r>
      <w:r w:rsidRPr="000D6C9F">
        <w:rPr>
          <w:sz w:val="21"/>
          <w:szCs w:val="21"/>
        </w:rPr>
        <w:t>n</w:t>
      </w:r>
      <w:r w:rsidR="000C52DB" w:rsidRPr="000D6C9F">
        <w:rPr>
          <w:sz w:val="21"/>
          <w:szCs w:val="21"/>
        </w:rPr>
        <w:t xml:space="preserve">. Edelleen säännöksen tulee sisältää ensitunnistuksen tekijälle mahdollisuus kieltää ensitunnisteella tapahtuva tunnisteen luonti esim. tilanteessa, jossa se tietoturvan tai asiakkaansuojaan liittyvän perustellun syyn takia on tarpeen tai jos tunnistetietojen luoja ei ole suorittanut kustannuksia ensitunnisteen tekijälle. </w:t>
      </w:r>
    </w:p>
    <w:p w:rsidR="00BA0D00" w:rsidRDefault="00BA0D00" w:rsidP="002A28DD">
      <w:pPr>
        <w:rPr>
          <w:sz w:val="21"/>
          <w:szCs w:val="21"/>
        </w:rPr>
      </w:pPr>
      <w:r>
        <w:rPr>
          <w:sz w:val="21"/>
          <w:szCs w:val="21"/>
        </w:rPr>
        <w:t xml:space="preserve">Kyseisessä kohdassa ei myöskään oteta kantaa siihen, miten sähköisiä tunnisteita saadaan ketjuttaa edelleen.  Jos tällainen ketjuttaminen sallitaan laajasti, voi kerran väärin tiedoin luotu vahva sähköinen identiteetti olla voimassa hyvinkin pitkään. </w:t>
      </w:r>
    </w:p>
    <w:p w:rsidR="00BA0D00" w:rsidRDefault="00BA0D00" w:rsidP="002A28DD">
      <w:pPr>
        <w:rPr>
          <w:sz w:val="21"/>
          <w:szCs w:val="21"/>
        </w:rPr>
      </w:pPr>
    </w:p>
    <w:p w:rsidR="00BA0D00" w:rsidRDefault="00BA0D00" w:rsidP="002A28DD">
      <w:pPr>
        <w:rPr>
          <w:sz w:val="21"/>
          <w:szCs w:val="21"/>
        </w:rPr>
      </w:pPr>
      <w:r>
        <w:rPr>
          <w:sz w:val="21"/>
          <w:szCs w:val="21"/>
        </w:rPr>
        <w:lastRenderedPageBreak/>
        <w:t xml:space="preserve">Käytännössä ensitunnisteen hyödyntämiseen liittyvien kustannusten ja riskien hallinta toimisi parhaiten siten, että ensitunnistetta hyödyttävän tunnistuspalvelun tarjoajan tulee tehdä sopimus ensitunnistamisen tehneen tahon kanssa. </w:t>
      </w:r>
    </w:p>
    <w:p w:rsidR="002A28DD" w:rsidRDefault="002A28DD" w:rsidP="002A28DD">
      <w:pPr>
        <w:rPr>
          <w:sz w:val="21"/>
          <w:szCs w:val="21"/>
        </w:rPr>
      </w:pPr>
      <w:r w:rsidRPr="000D6C9F">
        <w:rPr>
          <w:sz w:val="21"/>
          <w:szCs w:val="21"/>
          <w:u w:val="single"/>
        </w:rPr>
        <w:t>Jos lain 17 § tulee voimaan esim. ennen 12 a §:ssä tarkoitettua luottamusverkostoa koskevaa säännöstä tulee edellä mainitut velvoitteet sisällyttää nimenomaan 17 §:ään.</w:t>
      </w:r>
      <w:r w:rsidR="00EC7E55" w:rsidRPr="000D6C9F">
        <w:rPr>
          <w:sz w:val="21"/>
          <w:szCs w:val="21"/>
        </w:rPr>
        <w:t xml:space="preserve"> Ei ole perusteltua säätää, että toimijalla on oikeus hyödyntää ensitunnistetietoja sähköisessä tunnistamisessa, mutta sitä koskeva hallintomalli toteutetaan vasta myöhemmin.</w:t>
      </w:r>
    </w:p>
    <w:p w:rsidR="002A28DD" w:rsidRDefault="002A28DD" w:rsidP="00CE3FB9">
      <w:pPr>
        <w:pStyle w:val="Default"/>
        <w:numPr>
          <w:ilvl w:val="0"/>
          <w:numId w:val="1"/>
        </w:numPr>
        <w:ind w:left="360"/>
        <w:rPr>
          <w:rFonts w:asciiTheme="minorHAnsi" w:hAnsiTheme="minorHAnsi"/>
          <w:b/>
          <w:bCs/>
          <w:sz w:val="21"/>
          <w:szCs w:val="21"/>
        </w:rPr>
      </w:pPr>
      <w:r w:rsidRPr="000D6C9F">
        <w:rPr>
          <w:rFonts w:asciiTheme="minorHAnsi" w:hAnsiTheme="minorHAnsi"/>
          <w:b/>
          <w:bCs/>
          <w:sz w:val="21"/>
          <w:szCs w:val="21"/>
        </w:rPr>
        <w:t xml:space="preserve">Luottamusverkoston asema ja </w:t>
      </w:r>
      <w:r w:rsidR="00EC7E55" w:rsidRPr="000D6C9F">
        <w:rPr>
          <w:rFonts w:asciiTheme="minorHAnsi" w:hAnsiTheme="minorHAnsi"/>
          <w:b/>
          <w:bCs/>
          <w:sz w:val="21"/>
          <w:szCs w:val="21"/>
        </w:rPr>
        <w:t>jäsenen erottamisoikeus</w:t>
      </w:r>
    </w:p>
    <w:p w:rsidR="00CE3FB9" w:rsidRPr="000D6C9F" w:rsidRDefault="00CE3FB9" w:rsidP="00CE3FB9">
      <w:pPr>
        <w:pStyle w:val="Default"/>
        <w:ind w:left="360"/>
        <w:rPr>
          <w:rFonts w:asciiTheme="minorHAnsi" w:hAnsiTheme="minorHAnsi"/>
          <w:b/>
          <w:bCs/>
          <w:sz w:val="21"/>
          <w:szCs w:val="21"/>
        </w:rPr>
      </w:pPr>
    </w:p>
    <w:p w:rsidR="00CC4E5A" w:rsidRPr="000D6C9F" w:rsidRDefault="00EC7E55">
      <w:pPr>
        <w:rPr>
          <w:sz w:val="21"/>
          <w:szCs w:val="21"/>
        </w:rPr>
      </w:pPr>
      <w:r w:rsidRPr="000D6C9F">
        <w:rPr>
          <w:sz w:val="21"/>
          <w:szCs w:val="21"/>
        </w:rPr>
        <w:t xml:space="preserve">Vahvan sähköisen tunnistamisen tarjoaminen edellyttää esityksen mukaan liittymistä luottamusverkostoon. Käsityksemme mukaan liittymisen tulisi olla vapaaehtoista, esim. sen takia, että toimialakohtaisten vahvojen sähköisten tunnisteiden tarjoaminen olisi mahdollista.  </w:t>
      </w:r>
      <w:r w:rsidRPr="000D6C9F">
        <w:rPr>
          <w:sz w:val="21"/>
          <w:szCs w:val="21"/>
          <w:u w:val="single"/>
        </w:rPr>
        <w:t xml:space="preserve">Luottamusverkoston kytkeminen vahvan sähköisen tunnisteen statukseen aiheuttaa tilanteen, että toimija, joka ei noudata 12 a §:ssä tarkoitettuja ”hallinnollisia käytäntöjä” mukaan lukien tietoturvaan ja toiminnan kustannuksiin liittyvät velvoitteet tulee voida erottaa luottamusverkostosta.  Merkittävien oikeusvaikutusten takia erottamista koskeva mahdollisuus tulisi huomioida säännöksessä. </w:t>
      </w:r>
      <w:r w:rsidRPr="000D6C9F">
        <w:rPr>
          <w:sz w:val="21"/>
          <w:szCs w:val="21"/>
        </w:rPr>
        <w:t xml:space="preserve"> </w:t>
      </w:r>
    </w:p>
    <w:p w:rsidR="00EC7E55" w:rsidRDefault="00EC7E55" w:rsidP="00CE3FB9">
      <w:pPr>
        <w:pStyle w:val="Default"/>
        <w:numPr>
          <w:ilvl w:val="0"/>
          <w:numId w:val="1"/>
        </w:numPr>
        <w:ind w:left="360"/>
        <w:rPr>
          <w:rFonts w:asciiTheme="minorHAnsi" w:hAnsiTheme="minorHAnsi"/>
          <w:b/>
          <w:bCs/>
          <w:sz w:val="21"/>
          <w:szCs w:val="21"/>
        </w:rPr>
      </w:pPr>
      <w:r w:rsidRPr="000D6C9F">
        <w:rPr>
          <w:rFonts w:asciiTheme="minorHAnsi" w:hAnsiTheme="minorHAnsi"/>
          <w:b/>
          <w:bCs/>
          <w:sz w:val="21"/>
          <w:szCs w:val="21"/>
        </w:rPr>
        <w:t>Luottamusverkoston hallintamalli</w:t>
      </w:r>
      <w:r w:rsidR="004A3801" w:rsidRPr="000D6C9F">
        <w:rPr>
          <w:rFonts w:asciiTheme="minorHAnsi" w:hAnsiTheme="minorHAnsi"/>
          <w:b/>
          <w:bCs/>
          <w:sz w:val="21"/>
          <w:szCs w:val="21"/>
        </w:rPr>
        <w:t xml:space="preserve"> ja kustannukset</w:t>
      </w:r>
    </w:p>
    <w:p w:rsidR="00CE3FB9" w:rsidRPr="000D6C9F" w:rsidRDefault="00CE3FB9" w:rsidP="00CE3FB9">
      <w:pPr>
        <w:pStyle w:val="Default"/>
        <w:ind w:left="360"/>
        <w:rPr>
          <w:rFonts w:asciiTheme="minorHAnsi" w:hAnsiTheme="minorHAnsi"/>
          <w:b/>
          <w:bCs/>
          <w:sz w:val="21"/>
          <w:szCs w:val="21"/>
        </w:rPr>
      </w:pPr>
    </w:p>
    <w:p w:rsidR="00CC4E5A" w:rsidRPr="000D6C9F" w:rsidRDefault="00EC7E55">
      <w:pPr>
        <w:rPr>
          <w:sz w:val="21"/>
          <w:szCs w:val="21"/>
        </w:rPr>
      </w:pPr>
      <w:r w:rsidRPr="000D6C9F">
        <w:rPr>
          <w:sz w:val="21"/>
          <w:szCs w:val="21"/>
        </w:rPr>
        <w:t xml:space="preserve">Sitoutuminen luottamusverkon hallinnollisiin käytäntöihin edellyttää niiden sisällön täsmentämistä.  </w:t>
      </w:r>
      <w:r w:rsidRPr="000D6C9F">
        <w:rPr>
          <w:sz w:val="21"/>
          <w:szCs w:val="21"/>
          <w:u w:val="single"/>
        </w:rPr>
        <w:t>Luottamusverkostoon ei tulisi sisällyttää teknologiariippuvaisia toimintoja tai sellaisia tehtäviä, jotka eivät tunnistamistoiminnan hallinnoinnin kannalta ole peru</w:t>
      </w:r>
      <w:r w:rsidR="004A3801" w:rsidRPr="000D6C9F">
        <w:rPr>
          <w:sz w:val="21"/>
          <w:szCs w:val="21"/>
          <w:u w:val="single"/>
        </w:rPr>
        <w:t>s</w:t>
      </w:r>
      <w:r w:rsidRPr="000D6C9F">
        <w:rPr>
          <w:sz w:val="21"/>
          <w:szCs w:val="21"/>
          <w:u w:val="single"/>
        </w:rPr>
        <w:t xml:space="preserve">teltuja.  </w:t>
      </w:r>
      <w:r w:rsidRPr="000D6C9F">
        <w:rPr>
          <w:sz w:val="21"/>
          <w:szCs w:val="21"/>
        </w:rPr>
        <w:t xml:space="preserve">Luottamusverkon kustannusten tulee olla suoriteperusteisia. </w:t>
      </w:r>
    </w:p>
    <w:p w:rsidR="004A3801" w:rsidRDefault="004A3801" w:rsidP="00CE3FB9">
      <w:pPr>
        <w:pStyle w:val="Default"/>
        <w:numPr>
          <w:ilvl w:val="0"/>
          <w:numId w:val="1"/>
        </w:numPr>
        <w:ind w:left="360"/>
        <w:rPr>
          <w:rFonts w:asciiTheme="minorHAnsi" w:hAnsiTheme="minorHAnsi"/>
          <w:b/>
          <w:bCs/>
          <w:sz w:val="21"/>
          <w:szCs w:val="21"/>
        </w:rPr>
      </w:pPr>
      <w:r w:rsidRPr="000D6C9F">
        <w:rPr>
          <w:rFonts w:asciiTheme="minorHAnsi" w:hAnsiTheme="minorHAnsi"/>
          <w:b/>
          <w:bCs/>
          <w:sz w:val="21"/>
          <w:szCs w:val="21"/>
        </w:rPr>
        <w:t>Sähköisten palvelujen tarjontaa edistävä Rahanpesulain tekninen tarkistus on toteuttava osana tunnistusratkaisua koskevan sääntelyn uudistamista</w:t>
      </w:r>
    </w:p>
    <w:p w:rsidR="00CE3FB9" w:rsidRPr="000D6C9F" w:rsidRDefault="00CE3FB9" w:rsidP="00CE3FB9">
      <w:pPr>
        <w:pStyle w:val="Default"/>
        <w:ind w:left="360"/>
        <w:rPr>
          <w:rFonts w:asciiTheme="minorHAnsi" w:hAnsiTheme="minorHAnsi"/>
          <w:b/>
          <w:bCs/>
          <w:sz w:val="21"/>
          <w:szCs w:val="21"/>
        </w:rPr>
      </w:pPr>
    </w:p>
    <w:p w:rsidR="004A3801" w:rsidRPr="000D6C9F" w:rsidRDefault="004A3801">
      <w:pPr>
        <w:rPr>
          <w:sz w:val="21"/>
          <w:szCs w:val="21"/>
        </w:rPr>
      </w:pPr>
      <w:r w:rsidRPr="000D6C9F">
        <w:rPr>
          <w:sz w:val="21"/>
          <w:szCs w:val="21"/>
        </w:rPr>
        <w:t>Esitysluonnoksen perustelujen sivulla 9 todetaan:</w:t>
      </w:r>
    </w:p>
    <w:p w:rsidR="004A3801" w:rsidRPr="000D6C9F" w:rsidRDefault="004A3801" w:rsidP="004A3801">
      <w:pPr>
        <w:ind w:left="1134"/>
        <w:rPr>
          <w:sz w:val="21"/>
          <w:szCs w:val="21"/>
        </w:rPr>
      </w:pPr>
      <w:r w:rsidRPr="000D6C9F">
        <w:rPr>
          <w:sz w:val="21"/>
          <w:szCs w:val="21"/>
        </w:rPr>
        <w:t xml:space="preserve">Nykyiset verkkopankkitunnukset on tehty ensisijaisesti pankkien omien asiakkaiden tilinkäyttövälineiksi. Osittain tästä johtuen tunnistuspalveluita tarjoavat </w:t>
      </w:r>
      <w:r w:rsidRPr="000D6C9F">
        <w:rPr>
          <w:sz w:val="21"/>
          <w:szCs w:val="21"/>
          <w:highlight w:val="yellow"/>
        </w:rPr>
        <w:t>pankkitoimijat eivät hyväksy toisten tunnistuspalveluiden tarjoajien tunnistusvälineitä</w:t>
      </w:r>
      <w:r w:rsidRPr="000D6C9F">
        <w:rPr>
          <w:sz w:val="21"/>
          <w:szCs w:val="21"/>
        </w:rPr>
        <w:t>. Tästä on seurannut, että käyttäjä tarvitsee useita eri tunnistusvälineitä esimerkiksi ollessaan useamman kuin yhden pankin asiakas.</w:t>
      </w:r>
    </w:p>
    <w:p w:rsidR="00CC4E5A" w:rsidRDefault="004A3801">
      <w:pPr>
        <w:rPr>
          <w:sz w:val="21"/>
          <w:szCs w:val="21"/>
        </w:rPr>
      </w:pPr>
      <w:r w:rsidRPr="000D6C9F">
        <w:rPr>
          <w:sz w:val="21"/>
          <w:szCs w:val="21"/>
        </w:rPr>
        <w:t>Tosiasiassa käytännössä kaikki pankit ovat tehneet toistensa kanssa tunnistamista koskevia sopimuksia (ns. ristiintunnistaminen).  S</w:t>
      </w:r>
      <w:r w:rsidR="000D6C9F" w:rsidRPr="000D6C9F">
        <w:rPr>
          <w:sz w:val="21"/>
          <w:szCs w:val="21"/>
        </w:rPr>
        <w:t xml:space="preserve">yy, etteivät ne toimijat, jotka ovat </w:t>
      </w:r>
      <w:r w:rsidRPr="000D6C9F">
        <w:rPr>
          <w:sz w:val="21"/>
          <w:szCs w:val="21"/>
        </w:rPr>
        <w:t xml:space="preserve">rahanpesun ja terrorismin rahoittamisen estämisestä ja selvittämisestä </w:t>
      </w:r>
      <w:r w:rsidR="000D6C9F" w:rsidRPr="000D6C9F">
        <w:rPr>
          <w:sz w:val="21"/>
          <w:szCs w:val="21"/>
        </w:rPr>
        <w:t xml:space="preserve">koskevan lain </w:t>
      </w:r>
      <w:r w:rsidRPr="000D6C9F">
        <w:rPr>
          <w:sz w:val="21"/>
          <w:szCs w:val="21"/>
        </w:rPr>
        <w:t xml:space="preserve">(2008/503) </w:t>
      </w:r>
      <w:r w:rsidR="000D6C9F" w:rsidRPr="000D6C9F">
        <w:rPr>
          <w:sz w:val="21"/>
          <w:szCs w:val="21"/>
        </w:rPr>
        <w:t xml:space="preserve">mukaan ilmoitusvelvollisia voi kaikilta osin riskittä hyödyntää edes vahvaa sähköistä tunnistamista </w:t>
      </w:r>
      <w:r w:rsidR="00CE3FB9">
        <w:rPr>
          <w:sz w:val="21"/>
          <w:szCs w:val="21"/>
        </w:rPr>
        <w:t>toiminnassaan</w:t>
      </w:r>
      <w:r w:rsidR="000D6C9F" w:rsidRPr="000D6C9F">
        <w:rPr>
          <w:sz w:val="21"/>
          <w:szCs w:val="21"/>
        </w:rPr>
        <w:t xml:space="preserve"> </w:t>
      </w:r>
      <w:r w:rsidR="000D6C9F">
        <w:rPr>
          <w:sz w:val="21"/>
          <w:szCs w:val="21"/>
        </w:rPr>
        <w:t>johtuu</w:t>
      </w:r>
      <w:r w:rsidR="000D6C9F" w:rsidRPr="000D6C9F">
        <w:rPr>
          <w:sz w:val="21"/>
          <w:szCs w:val="21"/>
        </w:rPr>
        <w:t xml:space="preserve"> nimenomaan ko. lain</w:t>
      </w:r>
      <w:r w:rsidRPr="000D6C9F">
        <w:rPr>
          <w:sz w:val="21"/>
          <w:szCs w:val="21"/>
        </w:rPr>
        <w:t xml:space="preserve"> 10 §:n mukaise</w:t>
      </w:r>
      <w:r w:rsidR="000D6C9F" w:rsidRPr="000D6C9F">
        <w:rPr>
          <w:sz w:val="21"/>
          <w:szCs w:val="21"/>
        </w:rPr>
        <w:t>n</w:t>
      </w:r>
      <w:r w:rsidRPr="000D6C9F">
        <w:rPr>
          <w:sz w:val="21"/>
          <w:szCs w:val="21"/>
        </w:rPr>
        <w:t xml:space="preserve"> dokumentointi</w:t>
      </w:r>
      <w:r w:rsidR="000D6C9F" w:rsidRPr="000D6C9F">
        <w:rPr>
          <w:sz w:val="21"/>
          <w:szCs w:val="21"/>
        </w:rPr>
        <w:t>velvoitteen epätäsmällise</w:t>
      </w:r>
      <w:r w:rsidR="000D6C9F">
        <w:rPr>
          <w:sz w:val="21"/>
          <w:szCs w:val="21"/>
        </w:rPr>
        <w:t>stä</w:t>
      </w:r>
      <w:r w:rsidR="000D6C9F" w:rsidRPr="000D6C9F">
        <w:rPr>
          <w:sz w:val="21"/>
          <w:szCs w:val="21"/>
        </w:rPr>
        <w:t xml:space="preserve"> sääntely</w:t>
      </w:r>
      <w:r w:rsidR="000D6C9F">
        <w:rPr>
          <w:sz w:val="21"/>
          <w:szCs w:val="21"/>
        </w:rPr>
        <w:t>stä</w:t>
      </w:r>
      <w:r w:rsidR="000D6C9F" w:rsidRPr="000D6C9F">
        <w:rPr>
          <w:sz w:val="21"/>
          <w:szCs w:val="21"/>
        </w:rPr>
        <w:t xml:space="preserve">.  Kun tämä </w:t>
      </w:r>
      <w:r w:rsidR="000D6C9F">
        <w:rPr>
          <w:sz w:val="21"/>
          <w:szCs w:val="21"/>
        </w:rPr>
        <w:t xml:space="preserve">puhtaasti tekninen </w:t>
      </w:r>
      <w:r w:rsidR="000D6C9F" w:rsidRPr="000D6C9F">
        <w:rPr>
          <w:sz w:val="21"/>
          <w:szCs w:val="21"/>
        </w:rPr>
        <w:t xml:space="preserve">säännös </w:t>
      </w:r>
      <w:r w:rsidR="000D6C9F">
        <w:rPr>
          <w:sz w:val="21"/>
          <w:szCs w:val="21"/>
        </w:rPr>
        <w:t>haittaa sähköisten tunnistamisen käyttöä</w:t>
      </w:r>
      <w:r w:rsidR="000D6C9F" w:rsidRPr="000D6C9F">
        <w:rPr>
          <w:sz w:val="21"/>
          <w:szCs w:val="21"/>
        </w:rPr>
        <w:t xml:space="preserve"> n. 30 eri toimiala</w:t>
      </w:r>
      <w:r w:rsidR="000D6C9F">
        <w:rPr>
          <w:sz w:val="21"/>
          <w:szCs w:val="21"/>
        </w:rPr>
        <w:t>ll</w:t>
      </w:r>
      <w:r w:rsidR="000D6C9F" w:rsidRPr="000D6C9F">
        <w:rPr>
          <w:sz w:val="21"/>
          <w:szCs w:val="21"/>
        </w:rPr>
        <w:t xml:space="preserve">a, tulisi säännös oikaista, jotta digitalisointia koskevat tavoitteet voidaan toteuttaa täydessä laajuudessaan myös finanssialalla. </w:t>
      </w:r>
      <w:r w:rsidR="000D6C9F">
        <w:rPr>
          <w:sz w:val="21"/>
          <w:szCs w:val="21"/>
        </w:rPr>
        <w:t xml:space="preserve"> Nordea on toimittanut asiasta aloitteen KTR-hankkeelle.  Aloite on myös Nordean 30-10-2014 toimittaman lausunnon liitteenä (Liite 1).</w:t>
      </w:r>
    </w:p>
    <w:p w:rsidR="00BA0D00" w:rsidRPr="00BA0D00" w:rsidRDefault="00BA0D00" w:rsidP="00BA0D00">
      <w:pPr>
        <w:pStyle w:val="Luettelokappale"/>
        <w:numPr>
          <w:ilvl w:val="0"/>
          <w:numId w:val="1"/>
        </w:numPr>
        <w:ind w:left="360"/>
        <w:rPr>
          <w:rFonts w:cs="Times New Roman"/>
          <w:b/>
          <w:bCs/>
          <w:color w:val="000000"/>
          <w:sz w:val="21"/>
          <w:szCs w:val="21"/>
        </w:rPr>
      </w:pPr>
      <w:r w:rsidRPr="00BA0D00">
        <w:rPr>
          <w:rFonts w:cs="Times New Roman"/>
          <w:b/>
          <w:bCs/>
          <w:color w:val="000000"/>
          <w:sz w:val="21"/>
          <w:szCs w:val="21"/>
        </w:rPr>
        <w:t>Voimaantulo</w:t>
      </w:r>
    </w:p>
    <w:p w:rsidR="001D2EEB" w:rsidRPr="000D6C9F" w:rsidRDefault="00BA0D00">
      <w:pPr>
        <w:rPr>
          <w:sz w:val="21"/>
          <w:szCs w:val="21"/>
        </w:rPr>
      </w:pPr>
      <w:r>
        <w:rPr>
          <w:sz w:val="21"/>
          <w:szCs w:val="21"/>
        </w:rPr>
        <w:t>Voimaantulo on perusteltua säätää tapahtuvaksi yhdellä kertaa riittävän pitkän siirtymäajan kuluttua.</w:t>
      </w:r>
    </w:p>
    <w:sectPr w:rsidR="001D2EEB" w:rsidRPr="000D6C9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3B9" w:rsidRDefault="001523B9" w:rsidP="000A322D">
      <w:pPr>
        <w:spacing w:after="0" w:line="240" w:lineRule="auto"/>
      </w:pPr>
      <w:r>
        <w:separator/>
      </w:r>
    </w:p>
  </w:endnote>
  <w:endnote w:type="continuationSeparator" w:id="0">
    <w:p w:rsidR="001523B9" w:rsidRDefault="001523B9" w:rsidP="000A3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D00" w:rsidRDefault="00BA0D00">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D00" w:rsidRDefault="00BA0D00">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D00" w:rsidRDefault="00BA0D00">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3B9" w:rsidRDefault="001523B9" w:rsidP="000A322D">
      <w:pPr>
        <w:spacing w:after="0" w:line="240" w:lineRule="auto"/>
      </w:pPr>
      <w:r>
        <w:separator/>
      </w:r>
    </w:p>
  </w:footnote>
  <w:footnote w:type="continuationSeparator" w:id="0">
    <w:p w:rsidR="001523B9" w:rsidRDefault="001523B9" w:rsidP="000A32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D00" w:rsidRDefault="00BA0D00">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22D" w:rsidRDefault="000A322D" w:rsidP="000A322D">
    <w:pPr>
      <w:pStyle w:val="Yltunniste"/>
    </w:pPr>
    <w:r>
      <w:tab/>
    </w:r>
    <w:r>
      <w:tab/>
    </w:r>
    <w:r w:rsidRPr="005F162B">
      <w:t>LAUSUNTO</w:t>
    </w:r>
  </w:p>
  <w:p w:rsidR="000A322D" w:rsidRDefault="000A322D" w:rsidP="000A322D">
    <w:pPr>
      <w:pStyle w:val="Yltunniste"/>
    </w:pPr>
    <w:r w:rsidRPr="00E0041E">
      <w:rPr>
        <w:sz w:val="16"/>
        <w:szCs w:val="16"/>
      </w:rPr>
      <w:t xml:space="preserve">GBL-FIN/JT </w:t>
    </w:r>
    <w:r>
      <w:rPr>
        <w:sz w:val="16"/>
        <w:szCs w:val="16"/>
      </w:rPr>
      <w:t>30</w:t>
    </w:r>
    <w:r w:rsidRPr="00E0041E">
      <w:rPr>
        <w:sz w:val="16"/>
        <w:szCs w:val="16"/>
      </w:rPr>
      <w:t>-10-2014</w:t>
    </w:r>
    <w:r>
      <w:tab/>
    </w:r>
    <w:r>
      <w:tab/>
      <w:t xml:space="preserve">Sivu | </w:t>
    </w:r>
    <w:r>
      <w:fldChar w:fldCharType="begin"/>
    </w:r>
    <w:r>
      <w:instrText xml:space="preserve"> PAGE   \* MERGEFORMAT </w:instrText>
    </w:r>
    <w:r>
      <w:fldChar w:fldCharType="separate"/>
    </w:r>
    <w:r w:rsidR="00773BCC">
      <w:rPr>
        <w:noProof/>
      </w:rPr>
      <w:t>1</w:t>
    </w:r>
    <w:r>
      <w:rPr>
        <w:noProof/>
      </w:rPr>
      <w:fldChar w:fldCharType="end"/>
    </w:r>
  </w:p>
  <w:p w:rsidR="000A322D" w:rsidRDefault="000A322D">
    <w:pPr>
      <w:pStyle w:val="Yltunniste"/>
    </w:pPr>
    <w:r>
      <w:rPr>
        <w:noProof/>
        <w:lang w:eastAsia="fi-FI" w:bidi="ar-SA"/>
      </w:rPr>
      <w:drawing>
        <wp:anchor distT="0" distB="0" distL="114300" distR="114300" simplePos="0" relativeHeight="251658240" behindDoc="0" locked="1" layoutInCell="0" allowOverlap="1">
          <wp:simplePos x="0" y="0"/>
          <wp:positionH relativeFrom="page">
            <wp:posOffset>647700</wp:posOffset>
          </wp:positionH>
          <wp:positionV relativeFrom="page">
            <wp:posOffset>179705</wp:posOffset>
          </wp:positionV>
          <wp:extent cx="1762125" cy="495300"/>
          <wp:effectExtent l="0" t="0" r="0" b="0"/>
          <wp:wrapNone/>
          <wp:docPr id="1" name="CoLogo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2125"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D00" w:rsidRDefault="00BA0D00">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22896"/>
    <w:multiLevelType w:val="hybridMultilevel"/>
    <w:tmpl w:val="8040A0D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0EE"/>
    <w:rsid w:val="00060B9B"/>
    <w:rsid w:val="000A322D"/>
    <w:rsid w:val="000C52DB"/>
    <w:rsid w:val="000D6C9F"/>
    <w:rsid w:val="001523B9"/>
    <w:rsid w:val="001D2EEB"/>
    <w:rsid w:val="002A28DD"/>
    <w:rsid w:val="004A3801"/>
    <w:rsid w:val="004F60EE"/>
    <w:rsid w:val="00773BCC"/>
    <w:rsid w:val="009E3B0E"/>
    <w:rsid w:val="00AF461D"/>
    <w:rsid w:val="00BA0D00"/>
    <w:rsid w:val="00BF1E34"/>
    <w:rsid w:val="00C933E5"/>
    <w:rsid w:val="00CC4E5A"/>
    <w:rsid w:val="00CD1D34"/>
    <w:rsid w:val="00CE3FB9"/>
    <w:rsid w:val="00EB65DA"/>
    <w:rsid w:val="00EC7E55"/>
  </w:rsids>
  <m:mathPr>
    <m:mathFont m:val="Cambria Math"/>
    <m:brkBin m:val="before"/>
    <m:brkBinSub m:val="--"/>
    <m:smallFrac m:val="0"/>
    <m:dispDef/>
    <m:lMargin m:val="0"/>
    <m:rMargin m:val="0"/>
    <m:defJc m:val="centerGroup"/>
    <m:wrapIndent m:val="1440"/>
    <m:intLim m:val="subSup"/>
    <m:naryLim m:val="undOvr"/>
  </m:mathPr>
  <w:themeFontLang w:val="fi-FI"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fi-FI" w:eastAsia="ja-JP"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0A322D"/>
    <w:pPr>
      <w:tabs>
        <w:tab w:val="center" w:pos="4819"/>
        <w:tab w:val="right" w:pos="9638"/>
      </w:tabs>
      <w:spacing w:after="0" w:line="240" w:lineRule="auto"/>
    </w:pPr>
  </w:style>
  <w:style w:type="character" w:customStyle="1" w:styleId="YltunnisteChar">
    <w:name w:val="Ylätunniste Char"/>
    <w:basedOn w:val="Kappaleenoletusfontti"/>
    <w:link w:val="Yltunniste"/>
    <w:rsid w:val="000A322D"/>
  </w:style>
  <w:style w:type="paragraph" w:styleId="Alatunniste">
    <w:name w:val="footer"/>
    <w:basedOn w:val="Normaali"/>
    <w:link w:val="AlatunnisteChar"/>
    <w:uiPriority w:val="99"/>
    <w:unhideWhenUsed/>
    <w:rsid w:val="000A322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A322D"/>
  </w:style>
  <w:style w:type="paragraph" w:styleId="Seliteteksti">
    <w:name w:val="Balloon Text"/>
    <w:basedOn w:val="Normaali"/>
    <w:link w:val="SelitetekstiChar"/>
    <w:uiPriority w:val="99"/>
    <w:semiHidden/>
    <w:unhideWhenUsed/>
    <w:rsid w:val="000A322D"/>
    <w:pPr>
      <w:spacing w:after="0" w:line="240" w:lineRule="auto"/>
    </w:pPr>
    <w:rPr>
      <w:rFonts w:ascii="Tahoma" w:hAnsi="Tahoma" w:cs="Mangal"/>
      <w:sz w:val="16"/>
      <w:szCs w:val="14"/>
    </w:rPr>
  </w:style>
  <w:style w:type="character" w:customStyle="1" w:styleId="SelitetekstiChar">
    <w:name w:val="Seliteteksti Char"/>
    <w:basedOn w:val="Kappaleenoletusfontti"/>
    <w:link w:val="Seliteteksti"/>
    <w:uiPriority w:val="99"/>
    <w:semiHidden/>
    <w:rsid w:val="000A322D"/>
    <w:rPr>
      <w:rFonts w:ascii="Tahoma" w:hAnsi="Tahoma" w:cs="Mangal"/>
      <w:sz w:val="16"/>
      <w:szCs w:val="14"/>
    </w:rPr>
  </w:style>
  <w:style w:type="paragraph" w:customStyle="1" w:styleId="Default">
    <w:name w:val="Default"/>
    <w:rsid w:val="000A322D"/>
    <w:pPr>
      <w:autoSpaceDE w:val="0"/>
      <w:autoSpaceDN w:val="0"/>
      <w:adjustRightInd w:val="0"/>
      <w:spacing w:after="0" w:line="240" w:lineRule="auto"/>
    </w:pPr>
    <w:rPr>
      <w:rFonts w:ascii="Times New Roman" w:hAnsi="Times New Roman" w:cs="Times New Roman"/>
      <w:color w:val="000000"/>
      <w:sz w:val="24"/>
      <w:szCs w:val="24"/>
    </w:rPr>
  </w:style>
  <w:style w:type="paragraph" w:styleId="Luettelokappale">
    <w:name w:val="List Paragraph"/>
    <w:basedOn w:val="Normaali"/>
    <w:uiPriority w:val="34"/>
    <w:qFormat/>
    <w:rsid w:val="00BA0D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fi-FI" w:eastAsia="ja-JP"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0A322D"/>
    <w:pPr>
      <w:tabs>
        <w:tab w:val="center" w:pos="4819"/>
        <w:tab w:val="right" w:pos="9638"/>
      </w:tabs>
      <w:spacing w:after="0" w:line="240" w:lineRule="auto"/>
    </w:pPr>
  </w:style>
  <w:style w:type="character" w:customStyle="1" w:styleId="YltunnisteChar">
    <w:name w:val="Ylätunniste Char"/>
    <w:basedOn w:val="Kappaleenoletusfontti"/>
    <w:link w:val="Yltunniste"/>
    <w:rsid w:val="000A322D"/>
  </w:style>
  <w:style w:type="paragraph" w:styleId="Alatunniste">
    <w:name w:val="footer"/>
    <w:basedOn w:val="Normaali"/>
    <w:link w:val="AlatunnisteChar"/>
    <w:uiPriority w:val="99"/>
    <w:unhideWhenUsed/>
    <w:rsid w:val="000A322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A322D"/>
  </w:style>
  <w:style w:type="paragraph" w:styleId="Seliteteksti">
    <w:name w:val="Balloon Text"/>
    <w:basedOn w:val="Normaali"/>
    <w:link w:val="SelitetekstiChar"/>
    <w:uiPriority w:val="99"/>
    <w:semiHidden/>
    <w:unhideWhenUsed/>
    <w:rsid w:val="000A322D"/>
    <w:pPr>
      <w:spacing w:after="0" w:line="240" w:lineRule="auto"/>
    </w:pPr>
    <w:rPr>
      <w:rFonts w:ascii="Tahoma" w:hAnsi="Tahoma" w:cs="Mangal"/>
      <w:sz w:val="16"/>
      <w:szCs w:val="14"/>
    </w:rPr>
  </w:style>
  <w:style w:type="character" w:customStyle="1" w:styleId="SelitetekstiChar">
    <w:name w:val="Seliteteksti Char"/>
    <w:basedOn w:val="Kappaleenoletusfontti"/>
    <w:link w:val="Seliteteksti"/>
    <w:uiPriority w:val="99"/>
    <w:semiHidden/>
    <w:rsid w:val="000A322D"/>
    <w:rPr>
      <w:rFonts w:ascii="Tahoma" w:hAnsi="Tahoma" w:cs="Mangal"/>
      <w:sz w:val="16"/>
      <w:szCs w:val="14"/>
    </w:rPr>
  </w:style>
  <w:style w:type="paragraph" w:customStyle="1" w:styleId="Default">
    <w:name w:val="Default"/>
    <w:rsid w:val="000A322D"/>
    <w:pPr>
      <w:autoSpaceDE w:val="0"/>
      <w:autoSpaceDN w:val="0"/>
      <w:adjustRightInd w:val="0"/>
      <w:spacing w:after="0" w:line="240" w:lineRule="auto"/>
    </w:pPr>
    <w:rPr>
      <w:rFonts w:ascii="Times New Roman" w:hAnsi="Times New Roman" w:cs="Times New Roman"/>
      <w:color w:val="000000"/>
      <w:sz w:val="24"/>
      <w:szCs w:val="24"/>
    </w:rPr>
  </w:style>
  <w:style w:type="paragraph" w:styleId="Luettelokappale">
    <w:name w:val="List Paragraph"/>
    <w:basedOn w:val="Normaali"/>
    <w:uiPriority w:val="34"/>
    <w:qFormat/>
    <w:rsid w:val="00BA0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5308</Characters>
  <Application>Microsoft Office Word</Application>
  <DocSecurity>0</DocSecurity>
  <Lines>44</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Nordea</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Terämaa, Jyri</dc:creator>
  <cp:lastModifiedBy>Rosbäck Sonja</cp:lastModifiedBy>
  <cp:revision>2</cp:revision>
  <dcterms:created xsi:type="dcterms:W3CDTF">2014-11-13T14:00:00Z</dcterms:created>
  <dcterms:modified xsi:type="dcterms:W3CDTF">2014-11-13T14:00:00Z</dcterms:modified>
</cp:coreProperties>
</file>