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E4" w:rsidRDefault="00D31EE4" w:rsidP="00D31EE4">
      <w:pPr>
        <w:spacing w:after="0" w:line="192" w:lineRule="atLeast"/>
        <w:rPr>
          <w:rFonts w:ascii="Arial" w:eastAsia="Times New Roman" w:hAnsi="Arial" w:cs="Arial"/>
          <w:b/>
          <w:color w:val="222222"/>
          <w:lang w:eastAsia="fi-FI"/>
        </w:rPr>
      </w:pPr>
      <w:r w:rsidRPr="00D31EE4">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t xml:space="preserve">  </w:t>
      </w:r>
      <w:r w:rsidRPr="00D31EE4">
        <w:rPr>
          <w:rFonts w:ascii="Arial" w:eastAsia="Times New Roman" w:hAnsi="Arial" w:cs="Arial"/>
          <w:b/>
          <w:color w:val="222222"/>
          <w:lang w:eastAsia="fi-FI"/>
        </w:rPr>
        <w:t>LAUSUNTO 4/2005</w:t>
      </w:r>
      <w:r>
        <w:rPr>
          <w:rFonts w:ascii="Arial" w:eastAsia="Times New Roman" w:hAnsi="Arial" w:cs="Arial"/>
          <w:b/>
          <w:color w:val="222222"/>
          <w:lang w:eastAsia="fi-FI"/>
        </w:rPr>
        <w:tab/>
        <w:t>Osaratkaisu Julkinen</w:t>
      </w:r>
    </w:p>
    <w:p w:rsidR="00D31EE4" w:rsidRDefault="00D31EE4" w:rsidP="00D31EE4">
      <w:pPr>
        <w:spacing w:after="0" w:line="192" w:lineRule="atLeast"/>
        <w:rPr>
          <w:rFonts w:ascii="Arial" w:eastAsia="Times New Roman" w:hAnsi="Arial" w:cs="Arial"/>
          <w:b/>
          <w:color w:val="222222"/>
          <w:lang w:eastAsia="fi-FI"/>
        </w:rPr>
      </w:pPr>
    </w:p>
    <w:p w:rsidR="00D31EE4" w:rsidRPr="00D31EE4" w:rsidRDefault="00D31EE4" w:rsidP="00D31EE4">
      <w:pPr>
        <w:spacing w:after="0" w:line="192" w:lineRule="atLeast"/>
        <w:rPr>
          <w:rFonts w:ascii="Arial" w:eastAsia="Times New Roman" w:hAnsi="Arial" w:cs="Arial"/>
          <w:b/>
          <w:color w:val="222222"/>
          <w:lang w:eastAsia="fi-FI"/>
        </w:rPr>
      </w:pPr>
    </w:p>
    <w:p w:rsidR="00D31EE4" w:rsidRPr="00D31EE4" w:rsidRDefault="00D31EE4" w:rsidP="00D31EE4">
      <w:pPr>
        <w:spacing w:after="0" w:line="192" w:lineRule="atLeast"/>
        <w:rPr>
          <w:rFonts w:ascii="Arial" w:eastAsia="Times New Roman" w:hAnsi="Arial" w:cs="Arial"/>
          <w:color w:val="222222"/>
          <w:lang w:eastAsia="fi-FI"/>
        </w:rPr>
      </w:pPr>
      <w:r w:rsidRPr="00D31EE4">
        <w:rPr>
          <w:rFonts w:ascii="Arial" w:eastAsia="Times New Roman" w:hAnsi="Arial" w:cs="Arial"/>
          <w:color w:val="222222"/>
          <w:lang w:eastAsia="fi-FI"/>
        </w:rPr>
        <w:t>Hakija</w:t>
      </w:r>
      <w:r>
        <w:rPr>
          <w:rFonts w:ascii="Arial" w:eastAsia="Times New Roman" w:hAnsi="Arial" w:cs="Arial"/>
          <w:color w:val="222222"/>
          <w:lang w:eastAsia="fi-FI"/>
        </w:rPr>
        <w:tab/>
      </w:r>
      <w:r w:rsidRPr="00D31EE4">
        <w:rPr>
          <w:rFonts w:ascii="Arial" w:eastAsia="Times New Roman" w:hAnsi="Arial" w:cs="Arial"/>
          <w:color w:val="222222"/>
          <w:lang w:eastAsia="fi-FI"/>
        </w:rPr>
        <w:t xml:space="preserve">A </w:t>
      </w:r>
    </w:p>
    <w:p w:rsidR="00D31EE4" w:rsidRPr="00D31EE4" w:rsidRDefault="00D31EE4" w:rsidP="00D31EE4">
      <w:pPr>
        <w:spacing w:after="0" w:line="192" w:lineRule="atLeast"/>
        <w:rPr>
          <w:rFonts w:ascii="Arial" w:eastAsia="Times New Roman" w:hAnsi="Arial" w:cs="Arial"/>
          <w:color w:val="222222"/>
          <w:lang w:eastAsia="fi-FI"/>
        </w:rPr>
      </w:pPr>
      <w:r w:rsidRPr="00D31EE4">
        <w:rPr>
          <w:rFonts w:ascii="Arial" w:eastAsia="Times New Roman" w:hAnsi="Arial" w:cs="Arial"/>
          <w:color w:val="222222"/>
          <w:lang w:eastAsia="fi-FI"/>
        </w:rPr>
        <w:t>Vastapuoli</w:t>
      </w:r>
      <w:r>
        <w:rPr>
          <w:rFonts w:ascii="Arial" w:eastAsia="Times New Roman" w:hAnsi="Arial" w:cs="Arial"/>
          <w:color w:val="222222"/>
          <w:lang w:eastAsia="fi-FI"/>
        </w:rPr>
        <w:tab/>
      </w:r>
      <w:r w:rsidRPr="00D31EE4">
        <w:rPr>
          <w:rFonts w:ascii="Arial" w:eastAsia="Times New Roman" w:hAnsi="Arial" w:cs="Arial"/>
          <w:color w:val="222222"/>
          <w:lang w:eastAsia="fi-FI"/>
        </w:rPr>
        <w:t xml:space="preserve">B </w:t>
      </w:r>
    </w:p>
    <w:p w:rsidR="00D31EE4" w:rsidRPr="00D31EE4" w:rsidRDefault="00D31EE4" w:rsidP="00D31EE4">
      <w:pPr>
        <w:spacing w:after="0" w:line="192" w:lineRule="atLeast"/>
        <w:rPr>
          <w:rFonts w:ascii="Arial" w:eastAsia="Times New Roman" w:hAnsi="Arial" w:cs="Arial"/>
          <w:color w:val="222222"/>
          <w:lang w:eastAsia="fi-FI"/>
        </w:rPr>
      </w:pPr>
      <w:r w:rsidRPr="00D31EE4">
        <w:rPr>
          <w:rFonts w:ascii="Arial" w:eastAsia="Times New Roman" w:hAnsi="Arial" w:cs="Arial"/>
          <w:color w:val="222222"/>
          <w:lang w:eastAsia="fi-FI"/>
        </w:rPr>
        <w:t>Asia</w:t>
      </w:r>
      <w:r>
        <w:rPr>
          <w:rFonts w:ascii="Arial" w:eastAsia="Times New Roman" w:hAnsi="Arial" w:cs="Arial"/>
          <w:color w:val="222222"/>
          <w:lang w:eastAsia="fi-FI"/>
        </w:rPr>
        <w:tab/>
      </w:r>
      <w:r w:rsidRPr="00D31EE4">
        <w:rPr>
          <w:rFonts w:ascii="Arial" w:eastAsia="Times New Roman" w:hAnsi="Arial" w:cs="Arial"/>
          <w:color w:val="222222"/>
          <w:lang w:eastAsia="fi-FI"/>
        </w:rPr>
        <w:t xml:space="preserve">Kohtuullinen korvaus, vanhentuminen  </w:t>
      </w:r>
    </w:p>
    <w:p w:rsidR="00D31EE4" w:rsidRPr="00D31EE4" w:rsidRDefault="00D31EE4" w:rsidP="00D31EE4">
      <w:pPr>
        <w:spacing w:after="0" w:line="192" w:lineRule="atLeast"/>
        <w:rPr>
          <w:rFonts w:ascii="Arial" w:eastAsia="Times New Roman" w:hAnsi="Arial" w:cs="Arial"/>
          <w:color w:val="222222"/>
          <w:lang w:eastAsia="fi-FI"/>
        </w:rPr>
      </w:pPr>
      <w:r w:rsidRPr="00D31EE4">
        <w:rPr>
          <w:rFonts w:ascii="Arial" w:eastAsia="Times New Roman" w:hAnsi="Arial" w:cs="Arial"/>
          <w:color w:val="222222"/>
          <w:lang w:eastAsia="fi-FI"/>
        </w:rPr>
        <w:t>Vireille</w:t>
      </w:r>
      <w:r>
        <w:rPr>
          <w:rFonts w:ascii="Arial" w:eastAsia="Times New Roman" w:hAnsi="Arial" w:cs="Arial"/>
          <w:color w:val="222222"/>
          <w:lang w:eastAsia="fi-FI"/>
        </w:rPr>
        <w:tab/>
      </w:r>
      <w:r w:rsidRPr="00D31EE4">
        <w:rPr>
          <w:rFonts w:ascii="Arial" w:eastAsia="Times New Roman" w:hAnsi="Arial" w:cs="Arial"/>
          <w:color w:val="222222"/>
          <w:lang w:eastAsia="fi-FI"/>
        </w:rPr>
        <w:t>12.7.2004</w:t>
      </w:r>
    </w:p>
    <w:p w:rsidR="00D31EE4" w:rsidRPr="00D31EE4" w:rsidRDefault="00D31EE4" w:rsidP="00D31EE4">
      <w:pPr>
        <w:spacing w:after="0" w:line="192" w:lineRule="atLeast"/>
        <w:rPr>
          <w:rFonts w:ascii="Arial" w:eastAsia="Times New Roman" w:hAnsi="Arial" w:cs="Arial"/>
          <w:color w:val="222222"/>
          <w:lang w:eastAsia="fi-FI"/>
        </w:rPr>
      </w:pPr>
      <w:proofErr w:type="gramStart"/>
      <w:r w:rsidRPr="00D31EE4">
        <w:rPr>
          <w:rFonts w:ascii="Arial" w:eastAsia="Times New Roman" w:hAnsi="Arial" w:cs="Arial"/>
          <w:color w:val="222222"/>
          <w:lang w:eastAsia="fi-FI"/>
        </w:rPr>
        <w:t>Annettu</w:t>
      </w:r>
      <w:r>
        <w:rPr>
          <w:rFonts w:ascii="Arial" w:eastAsia="Times New Roman" w:hAnsi="Arial" w:cs="Arial"/>
          <w:color w:val="222222"/>
          <w:lang w:eastAsia="fi-FI"/>
        </w:rPr>
        <w:tab/>
      </w:r>
      <w:r w:rsidRPr="00D31EE4">
        <w:rPr>
          <w:rFonts w:ascii="Arial" w:eastAsia="Times New Roman" w:hAnsi="Arial" w:cs="Arial"/>
          <w:color w:val="222222"/>
          <w:lang w:eastAsia="fi-FI"/>
        </w:rPr>
        <w:t>19.9.2005</w:t>
      </w:r>
      <w:proofErr w:type="gramEnd"/>
    </w:p>
    <w:p w:rsidR="00D31EE4" w:rsidRDefault="00D31EE4" w:rsidP="00D31EE4">
      <w:pPr>
        <w:spacing w:after="0" w:line="192" w:lineRule="atLeast"/>
        <w:rPr>
          <w:rFonts w:ascii="Arial" w:eastAsia="Times New Roman" w:hAnsi="Arial" w:cs="Arial"/>
          <w:color w:val="222222"/>
          <w:lang w:eastAsia="fi-FI"/>
        </w:rPr>
      </w:pPr>
    </w:p>
    <w:p w:rsidR="00D31EE4" w:rsidRDefault="00D31EE4" w:rsidP="00D31EE4">
      <w:pPr>
        <w:spacing w:after="0" w:line="192" w:lineRule="atLeast"/>
        <w:rPr>
          <w:rFonts w:ascii="Arial" w:eastAsia="Times New Roman" w:hAnsi="Arial" w:cs="Arial"/>
          <w:color w:val="222222"/>
          <w:lang w:eastAsia="fi-FI"/>
        </w:rPr>
      </w:pPr>
    </w:p>
    <w:p w:rsidR="00D31EE4" w:rsidRDefault="00D31EE4" w:rsidP="00D31EE4">
      <w:pPr>
        <w:spacing w:after="0" w:line="192" w:lineRule="atLeast"/>
        <w:rPr>
          <w:rFonts w:ascii="Arial" w:eastAsia="Times New Roman" w:hAnsi="Arial" w:cs="Arial"/>
          <w:color w:val="222222"/>
          <w:lang w:eastAsia="fi-FI"/>
        </w:rPr>
      </w:pPr>
      <w:r w:rsidRPr="00D31EE4">
        <w:rPr>
          <w:rFonts w:ascii="Arial" w:eastAsia="Times New Roman" w:hAnsi="Arial" w:cs="Arial"/>
          <w:color w:val="222222"/>
          <w:lang w:eastAsia="fi-FI"/>
        </w:rPr>
        <w:t>SELOSTUS ASIASTA</w:t>
      </w:r>
    </w:p>
    <w:p w:rsidR="00D31EE4" w:rsidRPr="00D31EE4" w:rsidRDefault="00D31EE4" w:rsidP="00D31EE4">
      <w:pPr>
        <w:spacing w:after="0" w:line="192" w:lineRule="atLeast"/>
        <w:rPr>
          <w:rFonts w:ascii="Arial" w:eastAsia="Times New Roman" w:hAnsi="Arial" w:cs="Arial"/>
          <w:color w:val="222222"/>
          <w:lang w:eastAsia="fi-FI"/>
        </w:rPr>
      </w:pPr>
    </w:p>
    <w:p w:rsid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A on tehnyt B:n palveluksessa ollessaan menetelmää koskevan keksinnön.  B on ottanut kaikki oikeudet keksintöön ja hakenut sille patenttia. Patentti- ja rekisterihallituksen patenttirekisterin otteen mukaan keksinnölle on myönnetty patentti.</w:t>
      </w: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Default="00D31EE4" w:rsidP="00D31EE4">
      <w:pPr>
        <w:spacing w:after="24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D31EE4" w:rsidRPr="00D31EE4" w:rsidRDefault="00D31EE4" w:rsidP="00D31EE4">
      <w:pPr>
        <w:spacing w:after="24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A on pyytänyt työsuhdekeksintölautakunnalta lausuntoa muun muassa keksinnön perusteella suoritettavasta kohtuullisen korvauksen määrästä ja on lausuntopyyntöönsä liittyen pyytänyt työsuhdekeksintölautakunnalta kannanottoa työsuhdekeksintölain 7 §:n 3 momentissa tarkoitetun kanneoikeude</w:t>
      </w:r>
      <w:r>
        <w:rPr>
          <w:rFonts w:ascii="Arial" w:eastAsia="Times New Roman" w:hAnsi="Arial" w:cs="Arial"/>
          <w:color w:val="222222"/>
          <w:lang w:eastAsia="fi-FI"/>
        </w:rPr>
        <w:t>n vanhentumisen ajankohdasta.</w:t>
      </w:r>
    </w:p>
    <w:p w:rsidR="00D31EE4" w:rsidRDefault="00D31EE4" w:rsidP="00D31EE4">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D31EE4" w:rsidRDefault="00D31EE4" w:rsidP="00D31EE4">
      <w:pPr>
        <w:spacing w:after="0" w:line="192" w:lineRule="atLeast"/>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Työsuhdekeksintölautakunta on pyytänyt B:ltä vastauksen lausuntopyynnön johdosta. B on vastauksessaan muun ohella vaatinut, että lausuntopyyntö jätetään tutkimatta siltä osin kuin A on pyytänyt työsuhdekeksintölautakunnalta kannanottoa kanneoikeuden vanhentumisen ajankohdasta. Vaatimustaan B on perustellut sillä, ettei lautakunnan toimivaltaan kuulu periaatteellisten tulkintakysymysten ratkaiseminen taikka lausuminen sopimusoikeudellisista tulkinnoista ja että lausunnon antaminen edellyttää konkreettisen erimielisyyden vireilläoloa k</w:t>
      </w:r>
      <w:r>
        <w:rPr>
          <w:rFonts w:ascii="Arial" w:eastAsia="Times New Roman" w:hAnsi="Arial" w:cs="Arial"/>
          <w:color w:val="222222"/>
          <w:lang w:eastAsia="fi-FI"/>
        </w:rPr>
        <w:t>eksijän ja työnantajan välillä.</w:t>
      </w:r>
    </w:p>
    <w:p w:rsidR="00D31EE4" w:rsidRPr="00D31EE4" w:rsidRDefault="00D31EE4" w:rsidP="00D31EE4">
      <w:pPr>
        <w:spacing w:after="0" w:line="192" w:lineRule="atLeast"/>
        <w:rPr>
          <w:rFonts w:ascii="Arial" w:eastAsia="Times New Roman" w:hAnsi="Arial" w:cs="Arial"/>
          <w:color w:val="222222"/>
          <w:lang w:eastAsia="fi-FI"/>
        </w:rPr>
      </w:pPr>
    </w:p>
    <w:p w:rsidR="00D31EE4" w:rsidRDefault="00D31EE4" w:rsidP="00D31EE4">
      <w:pPr>
        <w:spacing w:after="0" w:line="192" w:lineRule="atLeast"/>
        <w:rPr>
          <w:rFonts w:ascii="Arial" w:eastAsia="Times New Roman" w:hAnsi="Arial" w:cs="Arial"/>
          <w:color w:val="222222"/>
          <w:lang w:eastAsia="fi-FI"/>
        </w:rPr>
      </w:pPr>
      <w:r w:rsidRPr="00D31EE4">
        <w:rPr>
          <w:rFonts w:ascii="Arial" w:eastAsia="Times New Roman" w:hAnsi="Arial" w:cs="Arial"/>
          <w:color w:val="222222"/>
          <w:lang w:eastAsia="fi-FI"/>
        </w:rPr>
        <w:t>TYÖSUHDEKEKSINTÖLAUTAKUNNAN LAUSUNTO</w:t>
      </w:r>
    </w:p>
    <w:p w:rsidR="00D31EE4" w:rsidRPr="00D31EE4" w:rsidRDefault="00D31EE4" w:rsidP="00D31EE4">
      <w:pPr>
        <w:spacing w:after="0" w:line="192" w:lineRule="atLeast"/>
        <w:rPr>
          <w:rFonts w:ascii="Arial" w:eastAsia="Times New Roman" w:hAnsi="Arial" w:cs="Arial"/>
          <w:color w:val="222222"/>
          <w:lang w:eastAsia="fi-FI"/>
        </w:rPr>
      </w:pPr>
    </w:p>
    <w:p w:rsid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Kysymys työsuhdekeksintölain 7 §:n 3 momentissa tarkoitetun kanneajan vanhentumisesta koskee työsuhdekeksintölain soveltamista ja liittyy A:n tekemää keksintöä, johon B on ottanut oikeudet työsuhdekeksintölain nojalla, koskevaan A:n ja B:n väliseen riitaan kohtuullisesta korvauksesta. Työsuhdekeksintölautakunta on näin ollen toimivaltainen antamaan lausunnon kanneoikeuden vanhentumisesta.  Työsuhdekeksintölautakunta antaa tässä vaiheessa lausuntonsa ainoastaan edellä sanotusta kanneajasta. Muilta osin asian käsi</w:t>
      </w:r>
      <w:r>
        <w:rPr>
          <w:rFonts w:ascii="Arial" w:eastAsia="Times New Roman" w:hAnsi="Arial" w:cs="Arial"/>
          <w:color w:val="222222"/>
          <w:lang w:eastAsia="fi-FI"/>
        </w:rPr>
        <w:t>ttelyä jatketaan lautakunnassa.</w:t>
      </w: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Työsuhdekeksintölain 7 §:n 3 momentin mukaan jollei korvauskannetta ole pantu vireille kymmenen vuoden kuluessa siitä, kun työnantaja on ilmoittanut ottavansa oikeuden keksintöön, kanneoikeus on menetetty. Milloin keksintöön on haettu patenttia, kanne voidaan kuitenkin aina panna vireille vuoden kuluessa patentin myöntämisestä (L 10.6.1988/526).</w:t>
      </w: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Keksinnölle on myönnetty työsuhdekeksintölautakunnan lausunnosta 4/2005 ilmenevänä päivänä vuonna 2004 patentti. A voi siten työsuhdekeksintölain 7 §:n 3 momentin nojalla panna vireille kanteen vuoden kuluessa sanotusta päivästä.</w:t>
      </w: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 xml:space="preserve">Edellä sanotun työsuhdekeksintölain 7 §:n 3 momentin erityissäännöksen ohella kanneoikeuden vanhentumista arvioitaessa on otettava huomioon vanhentumista koskevana yleislakina 1.1.2004 voimaan tullut laki velan vanhentumisesta (15.8.2003/728). Vanhentumislain 2 §:ssä säädetään vanhentumislain suhteesta erityislakien vanhentumista koskeviin säännöksiin. Pykälän 1 momentin nojalla vanhentumislakia sovelletaan täydentävänä säännöksenä erityissäännöksen ohella. Lain esitöiden mukaan vanhentumislain säännökset tulevat sovellettaviksi siltä osin, kuin erityislaissa ei ole nimenomaisesti säädetty toisin. Useissa erityislaeissa onkin vain todettu, missä ajassa velka vanhentuu. Tällöin vanhentumislain säännökset määräävät muun muassa sen, millä tavoin vanhentuminen voidaan katkaista ja mitkä ovat katkaisemisen ja vanhentumisen oikeusvaikutukset (HE 187/2002 </w:t>
      </w:r>
      <w:proofErr w:type="spellStart"/>
      <w:r w:rsidRPr="00D31EE4">
        <w:rPr>
          <w:rFonts w:ascii="Arial" w:eastAsia="Times New Roman" w:hAnsi="Arial" w:cs="Arial"/>
          <w:color w:val="222222"/>
          <w:lang w:eastAsia="fi-FI"/>
        </w:rPr>
        <w:t>vp</w:t>
      </w:r>
      <w:proofErr w:type="spellEnd"/>
      <w:r w:rsidRPr="00D31EE4">
        <w:rPr>
          <w:rFonts w:ascii="Arial" w:eastAsia="Times New Roman" w:hAnsi="Arial" w:cs="Arial"/>
          <w:color w:val="222222"/>
          <w:lang w:eastAsia="fi-FI"/>
        </w:rPr>
        <w:t xml:space="preserve">., s. </w:t>
      </w:r>
      <w:proofErr w:type="gramStart"/>
      <w:r w:rsidRPr="00D31EE4">
        <w:rPr>
          <w:rFonts w:ascii="Arial" w:eastAsia="Times New Roman" w:hAnsi="Arial" w:cs="Arial"/>
          <w:color w:val="222222"/>
          <w:lang w:eastAsia="fi-FI"/>
        </w:rPr>
        <w:t>39-40</w:t>
      </w:r>
      <w:proofErr w:type="gramEnd"/>
      <w:r w:rsidRPr="00D31EE4">
        <w:rPr>
          <w:rFonts w:ascii="Arial" w:eastAsia="Times New Roman" w:hAnsi="Arial" w:cs="Arial"/>
          <w:color w:val="222222"/>
          <w:lang w:eastAsia="fi-FI"/>
        </w:rPr>
        <w:t>).</w:t>
      </w: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 xml:space="preserve">Vanhentumislain 2 §:n </w:t>
      </w:r>
      <w:proofErr w:type="gramStart"/>
      <w:r w:rsidRPr="00D31EE4">
        <w:rPr>
          <w:rFonts w:ascii="Arial" w:eastAsia="Times New Roman" w:hAnsi="Arial" w:cs="Arial"/>
          <w:color w:val="222222"/>
          <w:lang w:eastAsia="fi-FI"/>
        </w:rPr>
        <w:t>3  momentin</w:t>
      </w:r>
      <w:proofErr w:type="gramEnd"/>
      <w:r w:rsidRPr="00D31EE4">
        <w:rPr>
          <w:rFonts w:ascii="Arial" w:eastAsia="Times New Roman" w:hAnsi="Arial" w:cs="Arial"/>
          <w:color w:val="222222"/>
          <w:lang w:eastAsia="fi-FI"/>
        </w:rPr>
        <w:t xml:space="preserve"> säännöksen nojalla sovellettaessa erityissäännöstä, jonka mukaan velkaa koskeva kanne on pantava vireille määräajassa, kanneaika voidaan kanteen vireillepanon lisäksi katkaista myös muilla vanhentumislain 11 §:ssä tarkoitetuilla oikeudellisilla katkaisutoimilla. </w:t>
      </w: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Vanhentumislain 11 §:n 1 momentin 1 kohdan mukaan velan vanhentuminen katkeaa niin kuin 2 momentissa säädetään, jos velkoja panee vireille saatavaa koskevan kanteen velallista vastaan tai esittää saatavaa koskevan vaatimuksen tuomioistuimessa, kuluttajavalituslautakunnassa tai laissa säädetyssä muussa toimielimessä tai menettelyssä, jossa voidaan antaa ratkaisu tai ratkaisusuositus. Pykälän 2 momentin mukaan kun 1 momentissa tarkoitettu asia tulee vireille, vanhentuminen keskeytyy menettelyn ajaksi.</w:t>
      </w: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proofErr w:type="gramStart"/>
      <w:r w:rsidRPr="00D31EE4">
        <w:rPr>
          <w:rFonts w:ascii="Arial" w:eastAsia="Times New Roman" w:hAnsi="Arial" w:cs="Arial"/>
          <w:color w:val="222222"/>
          <w:lang w:eastAsia="fi-FI"/>
        </w:rPr>
        <w:t>Pykälän esitöiden mukaan vanhentumisen katkaiseminen edellyttää, että velkoja ilmoittaa saatavansa taikka se muutoin otetaan huomioon 1 momentissa tarkoitetussa menettelyssä.</w:t>
      </w:r>
      <w:proofErr w:type="gramEnd"/>
      <w:r w:rsidRPr="00D31EE4">
        <w:rPr>
          <w:rFonts w:ascii="Arial" w:eastAsia="Times New Roman" w:hAnsi="Arial" w:cs="Arial"/>
          <w:color w:val="222222"/>
          <w:lang w:eastAsia="fi-FI"/>
        </w:rPr>
        <w:t xml:space="preserve"> Kuitenkin jo menettelyn aloittamisella on 2 momentin mukaan vaikutusta vanhentumisaikaan. Vanhentuminen nimittäin keskeytyy heti menettelyn alkaessa edellyttäen, että velkojan katkaisutoimi tehdään menettelyn aikana. Viranomaismenettelyn kestolla ei olisi vaikutusta, </w:t>
      </w:r>
      <w:proofErr w:type="gramStart"/>
      <w:r w:rsidRPr="00D31EE4">
        <w:rPr>
          <w:rFonts w:ascii="Arial" w:eastAsia="Times New Roman" w:hAnsi="Arial" w:cs="Arial"/>
          <w:color w:val="222222"/>
          <w:lang w:eastAsia="fi-FI"/>
        </w:rPr>
        <w:t>sillä  vanhentumisaika</w:t>
      </w:r>
      <w:proofErr w:type="gramEnd"/>
      <w:r w:rsidRPr="00D31EE4">
        <w:rPr>
          <w:rFonts w:ascii="Arial" w:eastAsia="Times New Roman" w:hAnsi="Arial" w:cs="Arial"/>
          <w:color w:val="222222"/>
          <w:lang w:eastAsia="fi-FI"/>
        </w:rPr>
        <w:t xml:space="preserve"> olisi keskeytyneenä koko menettelyn ja myös mahdollisen muutoksenhaun ajan. Menettelyn päättymisestä alkaa kulua uusi vanhentumisaika niin kuin 13 §:ssä ehdotetaan säädettäväksi. (HE 187/2002 </w:t>
      </w:r>
      <w:proofErr w:type="spellStart"/>
      <w:r w:rsidRPr="00D31EE4">
        <w:rPr>
          <w:rFonts w:ascii="Arial" w:eastAsia="Times New Roman" w:hAnsi="Arial" w:cs="Arial"/>
          <w:color w:val="222222"/>
          <w:lang w:eastAsia="fi-FI"/>
        </w:rPr>
        <w:t>vp</w:t>
      </w:r>
      <w:proofErr w:type="spellEnd"/>
      <w:r w:rsidRPr="00D31EE4">
        <w:rPr>
          <w:rFonts w:ascii="Arial" w:eastAsia="Times New Roman" w:hAnsi="Arial" w:cs="Arial"/>
          <w:color w:val="222222"/>
          <w:lang w:eastAsia="fi-FI"/>
        </w:rPr>
        <w:t>. s. 59 ja 61)</w:t>
      </w: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Työsuhdekeksintölautakunta on työsuhdekeksintölaissa asetettu lautakunta, jonka tehtävänä on antaa lausuntoja työsuhdekeksintölain soveltamista koskevissa asioissa. Työsuhdekeksintölautakunta on siten edellä sanotun 11 §:n 1 momentissa tarkoitettu toimielin ja 11 §:n säännös vanhentumisen katkaisemista tulee sovellettavaksi työsuhdekeksintölain 7 §:n 3 momentin ohella sitä täydentävänä säännöksenä.  Kohtuullista korvausta koskeva työsuhdekeksintölain 7 §:n 3 momentin mukainen kannemääräaika on näin ollen katkaistavissa siten, että työntekijä esittää kohtuullista korvausta koskevan vaatimuksen työnantajaa kohtaan työsuhdekeksintölautakunnalle osoitetulla lausuntopyynnöllä.</w:t>
      </w: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A on työsuhdekeksintölautakunnan lausunnossa 4/2005 ilmenevänä päivänä vuonna 2004 allekirjoitetulla lausuntopyynnöllä pyytänyt työsuhdekeksintölautakunnalta lausuntoa kohtuullisesta korvauksesta. Asia on tullut vireille A:n hakemuksen saavuttua lautakuntaan. Näin ollen työsuhdekeksintölain 7 §:n 3 momentissa tarkoitetun kanneoikeuden vanhentuminen on A:n lausuntopyynnön johdosta keskeytynyt asian lautakuntamenettelyn ajaksi vanhentumis</w:t>
      </w:r>
      <w:r>
        <w:rPr>
          <w:rFonts w:ascii="Arial" w:eastAsia="Times New Roman" w:hAnsi="Arial" w:cs="Arial"/>
          <w:color w:val="222222"/>
          <w:lang w:eastAsia="fi-FI"/>
        </w:rPr>
        <w:t>lain 11 §:n 2 momentin nojalla.</w:t>
      </w: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 xml:space="preserve">Vanhentumislain 11 §:n 2 momentin nojalla vanhentuminen katsotaan katkenneeksi sinä päivänä, jona lainvoimaiseksi tullut tuomio on annettu tai asian käsittely on </w:t>
      </w:r>
      <w:r w:rsidRPr="00D31EE4">
        <w:rPr>
          <w:rFonts w:ascii="Arial" w:eastAsia="Times New Roman" w:hAnsi="Arial" w:cs="Arial"/>
          <w:color w:val="222222"/>
          <w:lang w:eastAsia="fi-FI"/>
        </w:rPr>
        <w:lastRenderedPageBreak/>
        <w:t>muutoin päätt</w:t>
      </w:r>
      <w:r>
        <w:rPr>
          <w:rFonts w:ascii="Arial" w:eastAsia="Times New Roman" w:hAnsi="Arial" w:cs="Arial"/>
          <w:color w:val="222222"/>
          <w:lang w:eastAsia="fi-FI"/>
        </w:rPr>
        <w:t xml:space="preserve">ynyt. </w:t>
      </w:r>
      <w:r w:rsidRPr="00D31EE4">
        <w:rPr>
          <w:rFonts w:ascii="Arial" w:eastAsia="Times New Roman" w:hAnsi="Arial" w:cs="Arial"/>
          <w:color w:val="222222"/>
          <w:lang w:eastAsia="fi-FI"/>
        </w:rPr>
        <w:t>Työsuhdekeksintölautakunnassa käsiteltävien kohtuullista korvausta koskevien asioiden osalta tämä tarkoittaa, että kanneoikeuden vanhentuminen katkeaa sinä päivänä, kun työsuhdekeksintölautakunta antaa asiassa lausuntonsa. Tuosta ajankohdasta alkaa vanhentumislain 13 §:n nojalla kulua uusi entisen pituinen vanhentumisaika.</w:t>
      </w: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Työsuhdekeksintölautakunta katsoo näillä perusteilla, että A on katkaissut työsuhdekeksintölain 7 §:n 3 momentin mukaisen kannemääräajan saattamalla kohtuullista korvausta koskevan hakemuksen vireille lautakunnassa ja että hän ei siten menetä kanneoikeuttaan työsuhdekeksintölain 7 §:n 3 momentin nojalla. Sen sijaan siitä ajankohdasta, kun lautakunta antaa asiassa lausuntonsa, alkaa vanhentumislain 13 §:n nojalla kulua uusi entisen</w:t>
      </w:r>
      <w:r>
        <w:rPr>
          <w:rFonts w:ascii="Arial" w:eastAsia="Times New Roman" w:hAnsi="Arial" w:cs="Arial"/>
          <w:color w:val="222222"/>
          <w:lang w:eastAsia="fi-FI"/>
        </w:rPr>
        <w:t xml:space="preserve"> pituinen vanhentumisaika.</w:t>
      </w:r>
    </w:p>
    <w:p w:rsid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Antti Kuningas</w:t>
      </w:r>
      <w:r>
        <w:rPr>
          <w:rFonts w:ascii="Arial" w:eastAsia="Times New Roman" w:hAnsi="Arial" w:cs="Arial"/>
          <w:color w:val="222222"/>
          <w:lang w:eastAsia="fi-FI"/>
        </w:rPr>
        <w:tab/>
      </w:r>
      <w:r w:rsidRPr="00D31EE4">
        <w:rPr>
          <w:rFonts w:ascii="Arial" w:eastAsia="Times New Roman" w:hAnsi="Arial" w:cs="Arial"/>
          <w:color w:val="222222"/>
          <w:lang w:eastAsia="fi-FI"/>
        </w:rPr>
        <w:t>Katja Mäki</w:t>
      </w:r>
    </w:p>
    <w:p w:rsidR="00D31EE4" w:rsidRPr="00D31EE4" w:rsidRDefault="00D31EE4" w:rsidP="00D31EE4">
      <w:pPr>
        <w:spacing w:after="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puheenjohtaja</w:t>
      </w:r>
      <w:r>
        <w:rPr>
          <w:rFonts w:ascii="Arial" w:eastAsia="Times New Roman" w:hAnsi="Arial" w:cs="Arial"/>
          <w:color w:val="222222"/>
          <w:lang w:eastAsia="fi-FI"/>
        </w:rPr>
        <w:tab/>
      </w:r>
      <w:r w:rsidRPr="00D31EE4">
        <w:rPr>
          <w:rFonts w:ascii="Arial" w:eastAsia="Times New Roman" w:hAnsi="Arial" w:cs="Arial"/>
          <w:color w:val="222222"/>
          <w:lang w:eastAsia="fi-FI"/>
        </w:rPr>
        <w:t>sihteeri</w:t>
      </w:r>
    </w:p>
    <w:p w:rsid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0" w:line="192" w:lineRule="atLeast"/>
        <w:ind w:left="1304"/>
        <w:rPr>
          <w:rFonts w:ascii="Arial" w:eastAsia="Times New Roman" w:hAnsi="Arial" w:cs="Arial"/>
          <w:color w:val="222222"/>
          <w:lang w:eastAsia="fi-FI"/>
        </w:rPr>
      </w:pPr>
    </w:p>
    <w:p w:rsidR="00D31EE4" w:rsidRPr="00D31EE4" w:rsidRDefault="00D31EE4" w:rsidP="00D31EE4">
      <w:pPr>
        <w:spacing w:after="120" w:line="192" w:lineRule="atLeast"/>
        <w:ind w:left="1304"/>
        <w:rPr>
          <w:rFonts w:ascii="Arial" w:eastAsia="Times New Roman" w:hAnsi="Arial" w:cs="Arial"/>
          <w:color w:val="222222"/>
          <w:lang w:eastAsia="fi-FI"/>
        </w:rPr>
      </w:pPr>
      <w:r w:rsidRPr="00D31EE4">
        <w:rPr>
          <w:rFonts w:ascii="Arial" w:eastAsia="Times New Roman" w:hAnsi="Arial" w:cs="Arial"/>
          <w:color w:val="222222"/>
          <w:lang w:eastAsia="fi-FI"/>
        </w:rPr>
        <w:t xml:space="preserve">Asian ratkaisuun ovat </w:t>
      </w:r>
      <w:proofErr w:type="gramStart"/>
      <w:r w:rsidRPr="00D31EE4">
        <w:rPr>
          <w:rFonts w:ascii="Arial" w:eastAsia="Times New Roman" w:hAnsi="Arial" w:cs="Arial"/>
          <w:color w:val="222222"/>
          <w:lang w:eastAsia="fi-FI"/>
        </w:rPr>
        <w:t>osallistuneet :</w:t>
      </w:r>
      <w:proofErr w:type="gramEnd"/>
      <w:r w:rsidRPr="00D31EE4">
        <w:rPr>
          <w:rFonts w:ascii="Arial" w:eastAsia="Times New Roman" w:hAnsi="Arial" w:cs="Arial"/>
          <w:color w:val="222222"/>
          <w:lang w:eastAsia="fi-FI"/>
        </w:rPr>
        <w:t xml:space="preserve"> Tiina </w:t>
      </w:r>
      <w:proofErr w:type="spellStart"/>
      <w:r w:rsidRPr="00D31EE4">
        <w:rPr>
          <w:rFonts w:ascii="Arial" w:eastAsia="Times New Roman" w:hAnsi="Arial" w:cs="Arial"/>
          <w:color w:val="222222"/>
          <w:lang w:eastAsia="fi-FI"/>
        </w:rPr>
        <w:t>Aitlahti</w:t>
      </w:r>
      <w:proofErr w:type="spellEnd"/>
      <w:r w:rsidRPr="00D31EE4">
        <w:rPr>
          <w:rFonts w:ascii="Arial" w:eastAsia="Times New Roman" w:hAnsi="Arial" w:cs="Arial"/>
          <w:color w:val="222222"/>
          <w:lang w:eastAsia="fi-FI"/>
        </w:rPr>
        <w:t xml:space="preserve">, Pekka Hukkanen, Toivo Jalonen, Christina </w:t>
      </w:r>
      <w:proofErr w:type="spellStart"/>
      <w:r w:rsidRPr="00D31EE4">
        <w:rPr>
          <w:rFonts w:ascii="Arial" w:eastAsia="Times New Roman" w:hAnsi="Arial" w:cs="Arial"/>
          <w:color w:val="222222"/>
          <w:lang w:eastAsia="fi-FI"/>
        </w:rPr>
        <w:t>Karlia-Palomäki</w:t>
      </w:r>
      <w:proofErr w:type="spellEnd"/>
      <w:r w:rsidRPr="00D31EE4">
        <w:rPr>
          <w:rFonts w:ascii="Arial" w:eastAsia="Times New Roman" w:hAnsi="Arial" w:cs="Arial"/>
          <w:color w:val="222222"/>
          <w:lang w:eastAsia="fi-FI"/>
        </w:rPr>
        <w:t xml:space="preserve">, Eero Mantere, </w:t>
      </w:r>
      <w:proofErr w:type="spellStart"/>
      <w:r w:rsidRPr="00D31EE4">
        <w:rPr>
          <w:rFonts w:ascii="Arial" w:eastAsia="Times New Roman" w:hAnsi="Arial" w:cs="Arial"/>
          <w:color w:val="222222"/>
          <w:lang w:eastAsia="fi-FI"/>
        </w:rPr>
        <w:t>Arjo</w:t>
      </w:r>
      <w:proofErr w:type="spellEnd"/>
      <w:r w:rsidRPr="00D31EE4">
        <w:rPr>
          <w:rFonts w:ascii="Arial" w:eastAsia="Times New Roman" w:hAnsi="Arial" w:cs="Arial"/>
          <w:color w:val="222222"/>
          <w:lang w:eastAsia="fi-FI"/>
        </w:rPr>
        <w:t xml:space="preserve"> Suonperä ja Juha Teerimäki.</w:t>
      </w:r>
    </w:p>
    <w:p w:rsidR="00CF1014" w:rsidRPr="00D31EE4" w:rsidRDefault="00CF1014"/>
    <w:sectPr w:rsidR="00CF1014" w:rsidRPr="00D31EE4"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31EE4"/>
    <w:rsid w:val="0011357C"/>
    <w:rsid w:val="00133A46"/>
    <w:rsid w:val="00182C72"/>
    <w:rsid w:val="00295D61"/>
    <w:rsid w:val="002A37D6"/>
    <w:rsid w:val="00471D37"/>
    <w:rsid w:val="004D19F7"/>
    <w:rsid w:val="005B78DE"/>
    <w:rsid w:val="006D0AED"/>
    <w:rsid w:val="00727B7F"/>
    <w:rsid w:val="00BA65A7"/>
    <w:rsid w:val="00BE6FC1"/>
    <w:rsid w:val="00C424A7"/>
    <w:rsid w:val="00C9073F"/>
    <w:rsid w:val="00CD7E4F"/>
    <w:rsid w:val="00CE256E"/>
    <w:rsid w:val="00CF1014"/>
    <w:rsid w:val="00D31EE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532513">
      <w:bodyDiv w:val="1"/>
      <w:marLeft w:val="0"/>
      <w:marRight w:val="0"/>
      <w:marTop w:val="0"/>
      <w:marBottom w:val="0"/>
      <w:divBdr>
        <w:top w:val="none" w:sz="0" w:space="0" w:color="auto"/>
        <w:left w:val="none" w:sz="0" w:space="0" w:color="auto"/>
        <w:bottom w:val="none" w:sz="0" w:space="0" w:color="auto"/>
        <w:right w:val="none" w:sz="0" w:space="0" w:color="auto"/>
      </w:divBdr>
      <w:divsChild>
        <w:div w:id="1522162366">
          <w:marLeft w:val="120"/>
          <w:marRight w:val="120"/>
          <w:marTop w:val="0"/>
          <w:marBottom w:val="0"/>
          <w:divBdr>
            <w:top w:val="single" w:sz="24" w:space="12" w:color="0151BC"/>
            <w:left w:val="none" w:sz="0" w:space="0" w:color="auto"/>
            <w:bottom w:val="none" w:sz="0" w:space="0" w:color="auto"/>
            <w:right w:val="none" w:sz="0" w:space="0" w:color="auto"/>
          </w:divBdr>
          <w:divsChild>
            <w:div w:id="1355228869">
              <w:marLeft w:val="240"/>
              <w:marRight w:val="240"/>
              <w:marTop w:val="0"/>
              <w:marBottom w:val="120"/>
              <w:divBdr>
                <w:top w:val="none" w:sz="0" w:space="0" w:color="auto"/>
                <w:left w:val="none" w:sz="0" w:space="0" w:color="auto"/>
                <w:bottom w:val="none" w:sz="0" w:space="0" w:color="auto"/>
                <w:right w:val="none" w:sz="0" w:space="0" w:color="auto"/>
              </w:divBdr>
              <w:divsChild>
                <w:div w:id="521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6411</Characters>
  <Application>Microsoft Office Word</Application>
  <DocSecurity>0</DocSecurity>
  <Lines>53</Lines>
  <Paragraphs>14</Paragraphs>
  <ScaleCrop>false</ScaleCrop>
  <Company>VIP</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2016-10-20T10:00:00Z</dcterms:created>
  <dcterms:modified xsi:type="dcterms:W3CDTF">2016-10-20T10:03:00Z</dcterms:modified>
</cp:coreProperties>
</file>