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9" w:type="dxa"/>
        <w:tblLook w:val="01E0" w:firstRow="1" w:lastRow="1" w:firstColumn="1" w:lastColumn="1" w:noHBand="0" w:noVBand="0"/>
      </w:tblPr>
      <w:tblGrid>
        <w:gridCol w:w="5142"/>
        <w:gridCol w:w="2609"/>
        <w:gridCol w:w="1274"/>
        <w:gridCol w:w="1414"/>
      </w:tblGrid>
      <w:tr w:rsidR="00BB30CA" w:rsidRPr="00887F02" w:rsidTr="00887F02">
        <w:trPr>
          <w:cantSplit/>
          <w:trHeight w:hRule="exact" w:val="284"/>
        </w:trPr>
        <w:tc>
          <w:tcPr>
            <w:tcW w:w="5142" w:type="dxa"/>
            <w:shd w:val="clear" w:color="auto" w:fill="auto"/>
            <w:tcMar>
              <w:top w:w="0" w:type="dxa"/>
              <w:bottom w:w="0" w:type="dxa"/>
            </w:tcMar>
          </w:tcPr>
          <w:p w:rsidR="00BB30CA" w:rsidRPr="00887F02" w:rsidRDefault="008C1C77" w:rsidP="008C1C77">
            <w:bookmarkStart w:id="0" w:name="Teksti1"/>
            <w:r>
              <w:t>Ympäristöministeriö</w:t>
            </w:r>
            <w:bookmarkEnd w:id="0"/>
          </w:p>
        </w:tc>
        <w:tc>
          <w:tcPr>
            <w:tcW w:w="2609" w:type="dxa"/>
            <w:shd w:val="clear" w:color="auto" w:fill="auto"/>
            <w:tcMar>
              <w:top w:w="0" w:type="dxa"/>
              <w:bottom w:w="0" w:type="dxa"/>
            </w:tcMar>
          </w:tcPr>
          <w:p w:rsidR="00BB30CA" w:rsidRPr="00887F02" w:rsidRDefault="008C1C77" w:rsidP="008C1C77">
            <w:r>
              <w:t>Muistio</w:t>
            </w:r>
          </w:p>
        </w:tc>
        <w:tc>
          <w:tcPr>
            <w:tcW w:w="1274" w:type="dxa"/>
            <w:shd w:val="clear" w:color="auto" w:fill="auto"/>
            <w:tcMar>
              <w:top w:w="28" w:type="dxa"/>
              <w:bottom w:w="28" w:type="dxa"/>
            </w:tcMar>
          </w:tcPr>
          <w:p w:rsidR="00BB30CA" w:rsidRPr="00887F02" w:rsidRDefault="00BB30CA" w:rsidP="006E3970"/>
        </w:tc>
        <w:tc>
          <w:tcPr>
            <w:tcW w:w="1414" w:type="dxa"/>
            <w:shd w:val="clear" w:color="auto" w:fill="auto"/>
            <w:tcMar>
              <w:top w:w="0" w:type="dxa"/>
              <w:bottom w:w="0" w:type="dxa"/>
            </w:tcMar>
          </w:tcPr>
          <w:p w:rsidR="00BB30CA" w:rsidRPr="00887F02" w:rsidRDefault="00BB30CA" w:rsidP="00887F02">
            <w:pPr>
              <w:jc w:val="right"/>
            </w:pPr>
          </w:p>
        </w:tc>
      </w:tr>
      <w:tr w:rsidR="00BB30CA" w:rsidRPr="00887F02" w:rsidTr="00887F02">
        <w:trPr>
          <w:cantSplit/>
          <w:trHeight w:hRule="exact" w:val="284"/>
        </w:trPr>
        <w:tc>
          <w:tcPr>
            <w:tcW w:w="5142" w:type="dxa"/>
            <w:shd w:val="clear" w:color="auto" w:fill="auto"/>
            <w:tcMar>
              <w:top w:w="0" w:type="dxa"/>
              <w:bottom w:w="0" w:type="dxa"/>
            </w:tcMar>
          </w:tcPr>
          <w:p w:rsidR="00BB30CA" w:rsidRPr="00887F02" w:rsidRDefault="00BB30CA" w:rsidP="006E3970"/>
        </w:tc>
        <w:tc>
          <w:tcPr>
            <w:tcW w:w="2609" w:type="dxa"/>
            <w:shd w:val="clear" w:color="auto" w:fill="auto"/>
            <w:tcMar>
              <w:top w:w="0" w:type="dxa"/>
              <w:bottom w:w="0" w:type="dxa"/>
            </w:tcMar>
          </w:tcPr>
          <w:p w:rsidR="00BB30CA" w:rsidRPr="00887F02" w:rsidRDefault="008C1C77" w:rsidP="008C1C77">
            <w:r>
              <w:t>28.11.2017</w:t>
            </w:r>
          </w:p>
        </w:tc>
        <w:tc>
          <w:tcPr>
            <w:tcW w:w="2688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BB30CA" w:rsidRPr="00887F02" w:rsidRDefault="00BB30CA" w:rsidP="006E3970"/>
        </w:tc>
      </w:tr>
      <w:tr w:rsidR="007C51C2" w:rsidRPr="00887F02" w:rsidTr="00887F02">
        <w:trPr>
          <w:cantSplit/>
          <w:trHeight w:hRule="exact" w:val="284"/>
        </w:trPr>
        <w:tc>
          <w:tcPr>
            <w:tcW w:w="5142" w:type="dxa"/>
            <w:shd w:val="clear" w:color="auto" w:fill="auto"/>
            <w:tcMar>
              <w:top w:w="0" w:type="dxa"/>
              <w:bottom w:w="0" w:type="dxa"/>
            </w:tcMar>
          </w:tcPr>
          <w:p w:rsidR="007C51C2" w:rsidRPr="00887F02" w:rsidRDefault="007C51C2" w:rsidP="007C51C2"/>
        </w:tc>
        <w:tc>
          <w:tcPr>
            <w:tcW w:w="2609" w:type="dxa"/>
            <w:shd w:val="clear" w:color="auto" w:fill="auto"/>
            <w:tcMar>
              <w:top w:w="0" w:type="dxa"/>
              <w:bottom w:w="0" w:type="dxa"/>
            </w:tcMar>
          </w:tcPr>
          <w:p w:rsidR="007C51C2" w:rsidRDefault="007C51C2" w:rsidP="007C51C2">
            <w:pPr>
              <w:rPr>
                <w:rStyle w:val="akppaivays"/>
              </w:rPr>
            </w:pPr>
          </w:p>
        </w:tc>
        <w:tc>
          <w:tcPr>
            <w:tcW w:w="2688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7C51C2" w:rsidRDefault="007C51C2" w:rsidP="007C51C2">
            <w:pPr>
              <w:rPr>
                <w:rStyle w:val="akptunniste"/>
              </w:rPr>
            </w:pPr>
          </w:p>
        </w:tc>
      </w:tr>
      <w:tr w:rsidR="007C51C2" w:rsidRPr="00887F02" w:rsidTr="00887F02">
        <w:trPr>
          <w:cantSplit/>
          <w:trHeight w:hRule="exact" w:val="284"/>
        </w:trPr>
        <w:tc>
          <w:tcPr>
            <w:tcW w:w="5142" w:type="dxa"/>
            <w:shd w:val="clear" w:color="auto" w:fill="auto"/>
            <w:tcMar>
              <w:top w:w="0" w:type="dxa"/>
              <w:bottom w:w="0" w:type="dxa"/>
            </w:tcMar>
          </w:tcPr>
          <w:p w:rsidR="007C51C2" w:rsidRPr="00887F02" w:rsidRDefault="007C51C2" w:rsidP="007C51C2"/>
        </w:tc>
        <w:tc>
          <w:tcPr>
            <w:tcW w:w="2609" w:type="dxa"/>
            <w:shd w:val="clear" w:color="auto" w:fill="auto"/>
            <w:tcMar>
              <w:top w:w="0" w:type="dxa"/>
              <w:bottom w:w="0" w:type="dxa"/>
            </w:tcMar>
          </w:tcPr>
          <w:p w:rsidR="007C51C2" w:rsidRDefault="007C51C2" w:rsidP="007C51C2">
            <w:pPr>
              <w:rPr>
                <w:rStyle w:val="akppaivays"/>
              </w:rPr>
            </w:pPr>
          </w:p>
        </w:tc>
        <w:tc>
          <w:tcPr>
            <w:tcW w:w="2688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7C51C2" w:rsidRDefault="007C51C2" w:rsidP="007C51C2">
            <w:pPr>
              <w:rPr>
                <w:rStyle w:val="akptunniste"/>
              </w:rPr>
            </w:pPr>
          </w:p>
        </w:tc>
      </w:tr>
      <w:tr w:rsidR="007C51C2" w:rsidRPr="00887F02" w:rsidTr="00887F02">
        <w:trPr>
          <w:cantSplit/>
          <w:trHeight w:hRule="exact" w:val="284"/>
        </w:trPr>
        <w:tc>
          <w:tcPr>
            <w:tcW w:w="5142" w:type="dxa"/>
            <w:shd w:val="clear" w:color="auto" w:fill="auto"/>
            <w:tcMar>
              <w:top w:w="0" w:type="dxa"/>
              <w:bottom w:w="0" w:type="dxa"/>
            </w:tcMar>
          </w:tcPr>
          <w:p w:rsidR="007C51C2" w:rsidRPr="00887F02" w:rsidRDefault="007C51C2" w:rsidP="007C51C2"/>
        </w:tc>
        <w:tc>
          <w:tcPr>
            <w:tcW w:w="2609" w:type="dxa"/>
            <w:shd w:val="clear" w:color="auto" w:fill="auto"/>
            <w:tcMar>
              <w:top w:w="0" w:type="dxa"/>
              <w:bottom w:w="0" w:type="dxa"/>
            </w:tcMar>
          </w:tcPr>
          <w:p w:rsidR="007C51C2" w:rsidRDefault="007C51C2" w:rsidP="007C51C2">
            <w:pPr>
              <w:rPr>
                <w:rStyle w:val="akppaivays"/>
              </w:rPr>
            </w:pPr>
          </w:p>
        </w:tc>
        <w:tc>
          <w:tcPr>
            <w:tcW w:w="2688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7C51C2" w:rsidRDefault="007C51C2" w:rsidP="007C51C2">
            <w:pPr>
              <w:rPr>
                <w:rStyle w:val="akptunniste"/>
              </w:rPr>
            </w:pPr>
          </w:p>
        </w:tc>
      </w:tr>
      <w:tr w:rsidR="007C51C2" w:rsidRPr="00887F02" w:rsidTr="00887F02">
        <w:trPr>
          <w:cantSplit/>
          <w:trHeight w:val="448"/>
        </w:trPr>
        <w:tc>
          <w:tcPr>
            <w:tcW w:w="10439" w:type="dxa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7C51C2" w:rsidRPr="00887F02" w:rsidRDefault="007C51C2" w:rsidP="007C51C2"/>
        </w:tc>
      </w:tr>
    </w:tbl>
    <w:p w:rsidR="00A94930" w:rsidRDefault="00A94930" w:rsidP="00051A3D">
      <w:pPr>
        <w:pStyle w:val="Leipteksti"/>
      </w:pPr>
    </w:p>
    <w:tbl>
      <w:tblPr>
        <w:tblpPr w:leftFromText="141" w:rightFromText="141" w:horzAnchor="margin" w:tblpY="-702"/>
        <w:tblW w:w="10439" w:type="dxa"/>
        <w:tblLook w:val="01E0" w:firstRow="1" w:lastRow="1" w:firstColumn="1" w:lastColumn="1" w:noHBand="0" w:noVBand="0"/>
      </w:tblPr>
      <w:tblGrid>
        <w:gridCol w:w="1368"/>
        <w:gridCol w:w="3774"/>
        <w:gridCol w:w="2609"/>
        <w:gridCol w:w="1274"/>
        <w:gridCol w:w="1414"/>
      </w:tblGrid>
      <w:tr w:rsidR="00A94930" w:rsidTr="005316A3">
        <w:trPr>
          <w:cantSplit/>
          <w:trHeight w:hRule="exact" w:val="284"/>
        </w:trPr>
        <w:tc>
          <w:tcPr>
            <w:tcW w:w="5142" w:type="dxa"/>
            <w:gridSpan w:val="2"/>
          </w:tcPr>
          <w:p w:rsidR="00A94930" w:rsidRDefault="00A94930" w:rsidP="005316A3">
            <w:pPr>
              <w:pStyle w:val="akpylatunniste"/>
            </w:pPr>
          </w:p>
        </w:tc>
        <w:tc>
          <w:tcPr>
            <w:tcW w:w="2609" w:type="dxa"/>
            <w:vMerge w:val="restart"/>
            <w:hideMark/>
          </w:tcPr>
          <w:p w:rsidR="00A94930" w:rsidRPr="00C03F69" w:rsidRDefault="00A94930" w:rsidP="005316A3">
            <w:pPr>
              <w:rPr>
                <w:rStyle w:val="akpatyyppi"/>
                <w:b/>
                <w:lang w:eastAsia="en-US"/>
              </w:rPr>
            </w:pPr>
          </w:p>
        </w:tc>
        <w:tc>
          <w:tcPr>
            <w:tcW w:w="1274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94930" w:rsidRDefault="00A94930" w:rsidP="005316A3">
            <w:pPr>
              <w:pStyle w:val="akpylatunniste"/>
            </w:pPr>
            <w:r>
              <w:t xml:space="preserve"> </w:t>
            </w:r>
          </w:p>
        </w:tc>
        <w:tc>
          <w:tcPr>
            <w:tcW w:w="1414" w:type="dxa"/>
            <w:vMerge w:val="restart"/>
          </w:tcPr>
          <w:p w:rsidR="00A94930" w:rsidRDefault="00A94930" w:rsidP="005316A3">
            <w:pPr>
              <w:pStyle w:val="akpylatunniste"/>
            </w:pPr>
          </w:p>
        </w:tc>
      </w:tr>
      <w:tr w:rsidR="00A94930" w:rsidTr="005316A3">
        <w:trPr>
          <w:cantSplit/>
          <w:trHeight w:val="284"/>
        </w:trPr>
        <w:tc>
          <w:tcPr>
            <w:tcW w:w="5142" w:type="dxa"/>
            <w:gridSpan w:val="2"/>
            <w:hideMark/>
          </w:tcPr>
          <w:p w:rsidR="00A94930" w:rsidRDefault="00A94930" w:rsidP="005316A3">
            <w:pPr>
              <w:pStyle w:val="akpylatunniste"/>
            </w:pPr>
            <w: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A94930" w:rsidRDefault="00A94930" w:rsidP="005316A3">
            <w:pPr>
              <w:rPr>
                <w:rStyle w:val="akpatyyppi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4930" w:rsidRDefault="00A94930" w:rsidP="005316A3">
            <w:pPr>
              <w:rPr>
                <w:rFonts w:cs="Arial"/>
                <w:noProof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4930" w:rsidRDefault="00A94930" w:rsidP="005316A3">
            <w:pPr>
              <w:rPr>
                <w:rFonts w:cs="Arial"/>
                <w:noProof/>
                <w:lang w:eastAsia="en-US"/>
              </w:rPr>
            </w:pPr>
          </w:p>
        </w:tc>
      </w:tr>
      <w:tr w:rsidR="00A94930" w:rsidTr="005316A3">
        <w:trPr>
          <w:cantSplit/>
          <w:trHeight w:hRule="exact" w:val="284"/>
        </w:trPr>
        <w:tc>
          <w:tcPr>
            <w:tcW w:w="5142" w:type="dxa"/>
            <w:gridSpan w:val="2"/>
          </w:tcPr>
          <w:p w:rsidR="00A94930" w:rsidRDefault="00A94930" w:rsidP="005316A3">
            <w:pPr>
              <w:pStyle w:val="akpylatunniste"/>
            </w:pPr>
          </w:p>
        </w:tc>
        <w:tc>
          <w:tcPr>
            <w:tcW w:w="2609" w:type="dxa"/>
          </w:tcPr>
          <w:p w:rsidR="00A94930" w:rsidRDefault="00A94930" w:rsidP="005316A3">
            <w:pPr>
              <w:pStyle w:val="akpylatunniste"/>
            </w:pPr>
          </w:p>
        </w:tc>
        <w:tc>
          <w:tcPr>
            <w:tcW w:w="2688" w:type="dxa"/>
            <w:gridSpan w:val="2"/>
            <w:hideMark/>
          </w:tcPr>
          <w:p w:rsidR="00A94930" w:rsidRDefault="00A94930" w:rsidP="005316A3">
            <w:pPr>
              <w:pStyle w:val="akpylatunniste"/>
              <w:rPr>
                <w:rFonts w:cs="Arial"/>
              </w:rPr>
            </w:pPr>
            <w:r>
              <w:rPr>
                <w:rStyle w:val="akptunniste"/>
                <w:sz w:val="20"/>
              </w:rPr>
              <w:fldChar w:fldCharType="begin"/>
            </w:r>
            <w:r>
              <w:rPr>
                <w:rStyle w:val="akptunniste"/>
                <w:sz w:val="20"/>
              </w:rPr>
              <w:instrText xml:space="preserve"> DOCPROPERTY  tweb_doc_identifier  \* MERGEFORMAT </w:instrText>
            </w:r>
            <w:r>
              <w:rPr>
                <w:rStyle w:val="akptunniste"/>
                <w:sz w:val="20"/>
              </w:rPr>
              <w:fldChar w:fldCharType="end"/>
            </w:r>
          </w:p>
        </w:tc>
      </w:tr>
      <w:tr w:rsidR="00A94930" w:rsidTr="005316A3">
        <w:trPr>
          <w:cantSplit/>
          <w:trHeight w:hRule="exact" w:val="284"/>
        </w:trPr>
        <w:tc>
          <w:tcPr>
            <w:tcW w:w="5142" w:type="dxa"/>
            <w:gridSpan w:val="2"/>
          </w:tcPr>
          <w:p w:rsidR="00A94930" w:rsidRDefault="00A94930" w:rsidP="005316A3">
            <w:pPr>
              <w:pStyle w:val="akpylatunniste"/>
            </w:pPr>
          </w:p>
        </w:tc>
        <w:tc>
          <w:tcPr>
            <w:tcW w:w="2609" w:type="dxa"/>
            <w:hideMark/>
          </w:tcPr>
          <w:p w:rsidR="00A94930" w:rsidRDefault="00A94930" w:rsidP="005316A3">
            <w:pPr>
              <w:pStyle w:val="akpylatunniste"/>
            </w:pPr>
          </w:p>
        </w:tc>
        <w:tc>
          <w:tcPr>
            <w:tcW w:w="2688" w:type="dxa"/>
            <w:gridSpan w:val="2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94930" w:rsidRDefault="00A94930" w:rsidP="005316A3">
            <w:pPr>
              <w:pStyle w:val="akpylatunniste"/>
            </w:pPr>
            <w:r>
              <w:fldChar w:fldCharType="begin"/>
            </w:r>
            <w:r>
              <w:instrText xml:space="preserve"> DOCPROPERTY  tweb_doc_otherid  \* MERGEFORMAT </w:instrText>
            </w:r>
            <w:r>
              <w:fldChar w:fldCharType="end"/>
            </w:r>
          </w:p>
        </w:tc>
      </w:tr>
      <w:tr w:rsidR="00A94930" w:rsidTr="005316A3">
        <w:trPr>
          <w:cantSplit/>
          <w:trHeight w:hRule="exact" w:val="284"/>
        </w:trPr>
        <w:tc>
          <w:tcPr>
            <w:tcW w:w="1368" w:type="dxa"/>
          </w:tcPr>
          <w:p w:rsidR="00A94930" w:rsidRDefault="00A94930" w:rsidP="005316A3">
            <w:pPr>
              <w:pStyle w:val="akpylatunniste"/>
            </w:pPr>
          </w:p>
        </w:tc>
        <w:tc>
          <w:tcPr>
            <w:tcW w:w="377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94930" w:rsidRDefault="00A94930" w:rsidP="005316A3">
            <w:pPr>
              <w:pStyle w:val="AKPnormaali"/>
              <w:rPr>
                <w:rFonts w:cs="Arial"/>
                <w:sz w:val="20"/>
              </w:rPr>
            </w:pPr>
          </w:p>
          <w:p w:rsidR="00A94930" w:rsidRDefault="00A94930" w:rsidP="005316A3">
            <w:pPr>
              <w:pStyle w:val="akpylatunniste"/>
            </w:pPr>
          </w:p>
        </w:tc>
        <w:tc>
          <w:tcPr>
            <w:tcW w:w="2609" w:type="dxa"/>
          </w:tcPr>
          <w:p w:rsidR="00A94930" w:rsidRDefault="00A94930" w:rsidP="005316A3">
            <w:pPr>
              <w:pStyle w:val="akpylatunniste"/>
            </w:pPr>
          </w:p>
        </w:tc>
        <w:tc>
          <w:tcPr>
            <w:tcW w:w="2688" w:type="dxa"/>
            <w:gridSpan w:val="2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94930" w:rsidRDefault="00A94930" w:rsidP="005316A3">
            <w:pPr>
              <w:pStyle w:val="akpylatunniste"/>
            </w:pPr>
            <w:r>
              <w:fldChar w:fldCharType="begin"/>
            </w:r>
            <w:r>
              <w:instrText xml:space="preserve"> DOCPROPERTY  tweb_doc_publicationid  \* MERGEFORMAT </w:instrText>
            </w:r>
            <w:r>
              <w:fldChar w:fldCharType="end"/>
            </w:r>
            <w:r>
              <w:fldChar w:fldCharType="begin"/>
            </w:r>
            <w:r>
              <w:instrText xml:space="preserve"> DOCPROPERTY  tweb_doc_publicityclass  \* MERGEFORMAT </w:instrText>
            </w:r>
            <w:r>
              <w:fldChar w:fldCharType="end"/>
            </w:r>
          </w:p>
        </w:tc>
      </w:tr>
    </w:tbl>
    <w:p w:rsidR="00A94930" w:rsidRDefault="00A94930" w:rsidP="00A94930">
      <w:pPr>
        <w:rPr>
          <w:b/>
        </w:rPr>
      </w:pPr>
      <w:r>
        <w:rPr>
          <w:b/>
        </w:rPr>
        <w:t>Hallituksen esitys jätelain muuttamiseksi</w:t>
      </w:r>
    </w:p>
    <w:p w:rsidR="00A94930" w:rsidRDefault="00A94930" w:rsidP="00A94930">
      <w:pPr>
        <w:rPr>
          <w:b/>
        </w:rPr>
      </w:pPr>
    </w:p>
    <w:p w:rsidR="00A94930" w:rsidRDefault="00A94930" w:rsidP="00507B11">
      <w:pPr>
        <w:ind w:left="1304"/>
        <w:jc w:val="both"/>
      </w:pPr>
      <w:r w:rsidRPr="00BC1AE1">
        <w:t>Ympäristöministeriö piti 17.11.2017 kuul</w:t>
      </w:r>
      <w:r>
        <w:t>e</w:t>
      </w:r>
      <w:r w:rsidRPr="00BC1AE1">
        <w:t>m</w:t>
      </w:r>
      <w:r>
        <w:t>istilaisuuden, jossa esiteltiin jätelain muu</w:t>
      </w:r>
      <w:r>
        <w:t>t</w:t>
      </w:r>
      <w:r>
        <w:t>tamista koskevaan hallituksen esitysluonnokseen lausuntokierroksen jälkeen tehdyt muutokset. Tilaisuudessa sovittiin, että siellä esitetyt huomiot voidaan toimittaa ymp</w:t>
      </w:r>
      <w:r>
        <w:t>ä</w:t>
      </w:r>
      <w:r>
        <w:t xml:space="preserve">ristöministeriölle </w:t>
      </w:r>
      <w:r w:rsidR="008D4FAE">
        <w:t xml:space="preserve">vielä </w:t>
      </w:r>
      <w:r>
        <w:t>kirjallisesti.</w:t>
      </w:r>
    </w:p>
    <w:p w:rsidR="008D4FAE" w:rsidRDefault="008D4FAE" w:rsidP="00507B11">
      <w:pPr>
        <w:ind w:left="1304"/>
        <w:jc w:val="both"/>
      </w:pPr>
    </w:p>
    <w:p w:rsidR="00A94930" w:rsidRDefault="00A94930" w:rsidP="00507B11">
      <w:pPr>
        <w:ind w:left="1304"/>
        <w:jc w:val="both"/>
      </w:pPr>
    </w:p>
    <w:p w:rsidR="00A94930" w:rsidRPr="00B40060" w:rsidRDefault="00A94930" w:rsidP="00507B11">
      <w:pPr>
        <w:ind w:left="1304"/>
        <w:jc w:val="both"/>
        <w:rPr>
          <w:i/>
        </w:rPr>
      </w:pPr>
      <w:r w:rsidRPr="00B40060">
        <w:rPr>
          <w:i/>
        </w:rPr>
        <w:t>Sidosyksikkö</w:t>
      </w:r>
      <w:r w:rsidR="00B40060" w:rsidRPr="00B40060">
        <w:rPr>
          <w:i/>
        </w:rPr>
        <w:t>sääntely</w:t>
      </w:r>
    </w:p>
    <w:p w:rsidR="00A94930" w:rsidRDefault="00A94930" w:rsidP="00507B11">
      <w:pPr>
        <w:ind w:left="1304"/>
        <w:jc w:val="both"/>
      </w:pPr>
    </w:p>
    <w:p w:rsidR="00A94930" w:rsidRDefault="00A94930" w:rsidP="00507B11">
      <w:pPr>
        <w:ind w:left="1304"/>
        <w:jc w:val="both"/>
      </w:pPr>
      <w:r>
        <w:t>Työ- ja elinkeinoministeriön näkemyksen mukaan jätealalle suunniteltu 10 prosentin sallittu sidosyksikön ulosmyynti vuoden 2029 loppuun saakka tuo kunnallisille toimijoi</w:t>
      </w:r>
      <w:r>
        <w:t>l</w:t>
      </w:r>
      <w:r>
        <w:t xml:space="preserve">le huomattavan kilpailuedun alan yksityisiin toimijoihin nähden. Kyse on merkittävästä ja pitkäaikaisesta edusta ja sen myöntäminen ilman kattavaa vaikutusarvioita on </w:t>
      </w:r>
      <w:r w:rsidR="00B40060">
        <w:t>arv</w:t>
      </w:r>
      <w:r w:rsidR="00B40060">
        <w:t>e</w:t>
      </w:r>
      <w:r w:rsidR="00B40060">
        <w:t>luttavaa</w:t>
      </w:r>
      <w:r>
        <w:t>.</w:t>
      </w:r>
    </w:p>
    <w:p w:rsidR="00A94930" w:rsidRDefault="00A94930" w:rsidP="00507B11">
      <w:pPr>
        <w:ind w:left="1304"/>
        <w:jc w:val="both"/>
      </w:pPr>
    </w:p>
    <w:p w:rsidR="00A94930" w:rsidRDefault="00A94930" w:rsidP="00507B11">
      <w:pPr>
        <w:ind w:left="1304"/>
        <w:jc w:val="both"/>
      </w:pPr>
      <w:r>
        <w:t>Esityksestä ei selviä, mitkä ovat jätemarkkinan eri</w:t>
      </w:r>
      <w:r w:rsidR="003E78F8">
        <w:t>tyispiirteet, jotka tekisi</w:t>
      </w:r>
      <w:r>
        <w:t>vät poikkeu</w:t>
      </w:r>
      <w:r>
        <w:t>k</w:t>
      </w:r>
      <w:r>
        <w:t>sen</w:t>
      </w:r>
      <w:r w:rsidR="00B40060">
        <w:t xml:space="preserve"> hankintalain yleissäännöstä </w:t>
      </w:r>
      <w:r>
        <w:t>perustelluksi. Jätelain muutoksen valmistelun yhte</w:t>
      </w:r>
      <w:r>
        <w:t>y</w:t>
      </w:r>
      <w:r>
        <w:t>dessä on teetetty selvityksiä, joista ei myöskään ole mahdollista vakuuttavasti pääte</w:t>
      </w:r>
      <w:r>
        <w:t>l</w:t>
      </w:r>
      <w:r>
        <w:t>lä, että jätetoimiala poikkeaisi muista toimialoista niin ratkaisevasti, että kyseisenlainen poikkeus</w:t>
      </w:r>
      <w:r w:rsidR="00B40060">
        <w:t xml:space="preserve"> </w:t>
      </w:r>
      <w:r>
        <w:t>olisi perusteltu. Mahdollisia markkinapuutetilanteita varten alalle on jo luotu palvelujen saatavuuden varmistamiseksi kunnan tois</w:t>
      </w:r>
      <w:r w:rsidR="00B40060">
        <w:t>s</w:t>
      </w:r>
      <w:r>
        <w:t>ijainen jätehuoltovastuu</w:t>
      </w:r>
      <w:r w:rsidR="003E78F8">
        <w:t xml:space="preserve"> (TSV)</w:t>
      </w:r>
      <w:r>
        <w:t>, jonka nojalla markkinoille tarjottava</w:t>
      </w:r>
      <w:r w:rsidR="003E78F8">
        <w:t>a</w:t>
      </w:r>
      <w:r>
        <w:t xml:space="preserve"> palvelua ei katsota hankintalain mukaiseksi ulosmyynniksi.</w:t>
      </w:r>
    </w:p>
    <w:p w:rsidR="00A94930" w:rsidRDefault="00A94930" w:rsidP="00507B11">
      <w:pPr>
        <w:ind w:left="1304"/>
        <w:jc w:val="both"/>
      </w:pPr>
    </w:p>
    <w:p w:rsidR="00A94930" w:rsidRDefault="00A94930" w:rsidP="00507B11">
      <w:pPr>
        <w:ind w:left="1304"/>
        <w:jc w:val="both"/>
      </w:pPr>
      <w:r>
        <w:t>Tästä näkökulmasta olisi ensiarvoisen tärkeää, että nyt suunnitellun poikkeuksen va</w:t>
      </w:r>
      <w:r>
        <w:t>i</w:t>
      </w:r>
      <w:r>
        <w:t>kutuksi</w:t>
      </w:r>
      <w:r w:rsidR="00B40060">
        <w:t>s</w:t>
      </w:r>
      <w:r>
        <w:t>ta te</w:t>
      </w:r>
      <w:r>
        <w:t>h</w:t>
      </w:r>
      <w:r>
        <w:t>täisiin kattava arvio. Kyse on niin merkittävästä ja pitkäaikaisesta edusta</w:t>
      </w:r>
      <w:r w:rsidR="003E78F8">
        <w:t>,</w:t>
      </w:r>
      <w:r>
        <w:t xml:space="preserve"> että sen haitalliset vaikutukset markkinoiden toimivuuden kannalta</w:t>
      </w:r>
      <w:r w:rsidR="003E78F8">
        <w:t xml:space="preserve"> tulisi</w:t>
      </w:r>
      <w:r>
        <w:t xml:space="preserve"> minimoida. Nyt luonnoksessa oleva vaikutusarvio on kilpailuvaikutusten osalta hyvin niukka.</w:t>
      </w:r>
    </w:p>
    <w:p w:rsidR="0031218D" w:rsidRDefault="0031218D" w:rsidP="00507B11">
      <w:pPr>
        <w:ind w:left="1304"/>
        <w:jc w:val="both"/>
      </w:pPr>
    </w:p>
    <w:p w:rsidR="0031218D" w:rsidRDefault="0031218D" w:rsidP="00507B11">
      <w:pPr>
        <w:ind w:left="1304"/>
        <w:jc w:val="both"/>
      </w:pPr>
      <w:r>
        <w:t>Ilman tarkempia tietoa on vaikea arvioida minkä pituinen siirtymäaika olisi tilante</w:t>
      </w:r>
      <w:r>
        <w:t>e</w:t>
      </w:r>
      <w:r>
        <w:t>seen sopiva, mutta ainakaan yli viiden vuoden pituista siirtymäaikaa ei voida pitää peruste</w:t>
      </w:r>
      <w:r>
        <w:t>l</w:t>
      </w:r>
      <w:r>
        <w:t>tuna.</w:t>
      </w:r>
      <w:r w:rsidR="00C5698B">
        <w:t xml:space="preserve"> Tämän jälkeen tulisi noudattaa hankintalain yleistä sääntelyä.</w:t>
      </w:r>
    </w:p>
    <w:p w:rsidR="00A94930" w:rsidRDefault="00A94930" w:rsidP="00507B11">
      <w:pPr>
        <w:ind w:left="1304"/>
        <w:jc w:val="both"/>
      </w:pPr>
    </w:p>
    <w:p w:rsidR="00A94930" w:rsidRDefault="00A94930" w:rsidP="00507B11">
      <w:pPr>
        <w:ind w:left="1304"/>
        <w:jc w:val="both"/>
      </w:pPr>
      <w:r>
        <w:t>Lakiehdotukseen ei liity tällä hetkellä mitään suunnitelmaa seurannan toteuttamisesta sen osalta miten kuntatoimijat alkavat sopeuttamaan toimintaansa saavutt</w:t>
      </w:r>
      <w:r w:rsidR="0031218D">
        <w:t>a</w:t>
      </w:r>
      <w:r>
        <w:t>akseen siirtym</w:t>
      </w:r>
      <w:r w:rsidR="0031218D">
        <w:t>ä</w:t>
      </w:r>
      <w:r>
        <w:t>ajan jälkeen lain salliman ulosmyyntiprosentin. Jos siirtymäajan loppupuolella ollaan edelleen tilanteessa, että kunt</w:t>
      </w:r>
      <w:r>
        <w:t>a</w:t>
      </w:r>
      <w:r>
        <w:t>toimijoiden ulosmyynti on reilusti yli hankintalain salliman rajan</w:t>
      </w:r>
      <w:r w:rsidR="00074E0C">
        <w:t>,</w:t>
      </w:r>
      <w:r>
        <w:t xml:space="preserve"> otetaan riski, että tästä johtuen siirtymäaikaa katsotaan tarpeelliseksi </w:t>
      </w:r>
      <w:r>
        <w:lastRenderedPageBreak/>
        <w:t>jatkaa. Kiinteällä seurannalla tulisi varmistaa, että kuntatoim</w:t>
      </w:r>
      <w:r w:rsidR="0031218D">
        <w:t>i</w:t>
      </w:r>
      <w:r>
        <w:t>jat todella ryhtyvät valmi</w:t>
      </w:r>
      <w:r>
        <w:t>s</w:t>
      </w:r>
      <w:r>
        <w:t>tautumaan hyvissä ajoin. Tällainen seuranta voisi olla esime</w:t>
      </w:r>
      <w:r w:rsidR="0031218D">
        <w:t>rk</w:t>
      </w:r>
      <w:r>
        <w:t xml:space="preserve">iksi </w:t>
      </w:r>
      <w:r w:rsidR="0031218D">
        <w:t>velvollisuus</w:t>
      </w:r>
      <w:r w:rsidR="0031218D">
        <w:t xml:space="preserve"> </w:t>
      </w:r>
      <w:r>
        <w:t>rapo</w:t>
      </w:r>
      <w:r>
        <w:t>r</w:t>
      </w:r>
      <w:r w:rsidR="0031218D">
        <w:t>toida</w:t>
      </w:r>
      <w:r w:rsidR="0031218D" w:rsidRPr="0031218D">
        <w:t xml:space="preserve"> </w:t>
      </w:r>
      <w:r w:rsidR="0031218D">
        <w:t>vuosittain</w:t>
      </w:r>
      <w:r>
        <w:t xml:space="preserve"> </w:t>
      </w:r>
      <w:r w:rsidR="0031218D">
        <w:t>ympäristöministeriölle</w:t>
      </w:r>
      <w:r>
        <w:t xml:space="preserve">. </w:t>
      </w:r>
    </w:p>
    <w:p w:rsidR="00A94930" w:rsidRDefault="00A94930" w:rsidP="00507B11">
      <w:pPr>
        <w:ind w:left="1304"/>
        <w:jc w:val="both"/>
      </w:pPr>
    </w:p>
    <w:p w:rsidR="00A94930" w:rsidRPr="00A13EEA" w:rsidRDefault="00A13EEA" w:rsidP="00507B11">
      <w:pPr>
        <w:ind w:left="1304"/>
        <w:jc w:val="both"/>
        <w:rPr>
          <w:i/>
        </w:rPr>
      </w:pPr>
      <w:r w:rsidRPr="00A13EEA">
        <w:rPr>
          <w:i/>
        </w:rPr>
        <w:t>Markkinan</w:t>
      </w:r>
      <w:r w:rsidR="00A94930" w:rsidRPr="00A13EEA">
        <w:rPr>
          <w:i/>
        </w:rPr>
        <w:t xml:space="preserve"> läpinäkyvyys</w:t>
      </w:r>
    </w:p>
    <w:p w:rsidR="00A94930" w:rsidRDefault="00A94930" w:rsidP="00507B11">
      <w:pPr>
        <w:ind w:left="1304"/>
        <w:jc w:val="both"/>
      </w:pPr>
    </w:p>
    <w:p w:rsidR="00A94930" w:rsidRDefault="00A94930" w:rsidP="00507B11">
      <w:pPr>
        <w:ind w:left="1304"/>
        <w:jc w:val="both"/>
      </w:pPr>
      <w:r>
        <w:t>Korkean ulosmyyntiprosentin sallimisen haitallisia vaikutuksia lisää se, että hallituksen esityksestä on jätetty kokonaan pois valmisteluryhmässä suunnitellut läpinäkyvyyteen liittyvät uudistukset.</w:t>
      </w:r>
      <w:r w:rsidR="00507B11">
        <w:t xml:space="preserve"> Kuitenkin tulisi</w:t>
      </w:r>
      <w:r w:rsidR="00074E0C" w:rsidRPr="00074E0C">
        <w:t xml:space="preserve"> </w:t>
      </w:r>
      <w:r w:rsidR="00074E0C">
        <w:t>päinvastoin</w:t>
      </w:r>
      <w:r>
        <w:t xml:space="preserve"> pyrkiä tilanteeseen, </w:t>
      </w:r>
      <w:r w:rsidR="00507B11">
        <w:t>jossa</w:t>
      </w:r>
      <w:r>
        <w:t xml:space="preserve"> </w:t>
      </w:r>
      <w:r w:rsidRPr="00D05152">
        <w:t>ei olisi m</w:t>
      </w:r>
      <w:r w:rsidRPr="00D05152">
        <w:t>i</w:t>
      </w:r>
      <w:r w:rsidRPr="00D05152">
        <w:t>tään epäselvyyttä siitä</w:t>
      </w:r>
      <w:r w:rsidR="00074E0C">
        <w:t>,</w:t>
      </w:r>
      <w:r w:rsidRPr="00D05152">
        <w:t xml:space="preserve"> mihin</w:t>
      </w:r>
      <w:r>
        <w:t xml:space="preserve"> eri kategorioihin vastaanotetut jätteet kuuluvat. Suunn</w:t>
      </w:r>
      <w:r>
        <w:t>i</w:t>
      </w:r>
      <w:r>
        <w:t>tellut säädökset on poistettu sillä perusteella, että ne eivät ehkä olisi enää välttämä</w:t>
      </w:r>
      <w:r>
        <w:t>t</w:t>
      </w:r>
      <w:r>
        <w:t>tömiä mahdollisesti peru</w:t>
      </w:r>
      <w:r>
        <w:t>s</w:t>
      </w:r>
      <w:r>
        <w:t>tettava</w:t>
      </w:r>
      <w:r w:rsidR="00507B11">
        <w:t>k</w:t>
      </w:r>
      <w:r>
        <w:t>si tulevan markkinapaikan käy</w:t>
      </w:r>
      <w:r w:rsidR="00507B11">
        <w:t>n</w:t>
      </w:r>
      <w:r>
        <w:t>nistämisen jälkeen.</w:t>
      </w:r>
      <w:r w:rsidR="00074E0C">
        <w:t xml:space="preserve"> </w:t>
      </w:r>
    </w:p>
    <w:p w:rsidR="00507B11" w:rsidRDefault="00507B11" w:rsidP="00507B11">
      <w:pPr>
        <w:ind w:left="1304"/>
        <w:jc w:val="both"/>
      </w:pPr>
      <w:r>
        <w:t>Suunnitellun markkinapaikan vaikutusten jätealaan voidaan odottaa olevan hyvin pos</w:t>
      </w:r>
      <w:r>
        <w:t>i</w:t>
      </w:r>
      <w:r>
        <w:t>tiivis</w:t>
      </w:r>
      <w:r w:rsidR="00074E0C">
        <w:t>ia</w:t>
      </w:r>
      <w:r>
        <w:t xml:space="preserve">, mutta läpinäkyvyyden turvaamiseksi ei </w:t>
      </w:r>
      <w:r w:rsidR="00A94930">
        <w:t xml:space="preserve">voida </w:t>
      </w:r>
      <w:r>
        <w:t xml:space="preserve">pelkästään </w:t>
      </w:r>
      <w:r w:rsidR="00A94930">
        <w:t xml:space="preserve">jäädä odottamaan markkinapaikkaa. </w:t>
      </w:r>
      <w:r>
        <w:t>Hallituksen esitykseen aiemmin suunnitellut säännökset täydentäis</w:t>
      </w:r>
      <w:r>
        <w:t>i</w:t>
      </w:r>
      <w:r>
        <w:t>vät ja tukisivat markkinapaikan toimintaa.</w:t>
      </w:r>
    </w:p>
    <w:p w:rsidR="00507B11" w:rsidRDefault="00507B11" w:rsidP="00507B11">
      <w:pPr>
        <w:ind w:left="1304"/>
        <w:jc w:val="both"/>
      </w:pPr>
    </w:p>
    <w:p w:rsidR="0091665D" w:rsidRDefault="00A94930" w:rsidP="00507B11">
      <w:pPr>
        <w:ind w:left="1304"/>
        <w:jc w:val="both"/>
      </w:pPr>
      <w:r>
        <w:t>Kunnille tulee säätää ehdoton selvil</w:t>
      </w:r>
      <w:r w:rsidR="00074E0C">
        <w:t>läolo</w:t>
      </w:r>
      <w:r>
        <w:t>velvoite jätehuollon palvelun tarjonnasta siinä laajuudessa kuin se on tarpeen TSV -palvelun tarpeen arvioimiseksi. Muutoin suuren sallitun ulosmyynnin lisäksi kunnille sallitaan käytännössä minkä tahansa jätteen va</w:t>
      </w:r>
      <w:r>
        <w:t>s</w:t>
      </w:r>
      <w:r>
        <w:t>taanotto TSV</w:t>
      </w:r>
      <w:r w:rsidR="00507B11">
        <w:t xml:space="preserve"> </w:t>
      </w:r>
      <w:r>
        <w:t>-jätteenä. Jos kunta ei tunne oman alueensa markkinatilannetta eik</w:t>
      </w:r>
      <w:r w:rsidR="00507B11">
        <w:t>ä</w:t>
      </w:r>
      <w:r>
        <w:t xml:space="preserve"> sillä o</w:t>
      </w:r>
      <w:r w:rsidR="00507B11">
        <w:t>l</w:t>
      </w:r>
      <w:r>
        <w:t>e kattavaa tietoa siitä, mitä jätettä yksittäinen jätekuorma sisältää, ei markkina</w:t>
      </w:r>
      <w:r>
        <w:t>l</w:t>
      </w:r>
      <w:r>
        <w:t xml:space="preserve">la ole </w:t>
      </w:r>
      <w:r w:rsidR="00507B11">
        <w:t>riittävää</w:t>
      </w:r>
      <w:r>
        <w:t xml:space="preserve"> läpinäkyvyyttä.</w:t>
      </w:r>
      <w:r w:rsidR="00507B11">
        <w:t xml:space="preserve"> Näin ollen ehdotettu</w:t>
      </w:r>
      <w:r w:rsidR="00074E0C">
        <w:t>a</w:t>
      </w:r>
      <w:r w:rsidR="00507B11">
        <w:t xml:space="preserve"> 33 §:ää ei tule poistaa. Myöhemmin markkinapaikka helpottaisi tämän selvilläolovelvoitteen täyttämistä.</w:t>
      </w:r>
    </w:p>
    <w:p w:rsidR="0091665D" w:rsidRDefault="0091665D" w:rsidP="00507B11">
      <w:pPr>
        <w:ind w:left="1304"/>
        <w:jc w:val="both"/>
      </w:pPr>
    </w:p>
    <w:p w:rsidR="0091665D" w:rsidRDefault="0091665D" w:rsidP="00507B11">
      <w:pPr>
        <w:ind w:left="1304"/>
        <w:jc w:val="both"/>
      </w:pPr>
      <w:r>
        <w:t>Myöskään 44 §:ää ei tule poistaa. Jätteenkuljettajan täytyy pystyä kertomaan mitä j</w:t>
      </w:r>
      <w:r>
        <w:t>ä</w:t>
      </w:r>
      <w:r>
        <w:t>tettä kuljetettava jäte-erä sisältää. Jatkossa perustettavan markkinapaikan toiminta t</w:t>
      </w:r>
      <w:r>
        <w:t>u</w:t>
      </w:r>
      <w:r>
        <w:t>kee myös jätteenkuljettajan tietoisuutta markkinatarjonnasta ja siitä riippuvasta ma</w:t>
      </w:r>
      <w:r>
        <w:t>h</w:t>
      </w:r>
      <w:r>
        <w:t xml:space="preserve">dollisuudesta pyytää TSV </w:t>
      </w:r>
      <w:r w:rsidR="00074E0C">
        <w:t>-</w:t>
      </w:r>
      <w:r>
        <w:t>palvelua. K</w:t>
      </w:r>
      <w:r w:rsidR="00074E0C">
        <w:t>un jätteen</w:t>
      </w:r>
      <w:r>
        <w:t xml:space="preserve">kuljettaja pystyy kertomaan mitä jäte-eriä kuormassa on, pystyy kunnallinen toimija erittelemään kirjanpidossaan </w:t>
      </w:r>
      <w:r w:rsidR="00A94930">
        <w:t>TSV</w:t>
      </w:r>
      <w:r>
        <w:t xml:space="preserve"> -jätteen</w:t>
      </w:r>
      <w:r w:rsidR="00A94930">
        <w:t>, markkinaehtoi</w:t>
      </w:r>
      <w:r>
        <w:t>s</w:t>
      </w:r>
      <w:r w:rsidR="00A94930">
        <w:t xml:space="preserve">en </w:t>
      </w:r>
      <w:r>
        <w:t xml:space="preserve">jätteen </w:t>
      </w:r>
      <w:r w:rsidR="00A94930">
        <w:t xml:space="preserve">ja </w:t>
      </w:r>
      <w:r>
        <w:t xml:space="preserve">kunnan </w:t>
      </w:r>
      <w:r w:rsidR="00A94930">
        <w:t>yksinoikeu</w:t>
      </w:r>
      <w:r>
        <w:t xml:space="preserve">teen kuuluvan jätteen. </w:t>
      </w:r>
      <w:r w:rsidR="006942F5">
        <w:t>Ilman t</w:t>
      </w:r>
      <w:r w:rsidR="006942F5">
        <w:t>ä</w:t>
      </w:r>
      <w:r w:rsidR="006942F5">
        <w:t>tä kirjanpidon erittelyvelvollisuutta ei ole mahdollista seurata kuinka suureksi toimijo</w:t>
      </w:r>
      <w:r w:rsidR="006942F5">
        <w:t>i</w:t>
      </w:r>
      <w:r w:rsidR="006942F5">
        <w:t xml:space="preserve">den ulosmyynti muodostuu, vaan riskinä on, että markkinaehtoista jätettä kirjataan TSV </w:t>
      </w:r>
      <w:r w:rsidR="00074E0C">
        <w:t>-</w:t>
      </w:r>
      <w:r w:rsidR="006942F5">
        <w:t>jätteeksi.</w:t>
      </w:r>
    </w:p>
    <w:p w:rsidR="0091665D" w:rsidRDefault="0091665D" w:rsidP="00507B11">
      <w:pPr>
        <w:ind w:left="1304"/>
        <w:jc w:val="both"/>
      </w:pPr>
    </w:p>
    <w:p w:rsidR="00975A90" w:rsidRDefault="00975A90" w:rsidP="00507B11">
      <w:pPr>
        <w:ind w:left="1304"/>
        <w:jc w:val="both"/>
      </w:pPr>
      <w:r>
        <w:t xml:space="preserve">Vuoden </w:t>
      </w:r>
      <w:r w:rsidR="00A94930">
        <w:t>2010</w:t>
      </w:r>
      <w:r>
        <w:t xml:space="preserve"> lakimuutoksen yhteydessä </w:t>
      </w:r>
      <w:r w:rsidR="00A94930">
        <w:t>myös ympäristövaliokunta kiinnitti huomioi</w:t>
      </w:r>
      <w:r w:rsidR="00803DB9">
        <w:t>ta TSV -</w:t>
      </w:r>
      <w:r w:rsidR="00A94930">
        <w:t>palvelun potentiaalisiin ongelmiin</w:t>
      </w:r>
      <w:r>
        <w:t xml:space="preserve"> todeten, että </w:t>
      </w:r>
      <w:r w:rsidR="00A94930">
        <w:t>TSV</w:t>
      </w:r>
      <w:r>
        <w:t xml:space="preserve"> </w:t>
      </w:r>
      <w:r w:rsidR="00803DB9">
        <w:t>-</w:t>
      </w:r>
      <w:r>
        <w:t xml:space="preserve">jäte on </w:t>
      </w:r>
      <w:r w:rsidR="00A94930">
        <w:t>poikkeusluonteinen tilanne eikä se saisi muodostua yksityisen elinkeinotoiminnan esteeksi</w:t>
      </w:r>
      <w:r>
        <w:t>. Nyt ongelmaa täytyy pyrkiä ratkaisemaan lakimuutoksella, eikä od</w:t>
      </w:r>
      <w:bookmarkStart w:id="1" w:name="_GoBack"/>
      <w:bookmarkEnd w:id="1"/>
      <w:r>
        <w:t>ottaa mahdollista markkinapaikan perustamista.</w:t>
      </w:r>
    </w:p>
    <w:p w:rsidR="00975A90" w:rsidRDefault="00975A90" w:rsidP="00507B11">
      <w:pPr>
        <w:ind w:left="1304"/>
        <w:jc w:val="both"/>
      </w:pPr>
    </w:p>
    <w:p w:rsidR="00C11CD8" w:rsidRDefault="00C11CD8" w:rsidP="00507B11">
      <w:pPr>
        <w:ind w:left="1304"/>
        <w:jc w:val="both"/>
      </w:pPr>
      <w:r>
        <w:t>Yksityiskohtana todettakoon lisäksi, että</w:t>
      </w:r>
      <w:r w:rsidRPr="00C11CD8">
        <w:t xml:space="preserve"> </w:t>
      </w:r>
      <w:r>
        <w:t>sivulla 20</w:t>
      </w:r>
      <w:r>
        <w:t xml:space="preserve"> k</w:t>
      </w:r>
      <w:r w:rsidR="00A94930">
        <w:t>ohdassa 1.3. suhde perustuslakiin todetaan elinkeinonvapaudesta, että ehdotettu 145a§ sidosyksikkösääntelystä yhde</w:t>
      </w:r>
      <w:r w:rsidR="00A94930">
        <w:t>s</w:t>
      </w:r>
      <w:r w:rsidR="00A94930">
        <w:t>sä kunnan vastuun kaventumisen kanssa luo edellytyksiä elinkeinonvapauden tote</w:t>
      </w:r>
      <w:r w:rsidR="00A94930">
        <w:t>u</w:t>
      </w:r>
      <w:r w:rsidR="00A94930">
        <w:t xml:space="preserve">tumiselle. </w:t>
      </w:r>
      <w:r>
        <w:t>Kunnan yksinoikeuden kaventaminen on eduksi elinkeinonvapaudelle, mutta näin ei voida sanoa muita aloja väljemmästä sidosyksikkösääntelystä.</w:t>
      </w:r>
    </w:p>
    <w:p w:rsidR="00C11CD8" w:rsidRDefault="00C11CD8" w:rsidP="00507B11">
      <w:pPr>
        <w:ind w:left="1304"/>
        <w:jc w:val="both"/>
      </w:pPr>
      <w:r>
        <w:t xml:space="preserve"> </w:t>
      </w:r>
    </w:p>
    <w:p w:rsidR="00A94930" w:rsidRDefault="00A94930" w:rsidP="00507B11">
      <w:pPr>
        <w:ind w:left="1304"/>
        <w:jc w:val="both"/>
      </w:pPr>
    </w:p>
    <w:p w:rsidR="00A94930" w:rsidRDefault="00A94930" w:rsidP="00051A3D">
      <w:pPr>
        <w:pStyle w:val="Leipteksti"/>
      </w:pPr>
    </w:p>
    <w:p w:rsidR="00A94930" w:rsidRDefault="00A94930" w:rsidP="00051A3D">
      <w:pPr>
        <w:pStyle w:val="Leipteksti"/>
      </w:pPr>
    </w:p>
    <w:p w:rsidR="00BB30CA" w:rsidRDefault="00BB30CA" w:rsidP="00051A3D">
      <w:pPr>
        <w:pStyle w:val="Leipteksti"/>
      </w:pPr>
    </w:p>
    <w:p w:rsidR="00C41EB8" w:rsidRDefault="00C41EB8" w:rsidP="00051A3D">
      <w:pPr>
        <w:pStyle w:val="Leipteksti"/>
      </w:pPr>
      <w:r>
        <w:t>Tarja Sinivuori-Boldt</w:t>
      </w:r>
    </w:p>
    <w:p w:rsidR="00A07662" w:rsidRDefault="00C41EB8" w:rsidP="00051A3D">
      <w:pPr>
        <w:pStyle w:val="Leipteksti"/>
      </w:pPr>
      <w:r>
        <w:t>Erityisasiantuntija</w:t>
      </w:r>
    </w:p>
    <w:sectPr w:rsidR="00A07662" w:rsidSect="00BA0FD7">
      <w:headerReference w:type="default" r:id="rId11"/>
      <w:headerReference w:type="first" r:id="rId12"/>
      <w:footerReference w:type="first" r:id="rId13"/>
      <w:type w:val="continuous"/>
      <w:pgSz w:w="11906" w:h="16838" w:code="9"/>
      <w:pgMar w:top="1588" w:right="1418" w:bottom="1077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347" w:rsidRDefault="00533347">
      <w:r>
        <w:separator/>
      </w:r>
    </w:p>
    <w:p w:rsidR="00533347" w:rsidRDefault="00533347"/>
  </w:endnote>
  <w:endnote w:type="continuationSeparator" w:id="0">
    <w:p w:rsidR="00533347" w:rsidRDefault="00533347">
      <w:r>
        <w:continuationSeparator/>
      </w:r>
    </w:p>
    <w:p w:rsidR="00533347" w:rsidRDefault="00533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FD7" w:rsidRDefault="00751DC4" w:rsidP="00BA0FD7">
    <w:r>
      <w:rPr>
        <w:noProof/>
      </w:rPr>
      <w:drawing>
        <wp:anchor distT="0" distB="0" distL="114300" distR="114300" simplePos="0" relativeHeight="251656192" behindDoc="1" locked="1" layoutInCell="0" allowOverlap="1">
          <wp:simplePos x="0" y="0"/>
          <wp:positionH relativeFrom="page">
            <wp:posOffset>765175</wp:posOffset>
          </wp:positionH>
          <wp:positionV relativeFrom="page">
            <wp:posOffset>9972040</wp:posOffset>
          </wp:positionV>
          <wp:extent cx="6008370" cy="337820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370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A0FD7" w:rsidRDefault="00BA0FD7" w:rsidP="00BA0FD7"/>
  <w:p w:rsidR="004F7C4F" w:rsidRDefault="007A1993" w:rsidP="00BA0FD7">
    <w:r>
      <w:t xml:space="preserve"> </w:t>
    </w:r>
  </w:p>
  <w:p w:rsidR="004F7C4F" w:rsidRDefault="004F7C4F" w:rsidP="00BA0FD7"/>
  <w:p w:rsidR="002B0F16" w:rsidRDefault="002B0F16" w:rsidP="00BA0FD7"/>
  <w:p w:rsidR="002B0F16" w:rsidRDefault="002B0F16" w:rsidP="00BA0FD7"/>
  <w:p w:rsidR="002B0F16" w:rsidRPr="00F4037D" w:rsidRDefault="002B0F16" w:rsidP="00BA0FD7"/>
  <w:p w:rsidR="002B0F16" w:rsidRDefault="002B0F16" w:rsidP="00BA0F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347" w:rsidRDefault="00533347">
      <w:r>
        <w:separator/>
      </w:r>
    </w:p>
    <w:p w:rsidR="00533347" w:rsidRDefault="00533347"/>
  </w:footnote>
  <w:footnote w:type="continuationSeparator" w:id="0">
    <w:p w:rsidR="00533347" w:rsidRDefault="00533347">
      <w:r>
        <w:continuationSeparator/>
      </w:r>
    </w:p>
    <w:p w:rsidR="00533347" w:rsidRDefault="005333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4F3" w:rsidRDefault="00533347" w:rsidP="00A07662">
    <w:pPr>
      <w:pStyle w:val="Yltunnis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2" o:spid="_x0000_s2052" type="#_x0000_t202" style="position:absolute;margin-left:272.1pt;margin-top:28.05pt;width:267.1pt;height:28.0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eUXrQIAAKo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" o:allowincell="f" filled="f" stroked="f">
          <v:textbox inset="0,0,0,0">
            <w:txbxContent>
              <w:p w:rsidR="00A07662" w:rsidRDefault="00533347" w:rsidP="00A07662">
                <w:pPr>
                  <w:pStyle w:val="Yltunniste"/>
                  <w:spacing w:line="280" w:lineRule="atLeast"/>
                  <w:jc w:val="righ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03DB9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="00A07662" w:rsidRPr="00A96D0F">
                  <w:t>/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803DB9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  <w:p w:rsidR="00A07662" w:rsidRDefault="00533347" w:rsidP="00A07662">
                <w:pPr>
                  <w:pStyle w:val="Yltunniste"/>
                  <w:jc w:val="right"/>
                </w:pPr>
                <w:r>
                  <w:fldChar w:fldCharType="begin"/>
                </w:r>
                <w:r>
                  <w:instrText xml:space="preserve"> DOCPROPERTY  tweb_doc_identifier  \* MERGEFORMAT </w:instrText>
                </w:r>
                <w:r>
                  <w:fldChar w:fldCharType="separate"/>
                </w:r>
                <w:r w:rsidR="003E78F8" w:rsidRPr="003E78F8">
                  <w:rPr>
                    <w:rStyle w:val="akptunniste"/>
                  </w:rPr>
                  <w:t>Asianumero</w:t>
                </w:r>
                <w:r>
                  <w:rPr>
                    <w:rStyle w:val="akptunniste"/>
                  </w:rPr>
                  <w:fldChar w:fldCharType="end"/>
                </w:r>
              </w:p>
              <w:p w:rsidR="00A07662" w:rsidRPr="00FB630F" w:rsidRDefault="00A07662" w:rsidP="00A07662">
                <w:pPr>
                  <w:pStyle w:val="Yltunniste"/>
                  <w:spacing w:line="280" w:lineRule="atLeast"/>
                  <w:jc w:val="right"/>
                </w:pPr>
              </w:p>
            </w:txbxContent>
          </v:textbox>
          <w10:wrap anchorx="page" anchory="page"/>
          <w10:anchorlock/>
        </v:shape>
      </w:pict>
    </w:r>
    <w:r w:rsidR="00E56509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CA" w:rsidRDefault="00533347" w:rsidP="00BB30CA">
    <w:pPr>
      <w:pStyle w:val="Yltunnis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7.35pt;margin-top:124.35pt;width:64.1pt;height:15.8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cnrw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" o:allowincell="f" filled="f" stroked="f">
          <v:textbox inset="0,0,0,0">
            <w:txbxContent>
              <w:p w:rsidR="000E4CC9" w:rsidRDefault="00533347" w:rsidP="000E4CC9">
                <w:pPr>
                  <w:pStyle w:val="Yltunniste"/>
                  <w:spacing w:line="280" w:lineRule="atLeast"/>
                  <w:jc w:val="righ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74E0C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="000E4CC9" w:rsidRPr="00A96D0F">
                  <w:t>/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074E0C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  <w:p w:rsidR="000E4CC9" w:rsidRPr="00FB630F" w:rsidRDefault="000E4CC9" w:rsidP="000E4CC9">
                <w:pPr>
                  <w:pStyle w:val="Yltunniste"/>
                  <w:spacing w:line="280" w:lineRule="atLeast"/>
                  <w:jc w:val="right"/>
                </w:pPr>
              </w:p>
            </w:txbxContent>
          </v:textbox>
          <w10:wrap anchorx="page" anchory="page"/>
        </v:shape>
      </w:pict>
    </w:r>
  </w:p>
  <w:p w:rsidR="00BB30CA" w:rsidRDefault="00BB30CA" w:rsidP="00BB30CA">
    <w:pPr>
      <w:pStyle w:val="Yltunniste"/>
    </w:pPr>
  </w:p>
  <w:p w:rsidR="00BB30CA" w:rsidRDefault="00BB30CA" w:rsidP="00BB30CA">
    <w:pPr>
      <w:pStyle w:val="Yltunniste"/>
    </w:pPr>
  </w:p>
  <w:p w:rsidR="00BB30CA" w:rsidRDefault="00BB30CA" w:rsidP="00BB30CA">
    <w:pPr>
      <w:pStyle w:val="Yltunniste"/>
    </w:pPr>
  </w:p>
  <w:p w:rsidR="00BB30CA" w:rsidRDefault="00BB30CA" w:rsidP="00BB30CA">
    <w:pPr>
      <w:pStyle w:val="Yltunniste"/>
    </w:pPr>
  </w:p>
  <w:p w:rsidR="00BB30CA" w:rsidRDefault="00BB30CA" w:rsidP="00BB30CA">
    <w:pPr>
      <w:pStyle w:val="Yltunniste"/>
    </w:pPr>
  </w:p>
  <w:p w:rsidR="00BB30CA" w:rsidRDefault="00BB30CA">
    <w:pPr>
      <w:pStyle w:val="Yltunniste"/>
    </w:pPr>
  </w:p>
  <w:p w:rsidR="00BB30CA" w:rsidRDefault="00751DC4">
    <w:pPr>
      <w:pStyle w:val="Yltunniste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2950210</wp:posOffset>
          </wp:positionH>
          <wp:positionV relativeFrom="page">
            <wp:posOffset>294005</wp:posOffset>
          </wp:positionV>
          <wp:extent cx="1623695" cy="860425"/>
          <wp:effectExtent l="0" t="0" r="0" b="0"/>
          <wp:wrapNone/>
          <wp:docPr id="2" name="Kuva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60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27E77"/>
    <w:multiLevelType w:val="multilevel"/>
    <w:tmpl w:val="1CC4CD9C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comments" w:formatting="1" w:enforcement="0"/>
  <w:styleLockQFSet/>
  <w:defaultTabStop w:val="1304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06C"/>
    <w:rsid w:val="000230FC"/>
    <w:rsid w:val="000243F5"/>
    <w:rsid w:val="00037954"/>
    <w:rsid w:val="00051A3D"/>
    <w:rsid w:val="000660CE"/>
    <w:rsid w:val="00066487"/>
    <w:rsid w:val="00074E0C"/>
    <w:rsid w:val="00083F94"/>
    <w:rsid w:val="00084321"/>
    <w:rsid w:val="00086668"/>
    <w:rsid w:val="000959E2"/>
    <w:rsid w:val="000D096F"/>
    <w:rsid w:val="000E4CC9"/>
    <w:rsid w:val="000E505E"/>
    <w:rsid w:val="000E60B6"/>
    <w:rsid w:val="000F2157"/>
    <w:rsid w:val="0011232E"/>
    <w:rsid w:val="00140EF8"/>
    <w:rsid w:val="0014506C"/>
    <w:rsid w:val="00146B2A"/>
    <w:rsid w:val="00186449"/>
    <w:rsid w:val="001A132E"/>
    <w:rsid w:val="001A33A8"/>
    <w:rsid w:val="001C3D0C"/>
    <w:rsid w:val="0021033D"/>
    <w:rsid w:val="0021303C"/>
    <w:rsid w:val="00233A9E"/>
    <w:rsid w:val="00256C44"/>
    <w:rsid w:val="00280CFF"/>
    <w:rsid w:val="002B0F16"/>
    <w:rsid w:val="002C1927"/>
    <w:rsid w:val="002D7A71"/>
    <w:rsid w:val="002E635F"/>
    <w:rsid w:val="002F34C4"/>
    <w:rsid w:val="002F5C73"/>
    <w:rsid w:val="0031218D"/>
    <w:rsid w:val="003221EF"/>
    <w:rsid w:val="00323503"/>
    <w:rsid w:val="003241A6"/>
    <w:rsid w:val="003243A0"/>
    <w:rsid w:val="003323E0"/>
    <w:rsid w:val="003564B3"/>
    <w:rsid w:val="00374779"/>
    <w:rsid w:val="00385A23"/>
    <w:rsid w:val="003B0583"/>
    <w:rsid w:val="003B7A8E"/>
    <w:rsid w:val="003C7039"/>
    <w:rsid w:val="003D18C3"/>
    <w:rsid w:val="003E6477"/>
    <w:rsid w:val="003E78F8"/>
    <w:rsid w:val="003F3EC5"/>
    <w:rsid w:val="00423292"/>
    <w:rsid w:val="00432AC3"/>
    <w:rsid w:val="0045660F"/>
    <w:rsid w:val="0046217E"/>
    <w:rsid w:val="004740E7"/>
    <w:rsid w:val="00476E5C"/>
    <w:rsid w:val="00494FD4"/>
    <w:rsid w:val="004B2020"/>
    <w:rsid w:val="004C72E8"/>
    <w:rsid w:val="004D63CE"/>
    <w:rsid w:val="004E5453"/>
    <w:rsid w:val="004E756B"/>
    <w:rsid w:val="004F67F8"/>
    <w:rsid w:val="004F7C4F"/>
    <w:rsid w:val="00503A70"/>
    <w:rsid w:val="00507B11"/>
    <w:rsid w:val="00512645"/>
    <w:rsid w:val="005308DE"/>
    <w:rsid w:val="00533347"/>
    <w:rsid w:val="00541595"/>
    <w:rsid w:val="00584095"/>
    <w:rsid w:val="0059215F"/>
    <w:rsid w:val="0059738C"/>
    <w:rsid w:val="005A559B"/>
    <w:rsid w:val="005B4E1B"/>
    <w:rsid w:val="005C4A69"/>
    <w:rsid w:val="00626B35"/>
    <w:rsid w:val="0063146D"/>
    <w:rsid w:val="00657F29"/>
    <w:rsid w:val="0066014C"/>
    <w:rsid w:val="00677470"/>
    <w:rsid w:val="00684BB4"/>
    <w:rsid w:val="006942F5"/>
    <w:rsid w:val="006C3283"/>
    <w:rsid w:val="006E3970"/>
    <w:rsid w:val="006E4F2E"/>
    <w:rsid w:val="006E5AE7"/>
    <w:rsid w:val="006F4ECD"/>
    <w:rsid w:val="00701471"/>
    <w:rsid w:val="007177C2"/>
    <w:rsid w:val="00732D08"/>
    <w:rsid w:val="0074332B"/>
    <w:rsid w:val="00744876"/>
    <w:rsid w:val="00751DC4"/>
    <w:rsid w:val="0077386C"/>
    <w:rsid w:val="00786285"/>
    <w:rsid w:val="007863D8"/>
    <w:rsid w:val="007A1993"/>
    <w:rsid w:val="007A4F32"/>
    <w:rsid w:val="007B3232"/>
    <w:rsid w:val="007C51C2"/>
    <w:rsid w:val="007D053C"/>
    <w:rsid w:val="007D631B"/>
    <w:rsid w:val="007E3D85"/>
    <w:rsid w:val="00803DB9"/>
    <w:rsid w:val="00817C85"/>
    <w:rsid w:val="00826BF0"/>
    <w:rsid w:val="008423BA"/>
    <w:rsid w:val="0086716B"/>
    <w:rsid w:val="00871E2B"/>
    <w:rsid w:val="0087522E"/>
    <w:rsid w:val="00887F02"/>
    <w:rsid w:val="00891E12"/>
    <w:rsid w:val="008B2352"/>
    <w:rsid w:val="008B73C6"/>
    <w:rsid w:val="008C1C77"/>
    <w:rsid w:val="008C20D8"/>
    <w:rsid w:val="008C74B3"/>
    <w:rsid w:val="008D4FAE"/>
    <w:rsid w:val="008D59A2"/>
    <w:rsid w:val="008E25B4"/>
    <w:rsid w:val="008E4D39"/>
    <w:rsid w:val="008F0CB0"/>
    <w:rsid w:val="008F3A17"/>
    <w:rsid w:val="009044E9"/>
    <w:rsid w:val="009067C7"/>
    <w:rsid w:val="0091665D"/>
    <w:rsid w:val="00931E23"/>
    <w:rsid w:val="009506EF"/>
    <w:rsid w:val="00956FCF"/>
    <w:rsid w:val="00975A90"/>
    <w:rsid w:val="009840D5"/>
    <w:rsid w:val="009D1FDC"/>
    <w:rsid w:val="009F18EF"/>
    <w:rsid w:val="009F7F40"/>
    <w:rsid w:val="00A07662"/>
    <w:rsid w:val="00A13EEA"/>
    <w:rsid w:val="00A3353E"/>
    <w:rsid w:val="00A377EB"/>
    <w:rsid w:val="00A514B8"/>
    <w:rsid w:val="00A73244"/>
    <w:rsid w:val="00A7748B"/>
    <w:rsid w:val="00A94930"/>
    <w:rsid w:val="00A95151"/>
    <w:rsid w:val="00A96DD0"/>
    <w:rsid w:val="00AD0375"/>
    <w:rsid w:val="00AD59BE"/>
    <w:rsid w:val="00AE1BB8"/>
    <w:rsid w:val="00AF01F5"/>
    <w:rsid w:val="00B00D1D"/>
    <w:rsid w:val="00B33889"/>
    <w:rsid w:val="00B40060"/>
    <w:rsid w:val="00B45F0E"/>
    <w:rsid w:val="00B53AA1"/>
    <w:rsid w:val="00B72A80"/>
    <w:rsid w:val="00BA0FD7"/>
    <w:rsid w:val="00BB30CA"/>
    <w:rsid w:val="00C0067E"/>
    <w:rsid w:val="00C00CBE"/>
    <w:rsid w:val="00C0562A"/>
    <w:rsid w:val="00C11CD8"/>
    <w:rsid w:val="00C12430"/>
    <w:rsid w:val="00C31C77"/>
    <w:rsid w:val="00C41EB8"/>
    <w:rsid w:val="00C47B5A"/>
    <w:rsid w:val="00C560E6"/>
    <w:rsid w:val="00C5698B"/>
    <w:rsid w:val="00C8246F"/>
    <w:rsid w:val="00C87EF0"/>
    <w:rsid w:val="00CC208D"/>
    <w:rsid w:val="00CC46FE"/>
    <w:rsid w:val="00CD23F4"/>
    <w:rsid w:val="00CF779F"/>
    <w:rsid w:val="00D0671F"/>
    <w:rsid w:val="00D22A93"/>
    <w:rsid w:val="00D32FC1"/>
    <w:rsid w:val="00D429A7"/>
    <w:rsid w:val="00D51A5C"/>
    <w:rsid w:val="00D70D30"/>
    <w:rsid w:val="00D8152F"/>
    <w:rsid w:val="00DA12E1"/>
    <w:rsid w:val="00DA3D6E"/>
    <w:rsid w:val="00DD0E5A"/>
    <w:rsid w:val="00DD756D"/>
    <w:rsid w:val="00DF10E6"/>
    <w:rsid w:val="00DF29AA"/>
    <w:rsid w:val="00DF53EA"/>
    <w:rsid w:val="00E067F2"/>
    <w:rsid w:val="00E56509"/>
    <w:rsid w:val="00E60100"/>
    <w:rsid w:val="00E61C8E"/>
    <w:rsid w:val="00E6398E"/>
    <w:rsid w:val="00E63DB5"/>
    <w:rsid w:val="00E6594D"/>
    <w:rsid w:val="00E65E18"/>
    <w:rsid w:val="00E84F18"/>
    <w:rsid w:val="00E86C00"/>
    <w:rsid w:val="00E944F3"/>
    <w:rsid w:val="00ED752B"/>
    <w:rsid w:val="00F0076F"/>
    <w:rsid w:val="00F12AA5"/>
    <w:rsid w:val="00F134EA"/>
    <w:rsid w:val="00F20007"/>
    <w:rsid w:val="00F42114"/>
    <w:rsid w:val="00F46EBC"/>
    <w:rsid w:val="00F52E07"/>
    <w:rsid w:val="00F83734"/>
    <w:rsid w:val="00F96954"/>
    <w:rsid w:val="00FC45AC"/>
    <w:rsid w:val="00FD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locked="1" w:semiHidden="0" w:unhideWhenUsed="0"/>
    <w:lsdException w:name="heading 5" w:locked="1" w:semiHidden="0" w:unhideWhenUsed="0"/>
    <w:lsdException w:name="heading 6" w:locked="1" w:semiHidden="0" w:unhideWhenUsed="0"/>
    <w:lsdException w:name="heading 7" w:locked="1"/>
    <w:lsdException w:name="heading 8" w:locked="1"/>
    <w:lsdException w:name="heading 9" w:locked="1"/>
    <w:lsdException w:name="header" w:uiPriority="99"/>
    <w:lsdException w:name="caption" w:qFormat="1"/>
    <w:lsdException w:name="Body Text" w:qFormat="1"/>
    <w:lsdException w:name="Table Grid" w:semiHidden="0" w:unhideWhenUsed="0"/>
    <w:lsdException w:name="Placeholder Text" w:uiPriority="99" w:unhideWhenUsed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4506C"/>
    <w:pPr>
      <w:tabs>
        <w:tab w:val="left" w:pos="2608"/>
        <w:tab w:val="left" w:pos="3912"/>
      </w:tabs>
    </w:pPr>
    <w:rPr>
      <w:rFonts w:ascii="Arial" w:hAnsi="Arial"/>
      <w:sz w:val="21"/>
    </w:rPr>
  </w:style>
  <w:style w:type="paragraph" w:styleId="Otsikko1">
    <w:name w:val="heading 1"/>
    <w:basedOn w:val="Normaali"/>
    <w:next w:val="Leipteksti"/>
    <w:qFormat/>
    <w:rsid w:val="00051A3D"/>
    <w:pPr>
      <w:keepNext/>
      <w:spacing w:before="240" w:after="240" w:line="240" w:lineRule="atLeast"/>
      <w:outlineLvl w:val="0"/>
    </w:pPr>
    <w:rPr>
      <w:bCs/>
      <w:caps/>
      <w:kern w:val="32"/>
      <w:szCs w:val="32"/>
    </w:rPr>
  </w:style>
  <w:style w:type="paragraph" w:styleId="Otsikko2">
    <w:name w:val="heading 2"/>
    <w:basedOn w:val="Normaali"/>
    <w:next w:val="Leipteksti"/>
    <w:link w:val="Otsikko2Char"/>
    <w:qFormat/>
    <w:rsid w:val="00051A3D"/>
    <w:pPr>
      <w:keepNext/>
      <w:keepLines/>
      <w:spacing w:before="240" w:after="240" w:line="240" w:lineRule="atLeast"/>
      <w:outlineLvl w:val="1"/>
    </w:pPr>
    <w:rPr>
      <w:bCs/>
      <w:szCs w:val="26"/>
    </w:rPr>
  </w:style>
  <w:style w:type="paragraph" w:styleId="Otsikko3">
    <w:name w:val="heading 3"/>
    <w:basedOn w:val="Normaali"/>
    <w:next w:val="Normaali"/>
    <w:link w:val="Otsikko3Char"/>
    <w:qFormat/>
    <w:rsid w:val="00B00D1D"/>
    <w:pPr>
      <w:keepNext/>
      <w:keepLines/>
      <w:spacing w:before="240" w:line="240" w:lineRule="atLeast"/>
      <w:ind w:left="2608"/>
      <w:outlineLvl w:val="2"/>
    </w:pPr>
    <w:rPr>
      <w:bCs/>
    </w:rPr>
  </w:style>
  <w:style w:type="paragraph" w:styleId="Otsikko4">
    <w:name w:val="heading 4"/>
    <w:basedOn w:val="Otsikko3"/>
    <w:next w:val="Normaali"/>
    <w:unhideWhenUsed/>
    <w:locked/>
    <w:rsid w:val="00B00D1D"/>
    <w:pPr>
      <w:outlineLvl w:val="3"/>
    </w:pPr>
  </w:style>
  <w:style w:type="paragraph" w:styleId="Otsikko5">
    <w:name w:val="heading 5"/>
    <w:basedOn w:val="Otsikko4"/>
    <w:next w:val="Normaali"/>
    <w:unhideWhenUsed/>
    <w:locked/>
    <w:rsid w:val="00B00D1D"/>
    <w:pPr>
      <w:outlineLvl w:val="4"/>
    </w:pPr>
  </w:style>
  <w:style w:type="paragraph" w:styleId="Otsikko6">
    <w:name w:val="heading 6"/>
    <w:basedOn w:val="Normaali"/>
    <w:next w:val="Normaali"/>
    <w:unhideWhenUsed/>
    <w:locked/>
    <w:rsid w:val="00684BB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Otsikko5"/>
    <w:next w:val="Normaali"/>
    <w:unhideWhenUsed/>
    <w:locked/>
    <w:rsid w:val="00B00D1D"/>
    <w:pPr>
      <w:outlineLvl w:val="6"/>
    </w:pPr>
  </w:style>
  <w:style w:type="paragraph" w:styleId="Otsikko8">
    <w:name w:val="heading 8"/>
    <w:basedOn w:val="Otsikko7"/>
    <w:next w:val="Normaali"/>
    <w:unhideWhenUsed/>
    <w:locked/>
    <w:rsid w:val="00B00D1D"/>
    <w:pPr>
      <w:outlineLvl w:val="7"/>
    </w:pPr>
  </w:style>
  <w:style w:type="paragraph" w:styleId="Otsikko9">
    <w:name w:val="heading 9"/>
    <w:basedOn w:val="Otsikko8"/>
    <w:next w:val="Normaali"/>
    <w:unhideWhenUsed/>
    <w:locked/>
    <w:rsid w:val="00B00D1D"/>
    <w:p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9F18EF"/>
    <w:pPr>
      <w:tabs>
        <w:tab w:val="center" w:pos="4819"/>
        <w:tab w:val="right" w:pos="9638"/>
      </w:tabs>
    </w:p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styleId="Seliteteksti">
    <w:name w:val="Balloon Text"/>
    <w:basedOn w:val="Normaali"/>
    <w:semiHidden/>
    <w:rsid w:val="003243A0"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character" w:customStyle="1" w:styleId="Otsikko2Char">
    <w:name w:val="Otsikko 2 Char"/>
    <w:link w:val="Otsikko2"/>
    <w:rsid w:val="00051A3D"/>
    <w:rPr>
      <w:rFonts w:ascii="Arial" w:eastAsia="Times New Roman" w:hAnsi="Arial" w:cs="Times New Roman"/>
      <w:bCs/>
      <w:sz w:val="21"/>
      <w:szCs w:val="26"/>
    </w:rPr>
  </w:style>
  <w:style w:type="character" w:customStyle="1" w:styleId="YltunnisteChar">
    <w:name w:val="Ylätunniste Char"/>
    <w:link w:val="Yltunniste"/>
    <w:rsid w:val="004F67F8"/>
    <w:rPr>
      <w:rFonts w:ascii="Arial" w:hAnsi="Arial"/>
      <w:sz w:val="21"/>
    </w:rPr>
  </w:style>
  <w:style w:type="paragraph" w:styleId="Leipteksti">
    <w:name w:val="Body Text"/>
    <w:basedOn w:val="Normaali"/>
    <w:link w:val="LeiptekstiChar"/>
    <w:qFormat/>
    <w:rsid w:val="00BA0FD7"/>
    <w:pPr>
      <w:spacing w:line="240" w:lineRule="atLeast"/>
      <w:ind w:left="2608"/>
    </w:pPr>
  </w:style>
  <w:style w:type="character" w:customStyle="1" w:styleId="LeiptekstiChar">
    <w:name w:val="Leipäteksti Char"/>
    <w:link w:val="Leipteksti"/>
    <w:rsid w:val="00BA0FD7"/>
    <w:rPr>
      <w:rFonts w:ascii="Arial" w:hAnsi="Arial"/>
      <w:sz w:val="21"/>
    </w:rPr>
  </w:style>
  <w:style w:type="table" w:styleId="TaulukkoRuudukko">
    <w:name w:val="Table Grid"/>
    <w:basedOn w:val="Normaalitaulukko"/>
    <w:rsid w:val="00BB30CA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bottom w:w="28" w:type="dxa"/>
      </w:tcMar>
    </w:tcPr>
  </w:style>
  <w:style w:type="character" w:customStyle="1" w:styleId="akptunniste">
    <w:name w:val="akptunniste"/>
    <w:semiHidden/>
    <w:rsid w:val="006E3970"/>
    <w:rPr>
      <w:rFonts w:ascii="Arial" w:hAnsi="Arial"/>
      <w:color w:val="000000"/>
      <w:sz w:val="21"/>
    </w:rPr>
  </w:style>
  <w:style w:type="character" w:customStyle="1" w:styleId="Otsikko3Char">
    <w:name w:val="Otsikko 3 Char"/>
    <w:link w:val="Otsikko3"/>
    <w:rsid w:val="00B00D1D"/>
    <w:rPr>
      <w:rFonts w:ascii="Arial" w:eastAsia="Times New Roman" w:hAnsi="Arial" w:cs="Arial"/>
      <w:bCs/>
      <w:sz w:val="21"/>
    </w:rPr>
  </w:style>
  <w:style w:type="character" w:customStyle="1" w:styleId="akppaivays">
    <w:name w:val="akppaivays"/>
    <w:semiHidden/>
    <w:rsid w:val="00A07662"/>
    <w:rPr>
      <w:rFonts w:ascii="Arial" w:hAnsi="Arial"/>
      <w:color w:val="000000"/>
      <w:sz w:val="21"/>
    </w:rPr>
  </w:style>
  <w:style w:type="character" w:customStyle="1" w:styleId="akpatyyppi">
    <w:name w:val="akpatyyppi"/>
    <w:semiHidden/>
    <w:rsid w:val="00A07662"/>
    <w:rPr>
      <w:rFonts w:ascii="Arial" w:hAnsi="Arial"/>
      <w:color w:val="000000"/>
      <w:sz w:val="21"/>
    </w:rPr>
  </w:style>
  <w:style w:type="paragraph" w:styleId="Alatunniste">
    <w:name w:val="footer"/>
    <w:basedOn w:val="Normaali"/>
    <w:link w:val="AlatunnisteChar"/>
    <w:unhideWhenUsed/>
    <w:rsid w:val="00E60100"/>
    <w:pPr>
      <w:tabs>
        <w:tab w:val="clear" w:pos="2608"/>
        <w:tab w:val="clear" w:pos="3912"/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E60100"/>
    <w:rPr>
      <w:rFonts w:ascii="Arial" w:hAnsi="Arial"/>
      <w:sz w:val="21"/>
    </w:rPr>
  </w:style>
  <w:style w:type="paragraph" w:styleId="Otsikko">
    <w:name w:val="Title"/>
    <w:basedOn w:val="Normaali"/>
    <w:next w:val="Leipteksti"/>
    <w:link w:val="OtsikkoChar"/>
    <w:rsid w:val="0021303C"/>
    <w:pPr>
      <w:tabs>
        <w:tab w:val="clear" w:pos="2608"/>
        <w:tab w:val="clear" w:pos="3912"/>
      </w:tabs>
      <w:spacing w:before="240" w:after="200"/>
      <w:contextualSpacing/>
    </w:pPr>
    <w:rPr>
      <w:b/>
      <w:kern w:val="28"/>
      <w:sz w:val="22"/>
      <w:szCs w:val="52"/>
    </w:rPr>
  </w:style>
  <w:style w:type="character" w:customStyle="1" w:styleId="OtsikkoChar">
    <w:name w:val="Otsikko Char"/>
    <w:link w:val="Otsikko"/>
    <w:rsid w:val="0021303C"/>
    <w:rPr>
      <w:rFonts w:ascii="Arial" w:hAnsi="Arial" w:cs="Arial"/>
      <w:b/>
      <w:kern w:val="28"/>
      <w:sz w:val="22"/>
      <w:szCs w:val="52"/>
    </w:rPr>
  </w:style>
  <w:style w:type="paragraph" w:customStyle="1" w:styleId="AKPnormaali">
    <w:name w:val="AKP normaali"/>
    <w:rsid w:val="00A94930"/>
    <w:rPr>
      <w:rFonts w:ascii="Arial" w:hAnsi="Arial"/>
      <w:sz w:val="21"/>
      <w:lang w:eastAsia="en-US"/>
    </w:rPr>
  </w:style>
  <w:style w:type="paragraph" w:customStyle="1" w:styleId="akpylatunniste">
    <w:name w:val="akpylatunniste"/>
    <w:basedOn w:val="Normaali"/>
    <w:autoRedefine/>
    <w:semiHidden/>
    <w:rsid w:val="00A9493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sinivta1\AppData\Roaming\Microsoft\Windows\Templates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8EE7D2A6810BE4FA299A06620984AAF" ma:contentTypeVersion="0" ma:contentTypeDescription="Luo uusi asiakirja." ma:contentTypeScope="" ma:versionID="113f564b74889a2c6ba6653cba320a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F3D0D-8ACE-4EA3-9DCC-219E045670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F13BFC-3CC3-491D-84CD-94B06FAFF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7E467-AF3F-4271-A1B1-8C7A287D8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76</TotalTime>
  <Pages>2</Pages>
  <Words>637</Words>
  <Characters>5162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TEM -asiakirjamalli</vt:lpstr>
    </vt:vector>
  </TitlesOfParts>
  <Company>TEM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 -asiakirjamalli</dc:title>
  <dc:subject>Tweb asiakirjamalli</dc:subject>
  <dc:creator>Pixelpress Oy / Juha Vilkki</dc:creator>
  <dc:description>Pixelpress</dc:description>
  <cp:lastModifiedBy>Sinivuori-Boldt Tarja TEM</cp:lastModifiedBy>
  <cp:revision>24</cp:revision>
  <cp:lastPrinted>2017-11-28T13:44:00Z</cp:lastPrinted>
  <dcterms:created xsi:type="dcterms:W3CDTF">2017-11-28T10:51:00Z</dcterms:created>
  <dcterms:modified xsi:type="dcterms:W3CDTF">2017-11-28T13:57:00Z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>Liitteet</vt:lpwstr>
  </property>
  <property fmtid="{D5CDD505-2E9C-101B-9397-08002B2CF9AE}" pid="78" name="tweb_doc_eoperators">
    <vt:lpwstr>Vastaajat</vt:lpwstr>
  </property>
  <property fmtid="{D5CDD505-2E9C-101B-9397-08002B2CF9AE}" pid="79" name="tweb_doc_typecode">
    <vt:lpwstr>Asiakirjatyypin koodi</vt:lpwstr>
  </property>
  <property fmtid="{D5CDD505-2E9C-101B-9397-08002B2CF9AE}" pid="80" name="tweb_doc_xsubjectlist">
    <vt:lpwstr>Asiasanat</vt:lpwstr>
  </property>
  <property fmtid="{D5CDD505-2E9C-101B-9397-08002B2CF9AE}" pid="81" name="tweb_doc_owner">
    <vt:lpwstr>Laatija</vt:lpwstr>
  </property>
  <property fmtid="{D5CDD505-2E9C-101B-9397-08002B2CF9AE}" pid="82" name="tweb_doc_securityperiodstart">
    <vt:lpwstr>Salassapitoaika alkaa</vt:lpwstr>
  </property>
  <property fmtid="{D5CDD505-2E9C-101B-9397-08002B2CF9AE}" pid="83" name="ContentTypeId">
    <vt:lpwstr>0x01010028EE7D2A6810BE4FA299A06620984AAF</vt:lpwstr>
  </property>
</Properties>
</file>