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AF4" w:rsidRPr="00DA6AF4" w:rsidRDefault="00DA6AF4" w:rsidP="00DA6AF4">
      <w:r w:rsidRPr="00DA6AF4">
        <w:t>Esity</w:t>
      </w:r>
      <w:bookmarkStart w:id="0" w:name="_GoBack"/>
      <w:bookmarkEnd w:id="0"/>
      <w:r w:rsidRPr="00DA6AF4">
        <w:t>s:</w:t>
      </w:r>
    </w:p>
    <w:p w:rsidR="00DA6AF4" w:rsidRPr="00DA6AF4" w:rsidRDefault="00DA6AF4" w:rsidP="00DA6AF4"/>
    <w:p w:rsidR="00DA6AF4" w:rsidRPr="00DA6AF4" w:rsidRDefault="00DA6AF4" w:rsidP="00DA6AF4">
      <w:r w:rsidRPr="00DA6AF4">
        <w:t>Laidunten hoito- ja käyttösuunnitelmien tullessa osaksi paliskuntia velvoittavaa hallintoa, näen, että poronhoitolain 53 pykälän sisältämä neuvotteluvelvollisuus on jäänyt ajastaan jälkeen, eikä neuvotteluvelvoite pysty turvaamaan saamelaista poronhoitoa. Paliskuntien toimintaan vaikuttavat konkreettisten maankäyttöhankkeiden lisäksi myös hallinnolliset tai lainsäädännölliset muutokset, joihin saamelaispaliskunnat eivät voi vaikuttaa. Konkreettisissa maankäyttöhankkeissa käytävät neuvottelut eri viranomaisten kanssa vaihtelevat suuresti sisällöltään ja vaikuttavuudeltaan. Usein neuvottelu on viranomaiselle vain tekninen suoritus. Siksi esitän, että tulevaisuustyöryhmä esittää myös poronhoitolain 53 pykälän neuvotteluvelvoitteen ajantasaistamista laidunten hoito- ja käyttösuunnitelmien yhteydessä turvataksemme saamelaisen poronhoidon.</w:t>
      </w:r>
    </w:p>
    <w:p w:rsidR="0072052D" w:rsidRDefault="0072052D"/>
    <w:sectPr w:rsidR="0072052D">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AF4"/>
    <w:rsid w:val="0072052D"/>
    <w:rsid w:val="00DA6AF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3D65B4-EA76-4F21-A375-E203B3048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062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94</Words>
  <Characters>762</Characters>
  <Application>Microsoft Office Word</Application>
  <DocSecurity>0</DocSecurity>
  <Lines>6</Lines>
  <Paragraphs>1</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Sirviö Tapani (MMM)</dc:creator>
  <cp:keywords/>
  <dc:description/>
  <cp:lastModifiedBy>Sirviö Tapani (MMM)</cp:lastModifiedBy>
  <cp:revision>1</cp:revision>
  <dcterms:created xsi:type="dcterms:W3CDTF">2022-10-26T09:33:00Z</dcterms:created>
  <dcterms:modified xsi:type="dcterms:W3CDTF">2022-10-26T09:36:00Z</dcterms:modified>
</cp:coreProperties>
</file>