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2E31" w14:textId="77777777" w:rsidR="00A52B0A" w:rsidRPr="00A52B0A" w:rsidRDefault="00A52B0A" w:rsidP="00A52B0A">
      <w:pPr>
        <w:rPr>
          <w:lang w:val="fi-FI"/>
        </w:rPr>
      </w:pPr>
      <w:r w:rsidRPr="00A52B0A">
        <w:rPr>
          <w:lang w:val="fi-FI"/>
        </w:rPr>
        <w:t>Luonnos valtioneuvoston asetukseksi merituulivoimasta talousvyöhykkeellä </w:t>
      </w:r>
    </w:p>
    <w:p w14:paraId="611E1B66" w14:textId="77777777" w:rsidR="002D4594" w:rsidRDefault="00A52B0A" w:rsidP="00A52B0A">
      <w:pPr>
        <w:rPr>
          <w:lang w:val="fi-FI"/>
        </w:rPr>
      </w:pPr>
      <w:proofErr w:type="spellStart"/>
      <w:r>
        <w:rPr>
          <w:lang w:val="fi-FI"/>
        </w:rPr>
        <w:t>OceanConnect</w:t>
      </w:r>
      <w:proofErr w:type="spellEnd"/>
      <w:r>
        <w:rPr>
          <w:lang w:val="fi-FI"/>
        </w:rPr>
        <w:t xml:space="preserve"> Energyn palaute </w:t>
      </w:r>
      <w:r w:rsidR="002D4594">
        <w:rPr>
          <w:lang w:val="fi-FI"/>
        </w:rPr>
        <w:t>lausuntopalvelulle.</w:t>
      </w:r>
    </w:p>
    <w:p w14:paraId="62DFCD43" w14:textId="003DE245" w:rsidR="00A52B0A" w:rsidRPr="00A52B0A" w:rsidRDefault="00A52B0A" w:rsidP="00A52B0A">
      <w:pPr>
        <w:rPr>
          <w:lang w:val="fi-FI"/>
        </w:rPr>
      </w:pPr>
      <w:r w:rsidRPr="00A52B0A">
        <w:rPr>
          <w:lang w:val="fi-FI"/>
        </w:rPr>
        <w:t> </w:t>
      </w:r>
    </w:p>
    <w:p w14:paraId="3ED27DC6" w14:textId="77777777" w:rsidR="00A52B0A" w:rsidRPr="00A52B0A" w:rsidRDefault="00A52B0A" w:rsidP="00A52B0A">
      <w:pPr>
        <w:rPr>
          <w:lang w:val="fi-FI"/>
        </w:rPr>
      </w:pPr>
      <w:r w:rsidRPr="00A52B0A">
        <w:rPr>
          <w:lang w:val="fi-FI"/>
        </w:rPr>
        <w:t>1 </w:t>
      </w:r>
    </w:p>
    <w:p w14:paraId="44C29A6E" w14:textId="5AAB38BF" w:rsidR="00A52B0A" w:rsidRPr="00A52B0A" w:rsidRDefault="00A52B0A" w:rsidP="00A52B0A">
      <w:pPr>
        <w:rPr>
          <w:lang w:val="fi-FI"/>
        </w:rPr>
      </w:pPr>
      <w:r w:rsidRPr="00A52B0A">
        <w:rPr>
          <w:lang w:val="fi-FI"/>
        </w:rPr>
        <w:t>Olemme seuranneet Suomen markkinoita yli kolmen vuoden ajan ja ymmärrämme, että merituulivoiman kehittämismahdollisuudet ovat nyt tulossa selkeämmäksi. Suomi on maa, jolla on vahva poliittinen kehys, ja teollisuudella on kiinnostusta huutokauppaprosessin suunnitteluun ja yksityiskohtiin.   </w:t>
      </w:r>
    </w:p>
    <w:p w14:paraId="5D9DD8C4" w14:textId="366A7DD3" w:rsidR="00A52B0A" w:rsidRPr="00A52B0A" w:rsidRDefault="00A52B0A" w:rsidP="00A52B0A">
      <w:pPr>
        <w:rPr>
          <w:lang w:val="fi-FI"/>
        </w:rPr>
      </w:pPr>
      <w:r w:rsidRPr="00A52B0A">
        <w:rPr>
          <w:lang w:val="fi-FI"/>
        </w:rPr>
        <w:t>Jotta Suomi saavuttaisi merituulivoiman huutokauppaa koskevat tavoitteensa, uskomme, että osallistumisehtojen tulisi olla suunniteltu siten, että ne maksimoivat pätevien kehittäjien osallistumisen ja että ne sopivat näiden potentiaalisten hankkeiden varhaiseen vaiheeseen ja epävarmuuteen.   </w:t>
      </w:r>
    </w:p>
    <w:p w14:paraId="0B91B10C" w14:textId="77777777" w:rsidR="00A52B0A" w:rsidRPr="00A52B0A" w:rsidRDefault="00A52B0A" w:rsidP="00A52B0A">
      <w:pPr>
        <w:rPr>
          <w:lang w:val="fi-FI"/>
        </w:rPr>
      </w:pPr>
      <w:r w:rsidRPr="00A52B0A">
        <w:rPr>
          <w:lang w:val="fi-FI"/>
        </w:rPr>
        <w:t>Ensinnäkin, vähintään 600 miljoonan euron omaisuuden vaatimus 1) rajoittaa tarpeettomasti niiden kehittäjien määrää, jotka voivat täyttää vaatimukset, ja 2) tarkoittaa, että vaatimukset täyttävät suuret yritykset, joilla ei välttämättä ole varhaisen kehityksen taitoja, sopeutumiskykyä tai riskinsietokykyä, joita tarvitaan hankkeiden siirtämiseen alusta hyväksyntään ja lopulta rakentamiseen ja toimintaan. Kehityksen eri vaiheet vaativat erilaisia toimintoja, eikä pääoma ole aina hyvä indikaattori kehityskyvystä tai -kyvystä hankkeiden varhaisimmissa vaiheissa, ja ehdotamme, että tämä kelpoisuusvaatimus poistetaan. </w:t>
      </w:r>
    </w:p>
    <w:p w14:paraId="526748E4" w14:textId="30B473B2" w:rsidR="00A52B0A" w:rsidRPr="00A52B0A" w:rsidRDefault="00A52B0A" w:rsidP="00A52B0A">
      <w:pPr>
        <w:rPr>
          <w:lang w:val="fi-FI"/>
        </w:rPr>
      </w:pPr>
      <w:r w:rsidRPr="00A52B0A">
        <w:rPr>
          <w:lang w:val="fi-FI"/>
        </w:rPr>
        <w:t>Vaikka omaisuusvaatimus olisi parasta poistaa kokonaan, konsortioiden tulisi voida yhdistää kapasiteettinsa täyttääkseen kelpoisuusvaatimuksen, jos se ei ole mahdollista. Tämä loisi suotuisamman ympäristön kilpailukykyiselle huutokauppaprosessille.   </w:t>
      </w:r>
    </w:p>
    <w:p w14:paraId="5F64258C" w14:textId="77777777" w:rsidR="00A52B0A" w:rsidRPr="00A52B0A" w:rsidRDefault="00A52B0A" w:rsidP="00A52B0A">
      <w:pPr>
        <w:rPr>
          <w:lang w:val="fi-FI"/>
        </w:rPr>
      </w:pPr>
      <w:r w:rsidRPr="00A52B0A">
        <w:rPr>
          <w:lang w:val="fi-FI"/>
        </w:rPr>
        <w:t>Toiseksi, vaikka tuulivoimahankkeiden kehittäminen onkin olennaista asiantuntemusta ja järkevä sisällyttäminen osallistumiskriteereihin, tuulivoimahankkeiden rakentamisen hallinta ei ole sitä tässä varhaisessa vaiheessa. Näiden hankkeiden onnistuneeseen rakentamiseen tarvitaan tahoja, joilla on päteviä rakentamisen hallintakäytäntöjä ja kokemusta, mutta rakentaminen ei ala vielä vuosiin. Tämän kokemuksen vaatiminen alkuvaiheen kehittäjiltä rajoittaa tarpeettomasti potentiaalisten tarjoajien määrää ja voi heikentää lahjakkaiden kehittäjien kykyä tarjota kilpailukykyisesti näitä palveluita, kun niitä hankkeessa tarvitaan. Tämä voi johtaa tarpeettoman korkeisiin rakennus-/EPC-kustannuksiin ja sitä kautta korkeampiin energiakustannuksiin. </w:t>
      </w:r>
    </w:p>
    <w:p w14:paraId="20015A15" w14:textId="77777777" w:rsidR="00A52B0A" w:rsidRPr="00A52B0A" w:rsidRDefault="00A52B0A" w:rsidP="00A52B0A">
      <w:pPr>
        <w:rPr>
          <w:lang w:val="fi-FI"/>
        </w:rPr>
      </w:pPr>
      <w:r w:rsidRPr="00A52B0A">
        <w:rPr>
          <w:lang w:val="fi-FI"/>
        </w:rPr>
        <w:t> </w:t>
      </w:r>
    </w:p>
    <w:p w14:paraId="6EE99285" w14:textId="77777777" w:rsidR="00A52B0A" w:rsidRPr="00A52B0A" w:rsidRDefault="00A52B0A" w:rsidP="00A52B0A">
      <w:pPr>
        <w:rPr>
          <w:lang w:val="fi-FI"/>
        </w:rPr>
      </w:pPr>
      <w:r w:rsidRPr="00A52B0A">
        <w:rPr>
          <w:lang w:val="fi-FI"/>
        </w:rPr>
        <w:lastRenderedPageBreak/>
        <w:t>2 </w:t>
      </w:r>
    </w:p>
    <w:p w14:paraId="4C45A753" w14:textId="556F6B90" w:rsidR="00A52B0A" w:rsidRPr="00A52B0A" w:rsidRDefault="00A52B0A" w:rsidP="00A52B0A">
      <w:pPr>
        <w:rPr>
          <w:lang w:val="fi-FI"/>
        </w:rPr>
      </w:pPr>
      <w:r w:rsidRPr="00A52B0A">
        <w:rPr>
          <w:lang w:val="fi-FI"/>
        </w:rPr>
        <w:t>Ensinnäkin uskomme, että miljoonan euron osallistumistakuu on alan standardien mukainen tämäntyyppisessä huutokaupassa. Pienempi summa voi kuitenkin mahdollistaa suuremman osallistumismäärän itse huutokauppaan, mikä tulisi olla hallituksen tavoittelema tulos. </w:t>
      </w:r>
    </w:p>
    <w:p w14:paraId="2730EF13" w14:textId="77777777" w:rsidR="00A52B0A" w:rsidRPr="00A52B0A" w:rsidRDefault="00A52B0A" w:rsidP="00A52B0A">
      <w:pPr>
        <w:rPr>
          <w:lang w:val="fi-FI"/>
        </w:rPr>
      </w:pPr>
      <w:r w:rsidRPr="00A52B0A">
        <w:rPr>
          <w:lang w:val="fi-FI"/>
        </w:rPr>
        <w:t>Toiseksi, suoritustakuu on nykymuodossaan kohtuuton. Rakenteeltaan takuu lisää keinotekoisesti kehityskustannuksia, mikä voi johtaa vain korkeampiin projekti- ja energiakustannuksiin. Lisäksi kehityshankkeita ei pitäisi "rangaista" kehityssyklin ja aikataulun osa-alueista, jotka ovat ehdottomasti niiden kontrollin ulkopuolella (esimerkiksi hallituksen tarkastus- tai kommenttijaksot projektidokumentaatiolle). Voi olla oikeudenmukaista, että takuu peritään hankkeista, jotka viivästyvät kehittäjän toimimattomuuden tai huonon päätöksenteon vuoksi. Mutta jos kehityshanke etenee määritellyn ja hyväksyttävän aikataulun mukaisesti, tämäntyyppinen suoritustakuu ei ole perusteltu. </w:t>
      </w:r>
    </w:p>
    <w:p w14:paraId="1B50702A" w14:textId="77777777" w:rsidR="00A52B0A" w:rsidRPr="00A52B0A" w:rsidRDefault="00A52B0A" w:rsidP="00A52B0A">
      <w:pPr>
        <w:rPr>
          <w:lang w:val="fi-FI"/>
        </w:rPr>
      </w:pPr>
      <w:r w:rsidRPr="00A52B0A">
        <w:rPr>
          <w:lang w:val="fi-FI"/>
        </w:rPr>
        <w:t> </w:t>
      </w:r>
    </w:p>
    <w:p w14:paraId="77EBC0F0" w14:textId="77777777" w:rsidR="00A52B0A" w:rsidRPr="00A52B0A" w:rsidRDefault="00A52B0A" w:rsidP="00A52B0A">
      <w:pPr>
        <w:rPr>
          <w:lang w:val="fi-FI"/>
        </w:rPr>
      </w:pPr>
      <w:r w:rsidRPr="00A52B0A">
        <w:rPr>
          <w:lang w:val="fi-FI"/>
        </w:rPr>
        <w:t>3 </w:t>
      </w:r>
    </w:p>
    <w:p w14:paraId="34FC0DFE" w14:textId="53D0D4E5" w:rsidR="00A52B0A" w:rsidRPr="00A52B0A" w:rsidRDefault="00A52B0A" w:rsidP="00A52B0A">
      <w:pPr>
        <w:rPr>
          <w:lang w:val="fi-FI"/>
        </w:rPr>
      </w:pPr>
      <w:r w:rsidRPr="00A52B0A">
        <w:rPr>
          <w:lang w:val="fi-FI"/>
        </w:rPr>
        <w:t>Uskomme, että nykymuodossaan käyttömaksu voi aiheuttaa tulevaisuudessa riskejä tässä varhaisessa vaiheessa, joita jotkut muutoin osallistumiseen pätevät ja kiinnostuneet kehittäjät eivät välttämättä hyväksy. Tämä rakenne voi heikentää osallistumista tai tarkoittaa, että tarjotut käyttömaksut ovat hyvin alhaiset tai vähimmäismääräiset. </w:t>
      </w:r>
    </w:p>
    <w:p w14:paraId="697E72BD" w14:textId="2CBF3D00" w:rsidR="00A52B0A" w:rsidRPr="00A52B0A" w:rsidRDefault="00A52B0A" w:rsidP="00A52B0A">
      <w:pPr>
        <w:rPr>
          <w:lang w:val="fi-FI"/>
        </w:rPr>
      </w:pPr>
      <w:r w:rsidRPr="00A52B0A">
        <w:rPr>
          <w:lang w:val="fi-FI"/>
        </w:rPr>
        <w:t>Lisäksi, ja mikä tärkeämpää, korkeammat käyttömaksut johtavat kehittäjien kustannusten kattamiseen liittyviin vaatimuksiin ja siten korkeampiin energiakustannuksiin kuluttajille. Siten hankkeet, jotka tarjoavat korkeampia käyttömaksuja, eivät todennäköisesti saa riittäviä sähkön ostosopimuksia hankkeiden rahoittamiseksi, ja siksi niiden toteutuminen ja käyttöönotto voi olla epätodennäköisempää. </w:t>
      </w:r>
    </w:p>
    <w:p w14:paraId="33049B85" w14:textId="77777777" w:rsidR="00A52B0A" w:rsidRPr="00A52B0A" w:rsidRDefault="00A52B0A" w:rsidP="00A52B0A">
      <w:pPr>
        <w:rPr>
          <w:lang w:val="fi-FI"/>
        </w:rPr>
      </w:pPr>
      <w:r w:rsidRPr="00A52B0A">
        <w:rPr>
          <w:lang w:val="fi-FI"/>
        </w:rPr>
        <w:t>Järjesteltynä käyttömaksumekanismi voi kannustaa huolimattomia kehittäjiä tekemään liian optimistisia tarjouksia vuokrasopimusten saamiseksi, mutta johtaa hankkeisiin, joita ei voida rakentaa taloudellisten syiden vuoksi. Jos näin olisi, hallitus ei saavuttaisi tavoitettaan integroida merituulivoima resurssivalikoimaan, ja aikaa ja resursseja tuhlattaisiin hankkeisiin, joita ei lopulta rakenneta. </w:t>
      </w:r>
    </w:p>
    <w:p w14:paraId="52CF1582" w14:textId="77777777" w:rsidR="00A52B0A" w:rsidRPr="00A52B0A" w:rsidRDefault="00A52B0A" w:rsidP="00A52B0A">
      <w:pPr>
        <w:rPr>
          <w:lang w:val="fi-FI"/>
        </w:rPr>
      </w:pPr>
      <w:r w:rsidRPr="00A52B0A">
        <w:rPr>
          <w:lang w:val="fi-FI"/>
        </w:rPr>
        <w:t> </w:t>
      </w:r>
    </w:p>
    <w:p w14:paraId="6D78EE0C" w14:textId="77777777" w:rsidR="00A52B0A" w:rsidRPr="00A52B0A" w:rsidRDefault="00A52B0A" w:rsidP="00A52B0A">
      <w:pPr>
        <w:rPr>
          <w:lang w:val="fi-FI"/>
        </w:rPr>
      </w:pPr>
      <w:r w:rsidRPr="00A52B0A">
        <w:rPr>
          <w:lang w:val="fi-FI"/>
        </w:rPr>
        <w:t>4 </w:t>
      </w:r>
    </w:p>
    <w:p w14:paraId="535129AF" w14:textId="77777777" w:rsidR="00A52B0A" w:rsidRPr="00A52B0A" w:rsidRDefault="00A52B0A" w:rsidP="00A52B0A">
      <w:pPr>
        <w:rPr>
          <w:lang w:val="fi-FI"/>
        </w:rPr>
      </w:pPr>
      <w:r w:rsidRPr="00A52B0A">
        <w:rPr>
          <w:lang w:val="fi-FI"/>
        </w:rPr>
        <w:t>Meillä ei ole tällä hetkellä kommentoitavaa. </w:t>
      </w:r>
    </w:p>
    <w:p w14:paraId="6BB90AFE" w14:textId="77777777" w:rsidR="00A52B0A" w:rsidRPr="00A52B0A" w:rsidRDefault="00A52B0A" w:rsidP="00A52B0A">
      <w:pPr>
        <w:rPr>
          <w:lang w:val="fi-FI"/>
        </w:rPr>
      </w:pPr>
      <w:r w:rsidRPr="00A52B0A">
        <w:rPr>
          <w:lang w:val="fi-FI"/>
        </w:rPr>
        <w:lastRenderedPageBreak/>
        <w:t> </w:t>
      </w:r>
    </w:p>
    <w:p w14:paraId="34E7AC1C" w14:textId="77777777" w:rsidR="00A52B0A" w:rsidRPr="00A52B0A" w:rsidRDefault="00A52B0A" w:rsidP="00A52B0A">
      <w:pPr>
        <w:rPr>
          <w:lang w:val="fi-FI"/>
        </w:rPr>
      </w:pPr>
      <w:r w:rsidRPr="00A52B0A">
        <w:rPr>
          <w:lang w:val="fi-FI"/>
        </w:rPr>
        <w:t>5 </w:t>
      </w:r>
    </w:p>
    <w:p w14:paraId="36C26F23" w14:textId="77777777" w:rsidR="00A52B0A" w:rsidRPr="00A52B0A" w:rsidRDefault="00A52B0A" w:rsidP="00A52B0A">
      <w:pPr>
        <w:rPr>
          <w:lang w:val="fi-FI"/>
        </w:rPr>
      </w:pPr>
      <w:r w:rsidRPr="00A52B0A">
        <w:rPr>
          <w:lang w:val="fi-FI"/>
        </w:rPr>
        <w:t xml:space="preserve">Ymmärrämme, että sekä maan sisäisissä että </w:t>
      </w:r>
      <w:proofErr w:type="spellStart"/>
      <w:r w:rsidRPr="00A52B0A">
        <w:rPr>
          <w:lang w:val="fi-FI"/>
        </w:rPr>
        <w:t>offshore</w:t>
      </w:r>
      <w:proofErr w:type="spellEnd"/>
      <w:r w:rsidRPr="00A52B0A">
        <w:rPr>
          <w:lang w:val="fi-FI"/>
        </w:rPr>
        <w:t>-projekteissa kokemus on tärkeää. Kyseenalaistamme kuitenkin maalla tapahtuvan kehityskokemuksen pisteytyksen. Vaikka kehitysprosesseilla voi olla yhtäläisyyksiä, vaadittu kokemuksen soveltaminen eroaa merkittävästi ajoituksen, budjetoinnin ja teknisten vaatimusten asettamisen suhteen. Arvostaisimme selkeämpää selitystä maalla tapahtuvien projektien pisteytyksen taustalla olevista perusteista. </w:t>
      </w:r>
    </w:p>
    <w:p w14:paraId="5C2E57B2" w14:textId="77777777" w:rsidR="00A52B0A" w:rsidRPr="00A52B0A" w:rsidRDefault="00A52B0A" w:rsidP="00A52B0A">
      <w:pPr>
        <w:rPr>
          <w:lang w:val="fi-FI"/>
        </w:rPr>
      </w:pPr>
      <w:r w:rsidRPr="00A52B0A">
        <w:rPr>
          <w:lang w:val="fi-FI"/>
        </w:rPr>
        <w:t> </w:t>
      </w:r>
    </w:p>
    <w:p w14:paraId="78E73A87" w14:textId="77777777" w:rsidR="00A52B0A" w:rsidRPr="00A52B0A" w:rsidRDefault="00A52B0A" w:rsidP="00A52B0A">
      <w:pPr>
        <w:rPr>
          <w:lang w:val="fi-FI"/>
        </w:rPr>
      </w:pPr>
      <w:r w:rsidRPr="00A52B0A">
        <w:rPr>
          <w:lang w:val="fi-FI"/>
        </w:rPr>
        <w:t>6 </w:t>
      </w:r>
    </w:p>
    <w:p w14:paraId="4B273FA4" w14:textId="6907CEBA" w:rsidR="00A52B0A" w:rsidRPr="00A52B0A" w:rsidRDefault="00A52B0A" w:rsidP="00A52B0A">
      <w:pPr>
        <w:rPr>
          <w:lang w:val="fi-FI"/>
        </w:rPr>
      </w:pPr>
      <w:r w:rsidRPr="00A52B0A">
        <w:rPr>
          <w:lang w:val="fi-FI"/>
        </w:rPr>
        <w:t>Meillä ei ole kommentoitavaa tutkavalvontavaatimuksesta. </w:t>
      </w:r>
    </w:p>
    <w:p w14:paraId="3BC14ED8" w14:textId="77777777" w:rsidR="00A52B0A" w:rsidRPr="00A52B0A" w:rsidRDefault="00A52B0A" w:rsidP="00A52B0A">
      <w:pPr>
        <w:rPr>
          <w:lang w:val="fi-FI"/>
        </w:rPr>
      </w:pPr>
      <w:r w:rsidRPr="00A52B0A">
        <w:rPr>
          <w:lang w:val="fi-FI"/>
        </w:rPr>
        <w:t>Uusiutuvien polttoaineiden ja/tai sähkön saatavuutta toiminnan tukemiseksi on kuitenkin vaikea ennustaa, kun kaupallisen toiminnan ajankohta on vielä ainakin useiden vuosien päässä. Kehittäjien sitoutuminen tällaiseen toimintaan voi vaikuttaa projektikustannuksiin käyttökuluvaiheessa, joten tulisi olla olemassa jokin mekanismi, jolla suojaudutaan merkittäviltä kustannusten nousuilta, jotka vaikuttaisivat olennaisesti kuluttajien energiakustannuksiin. </w:t>
      </w:r>
    </w:p>
    <w:p w14:paraId="01FA8D43" w14:textId="77777777" w:rsidR="00A52B0A" w:rsidRPr="00A52B0A" w:rsidRDefault="00A52B0A" w:rsidP="00A52B0A">
      <w:pPr>
        <w:rPr>
          <w:lang w:val="fi-FI"/>
        </w:rPr>
      </w:pPr>
      <w:r w:rsidRPr="00A52B0A">
        <w:rPr>
          <w:lang w:val="fi-FI"/>
        </w:rPr>
        <w:t> </w:t>
      </w:r>
    </w:p>
    <w:p w14:paraId="040A0030" w14:textId="77777777" w:rsidR="00A52B0A" w:rsidRPr="00A52B0A" w:rsidRDefault="00A52B0A" w:rsidP="00A52B0A">
      <w:pPr>
        <w:rPr>
          <w:lang w:val="fi-FI"/>
        </w:rPr>
      </w:pPr>
      <w:r w:rsidRPr="00A52B0A">
        <w:rPr>
          <w:lang w:val="fi-FI"/>
        </w:rPr>
        <w:t>7 </w:t>
      </w:r>
    </w:p>
    <w:p w14:paraId="0EB5D170" w14:textId="77777777" w:rsidR="00A52B0A" w:rsidRPr="00A52B0A" w:rsidRDefault="00A52B0A" w:rsidP="00A52B0A">
      <w:pPr>
        <w:rPr>
          <w:lang w:val="fi-FI"/>
        </w:rPr>
      </w:pPr>
      <w:r w:rsidRPr="00A52B0A">
        <w:rPr>
          <w:lang w:val="fi-FI"/>
        </w:rPr>
        <w:t>Pyydämme selvennystä tarjouspyynnössä, miten "Power-to-X" määritellään? Viittaako se vain sähkösynteettisten polttoaineiden tuotantoon? Vai kelpaisivatko pisteytykseen mitkä tahansa muut "suoraan kuluttajalle toimitettavat sähköratkaisut"? </w:t>
      </w:r>
    </w:p>
    <w:p w14:paraId="70306F4C" w14:textId="77777777" w:rsidR="00A52B0A" w:rsidRPr="00A52B0A" w:rsidRDefault="00A52B0A" w:rsidP="00A52B0A">
      <w:pPr>
        <w:rPr>
          <w:lang w:val="fi-FI"/>
        </w:rPr>
      </w:pPr>
      <w:r w:rsidRPr="00A52B0A">
        <w:rPr>
          <w:lang w:val="fi-FI"/>
        </w:rPr>
        <w:t> </w:t>
      </w:r>
    </w:p>
    <w:p w14:paraId="0D2A9B5B" w14:textId="77777777" w:rsidR="00A52B0A" w:rsidRPr="00A52B0A" w:rsidRDefault="00A52B0A" w:rsidP="00A52B0A">
      <w:pPr>
        <w:rPr>
          <w:lang w:val="fi-FI"/>
        </w:rPr>
      </w:pPr>
      <w:r w:rsidRPr="00A52B0A">
        <w:rPr>
          <w:lang w:val="fi-FI"/>
        </w:rPr>
        <w:t>8 </w:t>
      </w:r>
    </w:p>
    <w:p w14:paraId="4ABB5D10" w14:textId="62D63EB9" w:rsidR="00A52B0A" w:rsidRPr="00A52B0A" w:rsidRDefault="00A52B0A" w:rsidP="00A52B0A">
      <w:pPr>
        <w:rPr>
          <w:lang w:val="fi-FI"/>
        </w:rPr>
      </w:pPr>
      <w:r w:rsidRPr="00A52B0A">
        <w:rPr>
          <w:lang w:val="fi-FI"/>
        </w:rPr>
        <w:t xml:space="preserve">Uskomme, että hintakriteerien painoarvoa tulisi vähentää vastauksessamme nro 3 esitetyistä syistä. Itse asiassa käyttömaksu tulisi poistaa osana vuokrasopimusten pisteytystä. Megawattiperusteinen vuokramaksu, jota peritään tasapuolisesti kaikilta kehittäjiltä, on kohtuullinen tapa hallitukselle varmistaa vuokra </w:t>
      </w:r>
      <w:proofErr w:type="spellStart"/>
      <w:r w:rsidRPr="00A52B0A">
        <w:rPr>
          <w:lang w:val="fi-FI"/>
        </w:rPr>
        <w:t>offshore</w:t>
      </w:r>
      <w:proofErr w:type="spellEnd"/>
      <w:r w:rsidRPr="00A52B0A">
        <w:rPr>
          <w:lang w:val="fi-FI"/>
        </w:rPr>
        <w:t xml:space="preserve">-tilan käytöstä. Mutta strukturoituna käyttömaksu aiheuttaa todellisen riskin, että huolimattomat kehittäjät tekevät tarjouksia vuokrasopimuksen saamiseksi, jota he eivät voi tehdä. Tämä pätee erityisesti kehitysprosessin alkuvaiheessa, eikä kenelläkään kehittäjällä ole näkyvyyttä </w:t>
      </w:r>
      <w:r w:rsidRPr="00A52B0A">
        <w:rPr>
          <w:lang w:val="fi-FI"/>
        </w:rPr>
        <w:lastRenderedPageBreak/>
        <w:t>ostoehtoihin (ja sähkön hintaan, jonka kehityshanke pystyy saavuttamaan) hankkeidensa rahoittamiseksi. </w:t>
      </w:r>
    </w:p>
    <w:p w14:paraId="196F6215" w14:textId="5F96C29B" w:rsidR="00A52B0A" w:rsidRPr="00A52B0A" w:rsidRDefault="00A52B0A" w:rsidP="00A52B0A">
      <w:pPr>
        <w:rPr>
          <w:lang w:val="fi-FI"/>
        </w:rPr>
      </w:pPr>
      <w:r w:rsidRPr="00A52B0A">
        <w:rPr>
          <w:lang w:val="fi-FI"/>
        </w:rPr>
        <w:t>Aikana, jolloin kilpailukykyisesti hinnoiteltu sähkö on kansallinen kilpailuetu, keinotekoinen sähkön hintojen nostaminen (kuten käyttömaksu tekee) tekee teollisuuden houkuttelemisesta, mukaan lukien "Power-2-X", haastavampaa. </w:t>
      </w:r>
    </w:p>
    <w:p w14:paraId="61126D69" w14:textId="77777777" w:rsidR="00A52B0A" w:rsidRPr="00A52B0A" w:rsidRDefault="00A52B0A" w:rsidP="00A52B0A">
      <w:pPr>
        <w:rPr>
          <w:lang w:val="fi-FI"/>
        </w:rPr>
      </w:pPr>
      <w:r w:rsidRPr="00A52B0A">
        <w:rPr>
          <w:lang w:val="fi-FI"/>
        </w:rPr>
        <w:t xml:space="preserve">On muitakin tapoja houkutella sisäänpäin suuntautuvia investointeja, jotka voisivat toiminnallisesti korvata käyttömaksun kriteerinä, mutta myös tulot, joita valtio saa </w:t>
      </w:r>
      <w:proofErr w:type="spellStart"/>
      <w:r w:rsidRPr="00A52B0A">
        <w:rPr>
          <w:lang w:val="fi-FI"/>
        </w:rPr>
        <w:t>offshore</w:t>
      </w:r>
      <w:proofErr w:type="spellEnd"/>
      <w:r w:rsidRPr="00A52B0A">
        <w:rPr>
          <w:lang w:val="fi-FI"/>
        </w:rPr>
        <w:t>-tuulivoiman kehittämisestä. </w:t>
      </w:r>
    </w:p>
    <w:p w14:paraId="1AFC2E50" w14:textId="77777777" w:rsidR="00A52B0A" w:rsidRPr="00A52B0A" w:rsidRDefault="00A52B0A" w:rsidP="00A52B0A">
      <w:pPr>
        <w:rPr>
          <w:lang w:val="fi-FI"/>
        </w:rPr>
      </w:pPr>
      <w:r w:rsidRPr="00A52B0A">
        <w:rPr>
          <w:lang w:val="fi-FI"/>
        </w:rPr>
        <w:t> </w:t>
      </w:r>
    </w:p>
    <w:p w14:paraId="57896C62" w14:textId="77777777" w:rsidR="00A52B0A" w:rsidRPr="00A52B0A" w:rsidRDefault="00A52B0A" w:rsidP="00A52B0A">
      <w:pPr>
        <w:rPr>
          <w:lang w:val="fi-FI"/>
        </w:rPr>
      </w:pPr>
      <w:r w:rsidRPr="00A52B0A">
        <w:rPr>
          <w:lang w:val="fi-FI"/>
        </w:rPr>
        <w:t>9 </w:t>
      </w:r>
    </w:p>
    <w:p w14:paraId="4DD434B2" w14:textId="5E8319AB" w:rsidR="00A52B0A" w:rsidRPr="00A52B0A" w:rsidRDefault="00A52B0A" w:rsidP="00A52B0A">
      <w:pPr>
        <w:rPr>
          <w:lang w:val="fi-FI"/>
        </w:rPr>
      </w:pPr>
      <w:r w:rsidRPr="00A52B0A">
        <w:rPr>
          <w:lang w:val="fi-FI"/>
        </w:rPr>
        <w:t>Joitakin loppuhuomioita: </w:t>
      </w:r>
    </w:p>
    <w:p w14:paraId="6B042A24" w14:textId="50ED2529" w:rsidR="00A52B0A" w:rsidRPr="00A52B0A" w:rsidRDefault="00A52B0A" w:rsidP="00A52B0A">
      <w:pPr>
        <w:rPr>
          <w:lang w:val="fi-FI"/>
        </w:rPr>
      </w:pPr>
      <w:r w:rsidRPr="00A52B0A">
        <w:rPr>
          <w:lang w:val="fi-FI"/>
        </w:rPr>
        <w:t>Onko kehittäjille seuraamuksia hankkeen hylkäämisestä vuokrasopimuksen saamisen jälkeen? </w:t>
      </w:r>
    </w:p>
    <w:p w14:paraId="1992B7C6" w14:textId="29599265" w:rsidR="00A52B0A" w:rsidRPr="00A52B0A" w:rsidRDefault="00A52B0A" w:rsidP="00A52B0A">
      <w:pPr>
        <w:rPr>
          <w:lang w:val="fi-FI"/>
        </w:rPr>
      </w:pPr>
      <w:r w:rsidRPr="00A52B0A">
        <w:rPr>
          <w:lang w:val="fi-FI"/>
        </w:rPr>
        <w:t>Hallitus voisi harkita kotimaisen sisällön sisällyttämistä laatupisteytyskriteereihinsä. Kotimaisen sisällön käytön edistäminen voisi lisätä taloudellista toimintaa, teollista kehitystä ja veronkantoa valtiolle. Näillä tavoin kotimaisen sisällön pisteytys voisi korvata käyttömaksun ja sillä olisi sekä alentaa ulkomailla tapahtuvan käyttöönoton kustannuksia ajan myötä että valmistaa alaa mahdollisesti osallistumaan muille markkinoille. </w:t>
      </w:r>
    </w:p>
    <w:p w14:paraId="07C26B84" w14:textId="1C19B81C" w:rsidR="00DA09A3" w:rsidRPr="00A52B0A" w:rsidRDefault="00A52B0A">
      <w:pPr>
        <w:rPr>
          <w:lang w:val="fi-FI"/>
        </w:rPr>
      </w:pPr>
      <w:r w:rsidRPr="00A52B0A">
        <w:rPr>
          <w:lang w:val="fi-FI"/>
        </w:rPr>
        <w:t>Pyydämme valtiota antamaan riittävästi aikaa tarjouksen laatimiseen (vähintään 7–9 kuukautta). </w:t>
      </w:r>
    </w:p>
    <w:sectPr w:rsidR="00DA09A3" w:rsidRPr="00A52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D3"/>
    <w:rsid w:val="002D4594"/>
    <w:rsid w:val="00662CB3"/>
    <w:rsid w:val="007C4562"/>
    <w:rsid w:val="00926D87"/>
    <w:rsid w:val="00A52B0A"/>
    <w:rsid w:val="00C4023C"/>
    <w:rsid w:val="00C90ED3"/>
    <w:rsid w:val="00CF06B9"/>
    <w:rsid w:val="00DA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4213"/>
  <w15:chartTrackingRefBased/>
  <w15:docId w15:val="{63850329-939D-4F27-970F-BE235B47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ED3"/>
    <w:rPr>
      <w:rFonts w:eastAsiaTheme="majorEastAsia" w:cstheme="majorBidi"/>
      <w:color w:val="272727" w:themeColor="text1" w:themeTint="D8"/>
    </w:rPr>
  </w:style>
  <w:style w:type="paragraph" w:styleId="Title">
    <w:name w:val="Title"/>
    <w:basedOn w:val="Normal"/>
    <w:next w:val="Normal"/>
    <w:link w:val="TitleChar"/>
    <w:uiPriority w:val="10"/>
    <w:qFormat/>
    <w:rsid w:val="00C90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ED3"/>
    <w:pPr>
      <w:spacing w:before="160"/>
      <w:jc w:val="center"/>
    </w:pPr>
    <w:rPr>
      <w:i/>
      <w:iCs/>
      <w:color w:val="404040" w:themeColor="text1" w:themeTint="BF"/>
    </w:rPr>
  </w:style>
  <w:style w:type="character" w:customStyle="1" w:styleId="QuoteChar">
    <w:name w:val="Quote Char"/>
    <w:basedOn w:val="DefaultParagraphFont"/>
    <w:link w:val="Quote"/>
    <w:uiPriority w:val="29"/>
    <w:rsid w:val="00C90ED3"/>
    <w:rPr>
      <w:i/>
      <w:iCs/>
      <w:color w:val="404040" w:themeColor="text1" w:themeTint="BF"/>
    </w:rPr>
  </w:style>
  <w:style w:type="paragraph" w:styleId="ListParagraph">
    <w:name w:val="List Paragraph"/>
    <w:basedOn w:val="Normal"/>
    <w:uiPriority w:val="34"/>
    <w:qFormat/>
    <w:rsid w:val="00C90ED3"/>
    <w:pPr>
      <w:ind w:left="720"/>
      <w:contextualSpacing/>
    </w:pPr>
  </w:style>
  <w:style w:type="character" w:styleId="IntenseEmphasis">
    <w:name w:val="Intense Emphasis"/>
    <w:basedOn w:val="DefaultParagraphFont"/>
    <w:uiPriority w:val="21"/>
    <w:qFormat/>
    <w:rsid w:val="00C90ED3"/>
    <w:rPr>
      <w:i/>
      <w:iCs/>
      <w:color w:val="0F4761" w:themeColor="accent1" w:themeShade="BF"/>
    </w:rPr>
  </w:style>
  <w:style w:type="paragraph" w:styleId="IntenseQuote">
    <w:name w:val="Intense Quote"/>
    <w:basedOn w:val="Normal"/>
    <w:next w:val="Normal"/>
    <w:link w:val="IntenseQuoteChar"/>
    <w:uiPriority w:val="30"/>
    <w:qFormat/>
    <w:rsid w:val="00C90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ED3"/>
    <w:rPr>
      <w:i/>
      <w:iCs/>
      <w:color w:val="0F4761" w:themeColor="accent1" w:themeShade="BF"/>
    </w:rPr>
  </w:style>
  <w:style w:type="character" w:styleId="IntenseReference">
    <w:name w:val="Intense Reference"/>
    <w:basedOn w:val="DefaultParagraphFont"/>
    <w:uiPriority w:val="32"/>
    <w:qFormat/>
    <w:rsid w:val="00C90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6379</Characters>
  <Application>Microsoft Office Word</Application>
  <DocSecurity>0</DocSecurity>
  <Lines>53</Lines>
  <Paragraphs>14</Paragraphs>
  <ScaleCrop>false</ScaleCrop>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Karlis Goldstein</dc:creator>
  <cp:keywords/>
  <dc:description/>
  <cp:lastModifiedBy>Karlis Goldstein</cp:lastModifiedBy>
  <cp:revision>3</cp:revision>
  <dcterms:created xsi:type="dcterms:W3CDTF">2025-08-18T07:07:00Z</dcterms:created>
  <dcterms:modified xsi:type="dcterms:W3CDTF">2025-08-18T07:12:00Z</dcterms:modified>
</cp:coreProperties>
</file>