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6A" w:rsidRPr="00E471C5" w:rsidRDefault="0087666A" w:rsidP="0075672C">
      <w:pPr>
        <w:jc w:val="both"/>
        <w:rPr>
          <w:sz w:val="22"/>
          <w:szCs w:val="22"/>
        </w:rPr>
      </w:pPr>
    </w:p>
    <w:p w:rsidR="0075049C" w:rsidRPr="00E471C5" w:rsidRDefault="0075049C" w:rsidP="0075672C">
      <w:pPr>
        <w:jc w:val="both"/>
        <w:rPr>
          <w:sz w:val="22"/>
          <w:szCs w:val="22"/>
        </w:rPr>
      </w:pPr>
    </w:p>
    <w:p w:rsidR="0075049C" w:rsidRPr="00E471C5" w:rsidRDefault="0075049C" w:rsidP="0075672C">
      <w:pPr>
        <w:jc w:val="both"/>
        <w:rPr>
          <w:sz w:val="22"/>
          <w:szCs w:val="22"/>
        </w:rPr>
      </w:pPr>
    </w:p>
    <w:p w:rsidR="004F61B9" w:rsidRPr="003F060D" w:rsidRDefault="004F61B9" w:rsidP="0075672C">
      <w:pPr>
        <w:jc w:val="both"/>
      </w:pPr>
    </w:p>
    <w:p w:rsidR="007659BB" w:rsidRPr="003F060D" w:rsidRDefault="00F2280B" w:rsidP="0075672C">
      <w:pPr>
        <w:jc w:val="both"/>
      </w:pPr>
      <w:r w:rsidRPr="003F060D">
        <w:t>Oikeusministeriö</w:t>
      </w:r>
    </w:p>
    <w:p w:rsidR="00F2280B" w:rsidRPr="003F060D" w:rsidRDefault="00F2280B" w:rsidP="0075672C">
      <w:pPr>
        <w:jc w:val="both"/>
      </w:pPr>
      <w:r w:rsidRPr="003F060D">
        <w:t>Lainvalmisteluosasto</w:t>
      </w:r>
    </w:p>
    <w:p w:rsidR="00F2280B" w:rsidRPr="003F060D" w:rsidRDefault="00F2280B" w:rsidP="0075672C">
      <w:pPr>
        <w:jc w:val="both"/>
      </w:pPr>
      <w:r w:rsidRPr="003F060D">
        <w:t>Yksityisoikeuden yksikkö</w:t>
      </w:r>
    </w:p>
    <w:p w:rsidR="002669B1" w:rsidRPr="003F060D" w:rsidRDefault="002669B1" w:rsidP="0075672C">
      <w:pPr>
        <w:jc w:val="both"/>
      </w:pPr>
      <w:r w:rsidRPr="003F060D">
        <w:t>PL 25</w:t>
      </w:r>
    </w:p>
    <w:p w:rsidR="002669B1" w:rsidRPr="003F060D" w:rsidRDefault="002669B1" w:rsidP="0075672C">
      <w:pPr>
        <w:jc w:val="both"/>
      </w:pPr>
      <w:r w:rsidRPr="003F060D">
        <w:t>00023 Valtioneuvosto</w:t>
      </w:r>
    </w:p>
    <w:p w:rsidR="00B35FEE" w:rsidRPr="003F060D" w:rsidRDefault="00B35FEE" w:rsidP="0075672C">
      <w:pPr>
        <w:jc w:val="both"/>
      </w:pPr>
    </w:p>
    <w:p w:rsidR="00B35FEE" w:rsidRPr="00E471C5" w:rsidRDefault="00B35FEE" w:rsidP="0075672C">
      <w:pPr>
        <w:jc w:val="both"/>
        <w:rPr>
          <w:sz w:val="22"/>
          <w:szCs w:val="22"/>
        </w:rPr>
      </w:pPr>
    </w:p>
    <w:p w:rsidR="00B35FEE" w:rsidRPr="00E471C5" w:rsidRDefault="00B35FEE" w:rsidP="0075672C">
      <w:pPr>
        <w:jc w:val="both"/>
        <w:rPr>
          <w:sz w:val="22"/>
          <w:szCs w:val="22"/>
        </w:rPr>
      </w:pPr>
    </w:p>
    <w:p w:rsidR="00B35FEE" w:rsidRPr="00E471C5" w:rsidRDefault="00B35FEE" w:rsidP="0075672C">
      <w:pPr>
        <w:jc w:val="both"/>
        <w:rPr>
          <w:sz w:val="22"/>
          <w:szCs w:val="22"/>
        </w:rPr>
      </w:pPr>
    </w:p>
    <w:p w:rsidR="00B35FEE" w:rsidRPr="00E471C5" w:rsidRDefault="00B35FEE" w:rsidP="0075672C">
      <w:pPr>
        <w:jc w:val="both"/>
        <w:rPr>
          <w:sz w:val="22"/>
          <w:szCs w:val="22"/>
        </w:rPr>
      </w:pPr>
    </w:p>
    <w:p w:rsidR="002669B1" w:rsidRPr="0069183A" w:rsidRDefault="002669B1" w:rsidP="0075672C">
      <w:pPr>
        <w:jc w:val="both"/>
      </w:pPr>
      <w:r w:rsidRPr="0069183A">
        <w:t>Lausuntopyyntö</w:t>
      </w:r>
      <w:r w:rsidR="007E656F" w:rsidRPr="0069183A">
        <w:t>nne</w:t>
      </w:r>
      <w:r w:rsidRPr="0069183A">
        <w:t xml:space="preserve"> (OM 19/41/2007) 20.8.2010</w:t>
      </w:r>
      <w:r w:rsidR="00F2280B" w:rsidRPr="0069183A">
        <w:t xml:space="preserve"> </w:t>
      </w:r>
    </w:p>
    <w:p w:rsidR="002669B1" w:rsidRDefault="002669B1" w:rsidP="0075672C">
      <w:pPr>
        <w:jc w:val="both"/>
        <w:rPr>
          <w:sz w:val="22"/>
          <w:szCs w:val="22"/>
        </w:rPr>
      </w:pPr>
    </w:p>
    <w:p w:rsidR="0069183A" w:rsidRDefault="00F2280B" w:rsidP="0075672C">
      <w:pPr>
        <w:jc w:val="both"/>
        <w:rPr>
          <w:b/>
          <w:sz w:val="28"/>
          <w:szCs w:val="28"/>
        </w:rPr>
      </w:pPr>
      <w:r w:rsidRPr="007E656F">
        <w:rPr>
          <w:b/>
          <w:sz w:val="28"/>
          <w:szCs w:val="28"/>
        </w:rPr>
        <w:t>Julkisyhteisön korvausvastuuta koskeva selvitys</w:t>
      </w:r>
    </w:p>
    <w:p w:rsidR="0069183A" w:rsidRDefault="0069183A" w:rsidP="0075672C">
      <w:pPr>
        <w:jc w:val="both"/>
        <w:rPr>
          <w:b/>
          <w:sz w:val="28"/>
          <w:szCs w:val="28"/>
        </w:rPr>
      </w:pPr>
    </w:p>
    <w:p w:rsidR="00B449D9" w:rsidRPr="0069183A" w:rsidRDefault="0069183A" w:rsidP="0069183A">
      <w:pPr>
        <w:ind w:left="1304" w:hanging="1304"/>
        <w:jc w:val="both"/>
      </w:pPr>
      <w:r>
        <w:rPr>
          <w:b/>
        </w:rPr>
        <w:t>Yleistä</w:t>
      </w:r>
      <w:r w:rsidR="00F2280B" w:rsidRPr="007E6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449D9" w:rsidRPr="0069183A">
        <w:t>Selvitykse</w:t>
      </w:r>
      <w:r w:rsidR="00A74601" w:rsidRPr="0069183A">
        <w:t>ssä</w:t>
      </w:r>
      <w:r w:rsidR="00B449D9" w:rsidRPr="0069183A">
        <w:t xml:space="preserve"> on tarkastel</w:t>
      </w:r>
      <w:r w:rsidR="00A74601" w:rsidRPr="0069183A">
        <w:t xml:space="preserve">tu </w:t>
      </w:r>
      <w:r w:rsidR="00B449D9" w:rsidRPr="0069183A">
        <w:t>julkisen vallan käyttäjän vahingonkorvausvastuun sääntelyn toimivuutta ja sääntelyn mahdollisia kehitystarpeita</w:t>
      </w:r>
      <w:r w:rsidR="00A74601" w:rsidRPr="0069183A">
        <w:t xml:space="preserve"> ottaen huom</w:t>
      </w:r>
      <w:r w:rsidR="00A74601" w:rsidRPr="0069183A">
        <w:t>i</w:t>
      </w:r>
      <w:r w:rsidR="00A74601" w:rsidRPr="0069183A">
        <w:t>oon perusoikeuksien, Euroopan ihmisoikeussopimuksen ja EU-oikeuden ase</w:t>
      </w:r>
      <w:r w:rsidR="00A74601" w:rsidRPr="0069183A">
        <w:t>t</w:t>
      </w:r>
      <w:r w:rsidR="00A74601" w:rsidRPr="0069183A">
        <w:t>tamat velvoitteet</w:t>
      </w:r>
      <w:r w:rsidR="00B449D9" w:rsidRPr="0069183A">
        <w:t xml:space="preserve">. Selvityksessä </w:t>
      </w:r>
      <w:r w:rsidR="004633FB" w:rsidRPr="0069183A">
        <w:t xml:space="preserve">on lisäksi </w:t>
      </w:r>
      <w:r w:rsidR="00B449D9" w:rsidRPr="0069183A">
        <w:t>arvioi</w:t>
      </w:r>
      <w:r w:rsidR="004633FB" w:rsidRPr="0069183A">
        <w:t>tu</w:t>
      </w:r>
      <w:r w:rsidR="00B449D9" w:rsidRPr="0069183A">
        <w:t>, miten sääntely ja sen sove</w:t>
      </w:r>
      <w:r w:rsidR="00B449D9" w:rsidRPr="0069183A">
        <w:t>l</w:t>
      </w:r>
      <w:r w:rsidR="00B449D9" w:rsidRPr="0069183A">
        <w:t>tamiskäytäntö vastaavat niitä vaatimuksia, joita julkisen vallan käyttäjän v</w:t>
      </w:r>
      <w:r w:rsidR="00B449D9" w:rsidRPr="0069183A">
        <w:t>a</w:t>
      </w:r>
      <w:r w:rsidR="00B449D9" w:rsidRPr="0069183A">
        <w:t>hingonkorvausvastuulle on perusteltua asettaa. Arvioinnin kohteena ovat standardisäännös, muutoksenhakuvaatimus, kannerajoitus, viranomaisne</w:t>
      </w:r>
      <w:r w:rsidR="00B449D9" w:rsidRPr="0069183A">
        <w:t>u</w:t>
      </w:r>
      <w:r w:rsidR="00B449D9" w:rsidRPr="0069183A">
        <w:t>vontaa koskevaa oikeustila sekä tarve korvata perus- ja ihmisoikeusloukkau</w:t>
      </w:r>
      <w:r w:rsidR="00B449D9" w:rsidRPr="0069183A">
        <w:t>k</w:t>
      </w:r>
      <w:r w:rsidR="00B449D9" w:rsidRPr="0069183A">
        <w:t>set ja julkisyhteisön aiheuttama kärsimys.</w:t>
      </w:r>
      <w:r w:rsidR="00895124" w:rsidRPr="0069183A">
        <w:t xml:space="preserve"> Selvitys sisältää myös suositukset valittavasta sääntelymallista.</w:t>
      </w:r>
    </w:p>
    <w:p w:rsidR="004633FB" w:rsidRPr="00E471C5" w:rsidRDefault="004633FB" w:rsidP="0075672C">
      <w:pPr>
        <w:autoSpaceDE w:val="0"/>
        <w:autoSpaceDN w:val="0"/>
        <w:adjustRightInd w:val="0"/>
        <w:ind w:left="1304"/>
        <w:jc w:val="both"/>
        <w:rPr>
          <w:sz w:val="22"/>
          <w:szCs w:val="22"/>
        </w:rPr>
      </w:pPr>
    </w:p>
    <w:p w:rsidR="00902CDA" w:rsidRDefault="004633FB" w:rsidP="0075672C">
      <w:pPr>
        <w:autoSpaceDE w:val="0"/>
        <w:autoSpaceDN w:val="0"/>
        <w:adjustRightInd w:val="0"/>
        <w:ind w:left="1304"/>
        <w:jc w:val="both"/>
      </w:pPr>
      <w:r w:rsidRPr="0069183A">
        <w:t>STTK</w:t>
      </w:r>
      <w:r w:rsidR="00454DDF" w:rsidRPr="0069183A">
        <w:t xml:space="preserve"> pitää</w:t>
      </w:r>
      <w:r w:rsidRPr="0069183A">
        <w:t xml:space="preserve"> </w:t>
      </w:r>
      <w:r w:rsidR="00454DDF" w:rsidRPr="0069183A">
        <w:t>kannatettavana selvityksessä esitettyä tavoitetta säännellä julk</w:t>
      </w:r>
      <w:r w:rsidR="00454DDF" w:rsidRPr="0069183A">
        <w:t>i</w:t>
      </w:r>
      <w:r w:rsidR="00454DDF" w:rsidRPr="0069183A">
        <w:t>sen vallan käyttäjän korvausvastuusta tavalla, joka johtaa ymmärrettävään, mahdollisimman ennakoitavaan ja yhdenmukaiseen korvauskäytäntöön. Selv</w:t>
      </w:r>
      <w:r w:rsidR="00454DDF" w:rsidRPr="0069183A">
        <w:t>i</w:t>
      </w:r>
      <w:r w:rsidR="00454DDF" w:rsidRPr="0069183A">
        <w:t>tyksessä on kuvattu ansiokkaasti nykyinen oikeustila, siihen liittyvät ongelma</w:t>
      </w:r>
      <w:r w:rsidR="00454DDF" w:rsidRPr="0069183A">
        <w:t>l</w:t>
      </w:r>
      <w:r w:rsidR="00454DDF" w:rsidRPr="0069183A">
        <w:t>lisuudet ja ratkaisuvaihtoehdot. STTK toteaa kuitenkin, että selvityksessä ei ole riittävästi käsitelty yksittäisen virkamiehen virkavastuuseen liittyviä kys</w:t>
      </w:r>
      <w:r w:rsidR="00454DDF" w:rsidRPr="0069183A">
        <w:t>y</w:t>
      </w:r>
      <w:r w:rsidR="00454DDF" w:rsidRPr="0069183A">
        <w:t>myksiä ja sitä, millä tavalla esitetyt muutokset kohdi</w:t>
      </w:r>
      <w:r w:rsidR="00E327EF" w:rsidRPr="0069183A">
        <w:t>stuvat yksittäiseen virk</w:t>
      </w:r>
      <w:r w:rsidR="00E327EF" w:rsidRPr="0069183A">
        <w:t>a</w:t>
      </w:r>
      <w:r w:rsidR="00E327EF" w:rsidRPr="0069183A">
        <w:t>mieheen. Tämä korostuu erityisesti neuvontatilanteissa, joiden osalta selvity</w:t>
      </w:r>
      <w:r w:rsidR="00E327EF" w:rsidRPr="0069183A">
        <w:t>k</w:t>
      </w:r>
      <w:r w:rsidR="00E327EF" w:rsidRPr="0069183A">
        <w:t>sen sivulla 79 on ainoastaan todettu, että ”Myös yksityiset tahot voivat joutua korvausvastuuseen harjoittamansa neuvonnan perusteella”. STTK esittää, e</w:t>
      </w:r>
      <w:r w:rsidR="00E327EF" w:rsidRPr="0069183A">
        <w:t>t</w:t>
      </w:r>
      <w:r w:rsidR="00E327EF" w:rsidRPr="0069183A">
        <w:t>tä mainittuja kysymyksiä selvitetään tarkemmin mahdollisen jatkovalmistelun yhteydessä.</w:t>
      </w:r>
    </w:p>
    <w:p w:rsidR="00BB3464" w:rsidRDefault="00BB3464" w:rsidP="0075672C">
      <w:pPr>
        <w:autoSpaceDE w:val="0"/>
        <w:autoSpaceDN w:val="0"/>
        <w:adjustRightInd w:val="0"/>
        <w:ind w:left="1304"/>
        <w:jc w:val="both"/>
      </w:pPr>
    </w:p>
    <w:p w:rsidR="00BB3464" w:rsidRPr="00A526AB" w:rsidRDefault="00A526AB" w:rsidP="00BB3464">
      <w:pPr>
        <w:autoSpaceDE w:val="0"/>
        <w:autoSpaceDN w:val="0"/>
        <w:adjustRightInd w:val="0"/>
        <w:jc w:val="both"/>
        <w:rPr>
          <w:b/>
        </w:rPr>
      </w:pPr>
      <w:r w:rsidRPr="00A526AB">
        <w:rPr>
          <w:b/>
        </w:rPr>
        <w:t>Standardisäännöksen kumoaminen</w:t>
      </w: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0A1A79" w:rsidRPr="00A47F6A" w:rsidRDefault="00737045" w:rsidP="0075672C">
      <w:pPr>
        <w:ind w:left="1304" w:firstLine="1"/>
        <w:jc w:val="both"/>
      </w:pPr>
      <w:r w:rsidRPr="00A47F6A">
        <w:t>Selvityksessä on päädytty suosittamaan standardisäännöksen kumoamista</w:t>
      </w:r>
      <w:r w:rsidR="00772663" w:rsidRPr="00A47F6A">
        <w:t>, jota</w:t>
      </w:r>
      <w:r w:rsidRPr="00A47F6A">
        <w:t xml:space="preserve"> voidaan pitää perusteltuna selvityksessä esitettyjen näkökohtien vuoksi. </w:t>
      </w:r>
    </w:p>
    <w:p w:rsidR="000A1A79" w:rsidRDefault="000A1A79" w:rsidP="0075672C">
      <w:pPr>
        <w:ind w:left="1304" w:firstLine="1"/>
        <w:jc w:val="both"/>
        <w:rPr>
          <w:sz w:val="22"/>
          <w:szCs w:val="22"/>
        </w:rPr>
      </w:pPr>
    </w:p>
    <w:p w:rsidR="000A1A79" w:rsidRDefault="000A1A79" w:rsidP="0075672C">
      <w:pPr>
        <w:ind w:left="1304" w:firstLine="1"/>
        <w:jc w:val="both"/>
        <w:rPr>
          <w:sz w:val="22"/>
          <w:szCs w:val="22"/>
        </w:rPr>
      </w:pPr>
    </w:p>
    <w:p w:rsidR="000A1A79" w:rsidRDefault="000A1A79" w:rsidP="0075672C">
      <w:pPr>
        <w:ind w:left="1304" w:firstLine="1"/>
        <w:jc w:val="both"/>
        <w:rPr>
          <w:sz w:val="22"/>
          <w:szCs w:val="22"/>
        </w:rPr>
      </w:pPr>
    </w:p>
    <w:p w:rsidR="000A1A79" w:rsidRDefault="000A1A79" w:rsidP="0075672C">
      <w:pPr>
        <w:ind w:left="1304" w:firstLine="1"/>
        <w:jc w:val="both"/>
        <w:rPr>
          <w:sz w:val="22"/>
          <w:szCs w:val="22"/>
        </w:rPr>
      </w:pPr>
    </w:p>
    <w:p w:rsidR="00902CDA" w:rsidRPr="00264A23" w:rsidRDefault="00737045" w:rsidP="0075672C">
      <w:pPr>
        <w:ind w:left="1304" w:firstLine="1"/>
        <w:jc w:val="both"/>
      </w:pPr>
      <w:r w:rsidRPr="00264A23">
        <w:t>Vahingonkorvausvastuun sääntelyn toteuttamisvaihtoehtoina ovat standard</w:t>
      </w:r>
      <w:r w:rsidRPr="00264A23">
        <w:t>i</w:t>
      </w:r>
      <w:r w:rsidRPr="00264A23">
        <w:t>säännöksen kumoaminen ilman uutta, tilalle tulevaa sääntelyä tai ottaa lakiin uusi julkisen vallan käyttäjän tuottamusarviointia tai korvausvastuun</w:t>
      </w:r>
      <w:r w:rsidR="00772663" w:rsidRPr="00264A23">
        <w:t xml:space="preserve"> edellyty</w:t>
      </w:r>
      <w:r w:rsidR="00772663" w:rsidRPr="00264A23">
        <w:t>k</w:t>
      </w:r>
      <w:r w:rsidR="00772663" w:rsidRPr="00264A23">
        <w:t>siä laajemmin erittelevä säännös. Yhdenmukaisen ja ennakoitavan korvau</w:t>
      </w:r>
      <w:r w:rsidR="00772663" w:rsidRPr="00264A23">
        <w:t>s</w:t>
      </w:r>
      <w:r w:rsidR="00772663" w:rsidRPr="00264A23">
        <w:t>käytännön turvaaminen puoltaisi yksityiskohtaisemman sääntelyn mallia. T</w:t>
      </w:r>
      <w:r w:rsidR="00772663" w:rsidRPr="00264A23">
        <w:t>ä</w:t>
      </w:r>
      <w:r w:rsidR="00772663" w:rsidRPr="00264A23">
        <w:t>mä mahdollistaisi julkisen vallan käyttöön liittyvien erityispiirteiden huomioon ottamisen myös jatkossa. Kuten edellä on todettu, myös tältä osin tulisi ku</w:t>
      </w:r>
      <w:r w:rsidR="00772663" w:rsidRPr="00264A23">
        <w:t>i</w:t>
      </w:r>
      <w:r w:rsidR="00772663" w:rsidRPr="00264A23">
        <w:t>tenkin tarkemmin selvittää säännöksen vaikutuksen yksittäisen virkamiehen osalta.</w:t>
      </w:r>
    </w:p>
    <w:p w:rsidR="00772663" w:rsidRPr="00264A23" w:rsidRDefault="00772663" w:rsidP="0075672C">
      <w:pPr>
        <w:ind w:left="1304" w:firstLine="1"/>
        <w:jc w:val="both"/>
      </w:pPr>
    </w:p>
    <w:p w:rsidR="00772663" w:rsidRPr="00264A23" w:rsidRDefault="00772663" w:rsidP="0075672C">
      <w:pPr>
        <w:ind w:left="1304" w:firstLine="1"/>
        <w:jc w:val="both"/>
      </w:pPr>
      <w:r w:rsidRPr="00264A23">
        <w:t xml:space="preserve">Valvonta- ja tarkastustoiminnan osalta selvityksessä mainitaan </w:t>
      </w:r>
      <w:proofErr w:type="spellStart"/>
      <w:r w:rsidRPr="00264A23">
        <w:t>VahL:n</w:t>
      </w:r>
      <w:proofErr w:type="spellEnd"/>
      <w:r w:rsidRPr="00264A23">
        <w:t xml:space="preserve"> 3:6:n</w:t>
      </w:r>
      <w:r w:rsidR="00F2345D" w:rsidRPr="00264A23">
        <w:t xml:space="preserve"> </w:t>
      </w:r>
      <w:r w:rsidRPr="00264A23">
        <w:t xml:space="preserve">sovittelusäännöksen käyttökelpoisuus korvausvastuun liiallista laajentumista ehkäistäessä. </w:t>
      </w:r>
      <w:r w:rsidR="00F2345D" w:rsidRPr="00264A23">
        <w:t>Tässä yhteydessä on kuitenkin huomattava se, että sovittel</w:t>
      </w:r>
      <w:r w:rsidR="00F2345D" w:rsidRPr="00264A23">
        <w:t>u</w:t>
      </w:r>
      <w:r w:rsidR="00F2345D" w:rsidRPr="00264A23">
        <w:t>säännöksen tarkoituksena on vain sovitella vahingonkorvauksen määrää. K</w:t>
      </w:r>
      <w:r w:rsidR="00F2345D" w:rsidRPr="00264A23">
        <w:t>y</w:t>
      </w:r>
      <w:r w:rsidR="00F2345D" w:rsidRPr="00264A23">
        <w:t>symys vahingonkorvausvastuusta tulee joka tapauksessa arvioida ensin, joten sovittelusäännöksen avulla ei voida ratkaista kysymystä vahingonkorvausva</w:t>
      </w:r>
      <w:r w:rsidR="00F2345D" w:rsidRPr="00264A23">
        <w:t>s</w:t>
      </w:r>
      <w:r w:rsidR="00F2345D" w:rsidRPr="00264A23">
        <w:t>tuun syntymisestä ja vastuupiirin liiallisesta laajentumisesta.</w:t>
      </w:r>
    </w:p>
    <w:p w:rsidR="00F2345D" w:rsidRPr="00E471C5" w:rsidRDefault="00F2345D" w:rsidP="0075672C">
      <w:pPr>
        <w:ind w:left="1304" w:firstLine="1"/>
        <w:jc w:val="both"/>
        <w:rPr>
          <w:sz w:val="22"/>
          <w:szCs w:val="22"/>
        </w:rPr>
      </w:pPr>
    </w:p>
    <w:p w:rsidR="00F2345D" w:rsidRPr="00CF3843" w:rsidRDefault="00F2345D" w:rsidP="0032022C">
      <w:pPr>
        <w:ind w:firstLine="1"/>
        <w:jc w:val="both"/>
        <w:rPr>
          <w:b/>
        </w:rPr>
      </w:pPr>
      <w:r w:rsidRPr="00CF3843">
        <w:rPr>
          <w:b/>
        </w:rPr>
        <w:t>Muutoksenhakuvaatimus</w:t>
      </w:r>
    </w:p>
    <w:p w:rsidR="00F2345D" w:rsidRPr="00E471C5" w:rsidRDefault="00F2345D" w:rsidP="0075672C">
      <w:pPr>
        <w:ind w:left="1304" w:firstLine="1"/>
        <w:jc w:val="both"/>
        <w:rPr>
          <w:i/>
          <w:sz w:val="22"/>
          <w:szCs w:val="22"/>
        </w:rPr>
      </w:pPr>
    </w:p>
    <w:p w:rsidR="00F2345D" w:rsidRPr="00CF3843" w:rsidRDefault="00F2345D" w:rsidP="0075672C">
      <w:pPr>
        <w:ind w:left="1304" w:firstLine="1"/>
        <w:jc w:val="both"/>
      </w:pPr>
      <w:r w:rsidRPr="00CF3843">
        <w:t>Selvityksessä on perusteltu muutoksenhakuvaatimuksen kumoamista sää</w:t>
      </w:r>
      <w:r w:rsidRPr="00CF3843">
        <w:t>n</w:t>
      </w:r>
      <w:r w:rsidRPr="00CF3843">
        <w:t xml:space="preserve">nöksestä vahingonkärsijälle mahdollisesti seuraavalla lopputuloksella, kun korvausvastuu sulkeutuu säännöstä sovellettaessa kokonaan pois. </w:t>
      </w:r>
      <w:r w:rsidR="00AB623E" w:rsidRPr="00CF3843">
        <w:t>Selvity</w:t>
      </w:r>
      <w:r w:rsidR="00AB623E" w:rsidRPr="00CF3843">
        <w:t>k</w:t>
      </w:r>
      <w:r w:rsidR="00AB623E" w:rsidRPr="00CF3843">
        <w:t>sessä todetaan, että säännöksen kumoaminen merkitsisi muutoksenhaun la</w:t>
      </w:r>
      <w:r w:rsidR="00AB623E" w:rsidRPr="00CF3843">
        <w:t>i</w:t>
      </w:r>
      <w:r w:rsidR="00AB623E" w:rsidRPr="00CF3843">
        <w:t xml:space="preserve">minlyönnin vaikutuksen arviointia yleisen myötävaikutussäännöksen nojalla. </w:t>
      </w:r>
    </w:p>
    <w:p w:rsidR="00AB623E" w:rsidRPr="00CF3843" w:rsidRDefault="00AB623E" w:rsidP="0075672C">
      <w:pPr>
        <w:ind w:left="1304" w:firstLine="1"/>
        <w:jc w:val="both"/>
      </w:pPr>
    </w:p>
    <w:p w:rsidR="00AB623E" w:rsidRPr="00CF3843" w:rsidRDefault="00AB623E" w:rsidP="0075672C">
      <w:pPr>
        <w:ind w:left="1304" w:firstLine="1"/>
        <w:jc w:val="both"/>
      </w:pPr>
      <w:r w:rsidRPr="00CF3843">
        <w:t>Vahinkoa kärsineen laiminlyönnin vaikutus vahingon aiheutumiseen edellyttä</w:t>
      </w:r>
      <w:r w:rsidRPr="00CF3843">
        <w:t>i</w:t>
      </w:r>
      <w:r w:rsidRPr="00CF3843">
        <w:t xml:space="preserve">si tässä tilanteessa muutoksenhaun </w:t>
      </w:r>
      <w:proofErr w:type="spellStart"/>
      <w:r w:rsidRPr="00CF3843">
        <w:t>lopputuleman</w:t>
      </w:r>
      <w:proofErr w:type="spellEnd"/>
      <w:r w:rsidRPr="00CF3843">
        <w:t xml:space="preserve"> arviointia. Ilman tietoa mu</w:t>
      </w:r>
      <w:r w:rsidRPr="00CF3843">
        <w:t>u</w:t>
      </w:r>
      <w:r w:rsidRPr="00CF3843">
        <w:t xml:space="preserve">toksenhaun </w:t>
      </w:r>
      <w:proofErr w:type="spellStart"/>
      <w:r w:rsidRPr="00CF3843">
        <w:t>lopputulemasta</w:t>
      </w:r>
      <w:proofErr w:type="spellEnd"/>
      <w:r w:rsidRPr="00CF3843">
        <w:t xml:space="preserve"> ei voida arvioida vahinkoa kärsineen myötävaik</w:t>
      </w:r>
      <w:r w:rsidRPr="00CF3843">
        <w:t>u</w:t>
      </w:r>
      <w:r w:rsidRPr="00CF3843">
        <w:t>tuksen merkitystä. Myötävaikutuksella (muutoksenhaun laiminlyönti) voisi olla merkitystä ainoastaan tilanteessa, jossa viranomaisen päätös olisi muuto</w:t>
      </w:r>
      <w:r w:rsidRPr="00CF3843">
        <w:t>k</w:t>
      </w:r>
      <w:r w:rsidRPr="00CF3843">
        <w:t xml:space="preserve">senhaun vuoksi </w:t>
      </w:r>
      <w:r w:rsidR="0075672C" w:rsidRPr="00CF3843">
        <w:t>muutettu</w:t>
      </w:r>
      <w:r w:rsidRPr="00CF3843">
        <w:t>. Edellä todetusta seuraa se, että asiassa pitäisi e</w:t>
      </w:r>
      <w:r w:rsidRPr="00CF3843">
        <w:t>n</w:t>
      </w:r>
      <w:r w:rsidRPr="00CF3843">
        <w:t>sin ottaa kantaa muutoksenhaun menestymismahdollisuuksiin. Tämä merki</w:t>
      </w:r>
      <w:r w:rsidRPr="00CF3843">
        <w:t>t</w:t>
      </w:r>
      <w:r w:rsidRPr="00CF3843">
        <w:t>sisi tosiasiallisesti esimerkiksi viranomaisen päätöksen oikeellisuuden ratka</w:t>
      </w:r>
      <w:r w:rsidRPr="00CF3843">
        <w:t>i</w:t>
      </w:r>
      <w:r w:rsidRPr="00CF3843">
        <w:t xml:space="preserve">semista esikysymyksenä. </w:t>
      </w:r>
    </w:p>
    <w:p w:rsidR="00AB623E" w:rsidRPr="00CF3843" w:rsidRDefault="00AB623E" w:rsidP="0075672C">
      <w:pPr>
        <w:ind w:left="1304" w:firstLine="1"/>
        <w:jc w:val="both"/>
      </w:pPr>
    </w:p>
    <w:p w:rsidR="00AB623E" w:rsidRPr="00CF3843" w:rsidRDefault="00AB623E" w:rsidP="0075672C">
      <w:pPr>
        <w:ind w:left="1304" w:firstLine="1"/>
        <w:jc w:val="both"/>
      </w:pPr>
      <w:r w:rsidRPr="00CF3843">
        <w:t>Edellä todettujen ongelmallisuuksien vuoksi muutoksenhakuvaatimuksen poi</w:t>
      </w:r>
      <w:r w:rsidRPr="00CF3843">
        <w:t>s</w:t>
      </w:r>
      <w:r w:rsidRPr="00CF3843">
        <w:t xml:space="preserve">tamista ja mahdollisia sääntelyvaihtoehtoja pitäisi selvittää tarkemmin. </w:t>
      </w:r>
    </w:p>
    <w:p w:rsidR="0075672C" w:rsidRPr="00E471C5" w:rsidRDefault="0075672C" w:rsidP="0075672C">
      <w:pPr>
        <w:ind w:left="1304" w:firstLine="1"/>
        <w:jc w:val="both"/>
        <w:rPr>
          <w:sz w:val="22"/>
          <w:szCs w:val="22"/>
        </w:rPr>
      </w:pPr>
    </w:p>
    <w:p w:rsidR="0075672C" w:rsidRPr="00E2108C" w:rsidRDefault="0075672C" w:rsidP="009D55C8">
      <w:pPr>
        <w:ind w:firstLine="1"/>
        <w:jc w:val="both"/>
        <w:rPr>
          <w:b/>
        </w:rPr>
      </w:pPr>
      <w:r w:rsidRPr="00E2108C">
        <w:rPr>
          <w:b/>
        </w:rPr>
        <w:t>Kannerajoitus</w:t>
      </w:r>
    </w:p>
    <w:p w:rsidR="00F2345D" w:rsidRPr="00E471C5" w:rsidRDefault="00F2345D" w:rsidP="0075672C">
      <w:pPr>
        <w:ind w:left="1304" w:firstLine="1"/>
        <w:jc w:val="both"/>
        <w:rPr>
          <w:i/>
          <w:sz w:val="22"/>
          <w:szCs w:val="22"/>
        </w:rPr>
      </w:pPr>
    </w:p>
    <w:p w:rsidR="00902CDA" w:rsidRPr="00301EE4" w:rsidRDefault="0075672C" w:rsidP="0075672C">
      <w:pPr>
        <w:ind w:left="1304" w:firstLine="1"/>
        <w:jc w:val="both"/>
      </w:pPr>
      <w:r w:rsidRPr="00301EE4">
        <w:t xml:space="preserve">Kannerajoituksen poistamista voidaan pitää </w:t>
      </w:r>
      <w:r w:rsidR="00AD6EDE">
        <w:t xml:space="preserve">kannatettavana </w:t>
      </w:r>
      <w:r w:rsidRPr="00301EE4">
        <w:t>Euroopan ihmi</w:t>
      </w:r>
      <w:r w:rsidRPr="00301EE4">
        <w:t>s</w:t>
      </w:r>
      <w:r w:rsidRPr="00301EE4">
        <w:t>oikeussopimuksen ja EU:n tuomioistuimen jäsenvaltion vahingonkorvausva</w:t>
      </w:r>
      <w:r w:rsidRPr="00301EE4">
        <w:t>s</w:t>
      </w:r>
      <w:r w:rsidRPr="00301EE4">
        <w:t>tuuta koskevan oikeuskäytännön asettamien velvoitteiden vuoksi.</w:t>
      </w:r>
    </w:p>
    <w:p w:rsidR="0075672C" w:rsidRDefault="0075672C" w:rsidP="0075672C">
      <w:pPr>
        <w:ind w:left="1304" w:firstLine="1"/>
        <w:jc w:val="both"/>
      </w:pPr>
    </w:p>
    <w:p w:rsidR="002874DB" w:rsidRDefault="002874DB" w:rsidP="0075672C">
      <w:pPr>
        <w:ind w:left="1304" w:firstLine="1"/>
        <w:jc w:val="both"/>
      </w:pPr>
    </w:p>
    <w:p w:rsidR="002874DB" w:rsidRDefault="002874DB" w:rsidP="0075672C">
      <w:pPr>
        <w:ind w:left="1304" w:firstLine="1"/>
        <w:jc w:val="both"/>
      </w:pPr>
    </w:p>
    <w:p w:rsidR="002874DB" w:rsidRDefault="002874DB" w:rsidP="0075672C">
      <w:pPr>
        <w:ind w:left="1304" w:firstLine="1"/>
        <w:jc w:val="both"/>
      </w:pPr>
    </w:p>
    <w:p w:rsidR="002874DB" w:rsidRPr="00301EE4" w:rsidRDefault="002874DB" w:rsidP="0075672C">
      <w:pPr>
        <w:ind w:left="1304" w:firstLine="1"/>
        <w:jc w:val="both"/>
      </w:pPr>
    </w:p>
    <w:p w:rsidR="0075672C" w:rsidRPr="00E471C5" w:rsidRDefault="0075672C" w:rsidP="0075672C">
      <w:pPr>
        <w:ind w:left="1304" w:firstLine="1"/>
        <w:jc w:val="both"/>
        <w:rPr>
          <w:sz w:val="22"/>
          <w:szCs w:val="22"/>
        </w:rPr>
      </w:pPr>
    </w:p>
    <w:p w:rsidR="0075672C" w:rsidRPr="002874DB" w:rsidRDefault="0075672C" w:rsidP="002874DB">
      <w:pPr>
        <w:ind w:firstLine="1"/>
        <w:jc w:val="both"/>
        <w:rPr>
          <w:b/>
        </w:rPr>
      </w:pPr>
      <w:r w:rsidRPr="002874DB">
        <w:rPr>
          <w:b/>
        </w:rPr>
        <w:t>Neuvonta</w:t>
      </w:r>
    </w:p>
    <w:p w:rsidR="0075672C" w:rsidRPr="00E471C5" w:rsidRDefault="0075672C" w:rsidP="0075672C">
      <w:pPr>
        <w:ind w:left="1304" w:firstLine="1"/>
        <w:jc w:val="both"/>
        <w:rPr>
          <w:i/>
          <w:sz w:val="22"/>
          <w:szCs w:val="22"/>
        </w:rPr>
      </w:pPr>
    </w:p>
    <w:p w:rsidR="0075672C" w:rsidRPr="002874DB" w:rsidRDefault="0075672C" w:rsidP="0075672C">
      <w:pPr>
        <w:ind w:left="1304" w:firstLine="1"/>
        <w:jc w:val="both"/>
      </w:pPr>
      <w:r w:rsidRPr="002874DB">
        <w:t>Neuvonnan osalta viitataan jo aiemmin todettuun tarkempaan selvittämiseen siltä osin kuin on kysymys yksittäisen virkamiehen virkavastuusta ja esitettyjen muutosten vaikutuksesta nykyiseen tilanteeseen.</w:t>
      </w:r>
    </w:p>
    <w:p w:rsidR="00E471C5" w:rsidRPr="00E471C5" w:rsidRDefault="00E471C5" w:rsidP="0075672C">
      <w:pPr>
        <w:ind w:left="1304" w:firstLine="1"/>
        <w:jc w:val="both"/>
        <w:rPr>
          <w:i/>
          <w:sz w:val="22"/>
          <w:szCs w:val="22"/>
        </w:rPr>
      </w:pPr>
    </w:p>
    <w:p w:rsidR="0075672C" w:rsidRPr="00DC159D" w:rsidRDefault="0075672C" w:rsidP="002874DB">
      <w:pPr>
        <w:ind w:firstLine="1"/>
        <w:jc w:val="both"/>
        <w:rPr>
          <w:b/>
        </w:rPr>
      </w:pPr>
      <w:r w:rsidRPr="00DC159D">
        <w:rPr>
          <w:b/>
        </w:rPr>
        <w:t>Perus- ja ihmisoikeusloukkauksen korvaaminen</w:t>
      </w:r>
    </w:p>
    <w:p w:rsidR="0075672C" w:rsidRPr="00E471C5" w:rsidRDefault="0075672C" w:rsidP="0075672C">
      <w:pPr>
        <w:ind w:left="1304" w:firstLine="1"/>
        <w:jc w:val="both"/>
        <w:rPr>
          <w:i/>
          <w:sz w:val="22"/>
          <w:szCs w:val="22"/>
        </w:rPr>
      </w:pPr>
    </w:p>
    <w:p w:rsidR="00E471C5" w:rsidRDefault="0075672C" w:rsidP="0075672C">
      <w:pPr>
        <w:ind w:left="1304" w:firstLine="1"/>
        <w:jc w:val="both"/>
      </w:pPr>
      <w:r w:rsidRPr="00DC159D">
        <w:t>Kuten selvityksessä todetaan, Euroopan ihmisoikeussopimuksen loukkaus on hyvitettävä kansallisella tasolla Euroopan ihmisoikeustuomioistuimen tulkint</w:t>
      </w:r>
      <w:r w:rsidRPr="00DC159D">
        <w:t>a</w:t>
      </w:r>
      <w:r w:rsidRPr="00DC159D">
        <w:t>käytännön mukaisesti. Erillisen sääntelyn lisäämistä vahingonkorvauslakiin voidaan pitää kannatettavana ottaen huomioon mainitun sopimuksen muka</w:t>
      </w:r>
      <w:r w:rsidRPr="00DC159D">
        <w:t>i</w:t>
      </w:r>
      <w:r w:rsidRPr="00DC159D">
        <w:t>sen hyvitysjärjestelmän erityispiirteet</w:t>
      </w:r>
      <w:r w:rsidR="00E471C5" w:rsidRPr="00DC159D">
        <w:t>. Nimenomainen säännös kansallisessa vahingonkorvauslaissa lisäisi myös tietoisuutta sopimuksen asemasta ja me</w:t>
      </w:r>
      <w:r w:rsidR="00E471C5" w:rsidRPr="00DC159D">
        <w:t>r</w:t>
      </w:r>
      <w:r w:rsidR="00E471C5" w:rsidRPr="00DC159D">
        <w:t>kityksestä.</w:t>
      </w:r>
    </w:p>
    <w:p w:rsidR="00780154" w:rsidRDefault="00780154" w:rsidP="0075672C">
      <w:pPr>
        <w:ind w:left="1304" w:firstLine="1"/>
        <w:jc w:val="both"/>
      </w:pPr>
    </w:p>
    <w:p w:rsidR="00902CDA" w:rsidRPr="00780154" w:rsidRDefault="00780154" w:rsidP="00780154">
      <w:pPr>
        <w:ind w:firstLine="1"/>
        <w:jc w:val="both"/>
        <w:rPr>
          <w:b/>
        </w:rPr>
      </w:pPr>
      <w:r w:rsidRPr="00780154">
        <w:rPr>
          <w:b/>
        </w:rPr>
        <w:t>Julkisen vallan käyttäjän aiheuttaman kärsimyksen korvaaminen</w:t>
      </w: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A5510E" w:rsidRDefault="00E471C5" w:rsidP="00E471C5">
      <w:pPr>
        <w:ind w:left="1304" w:firstLine="1"/>
        <w:jc w:val="both"/>
      </w:pPr>
      <w:r w:rsidRPr="00A5510E">
        <w:t xml:space="preserve">Selvitys on mainitun teeman osalta pintapuolinen ja </w:t>
      </w:r>
      <w:proofErr w:type="spellStart"/>
      <w:r w:rsidRPr="00A5510E">
        <w:t>VahL</w:t>
      </w:r>
      <w:proofErr w:type="spellEnd"/>
      <w:r w:rsidRPr="00A5510E">
        <w:t xml:space="preserve"> 5:6:n muuttamista tulisi tältä osin </w:t>
      </w:r>
      <w:proofErr w:type="spellStart"/>
      <w:r w:rsidRPr="00A5510E">
        <w:t>jatkoselvittää</w:t>
      </w:r>
      <w:proofErr w:type="spellEnd"/>
      <w:r w:rsidRPr="00A5510E">
        <w:t xml:space="preserve">. Tässä yhteydessä voisi </w:t>
      </w:r>
      <w:r w:rsidR="00CE5F27" w:rsidRPr="00A5510E">
        <w:t>selvittää myös sitä, tul</w:t>
      </w:r>
      <w:r w:rsidR="00CE5F27" w:rsidRPr="00A5510E">
        <w:t>i</w:t>
      </w:r>
      <w:r w:rsidR="00CE5F27" w:rsidRPr="00A5510E">
        <w:t>siko perus- ja ihmisoikeusloukkausten vuoksi aiheutuneen aineettoman vahi</w:t>
      </w:r>
      <w:r w:rsidR="00CE5F27" w:rsidRPr="00A5510E">
        <w:t>n</w:t>
      </w:r>
      <w:r w:rsidR="00CE5F27" w:rsidRPr="00A5510E">
        <w:t>gon korvaamisesta säännellä erikseen. Vahingonkorvauksen sijasta voitaisiin käyttää termiä hyvitys.</w:t>
      </w:r>
    </w:p>
    <w:p w:rsidR="00CE5F27" w:rsidRPr="00A5510E" w:rsidRDefault="00CE5F27" w:rsidP="0075672C">
      <w:pPr>
        <w:jc w:val="both"/>
      </w:pPr>
    </w:p>
    <w:p w:rsidR="00CE5F27" w:rsidRPr="00E471C5" w:rsidRDefault="00CE5F27" w:rsidP="0075672C">
      <w:pPr>
        <w:jc w:val="both"/>
        <w:rPr>
          <w:sz w:val="22"/>
          <w:szCs w:val="22"/>
        </w:rPr>
      </w:pPr>
    </w:p>
    <w:p w:rsidR="00CE5F27" w:rsidRPr="00780154" w:rsidRDefault="00CE5F27" w:rsidP="00CE5F27">
      <w:pPr>
        <w:jc w:val="both"/>
      </w:pPr>
      <w:r>
        <w:rPr>
          <w:sz w:val="22"/>
          <w:szCs w:val="22"/>
        </w:rPr>
        <w:tab/>
      </w:r>
      <w:r w:rsidRPr="00780154">
        <w:t>Toimihenkilökeskusjärjestö STTK ry</w:t>
      </w:r>
    </w:p>
    <w:p w:rsidR="00CE5F27" w:rsidRPr="00780154" w:rsidRDefault="00CE5F27" w:rsidP="00CE5F27">
      <w:pPr>
        <w:jc w:val="both"/>
      </w:pPr>
    </w:p>
    <w:p w:rsidR="00CE5F27" w:rsidRPr="00780154" w:rsidRDefault="00CE5F27" w:rsidP="00CE5F27">
      <w:pPr>
        <w:jc w:val="both"/>
      </w:pPr>
    </w:p>
    <w:p w:rsidR="00CE5F27" w:rsidRPr="00780154" w:rsidRDefault="00CE5F27" w:rsidP="00624C28">
      <w:pPr>
        <w:jc w:val="both"/>
      </w:pPr>
      <w:r w:rsidRPr="00780154">
        <w:tab/>
        <w:t>___________________</w:t>
      </w:r>
      <w:r w:rsidRPr="00780154">
        <w:tab/>
      </w:r>
      <w:r w:rsidRPr="00780154">
        <w:tab/>
        <w:t>__________________</w:t>
      </w:r>
      <w:r w:rsidRPr="00780154">
        <w:tab/>
      </w:r>
      <w:r w:rsidRPr="00780154">
        <w:tab/>
      </w:r>
      <w:r w:rsidRPr="00780154">
        <w:tab/>
        <w:t>Mikko Mäenpää</w:t>
      </w:r>
      <w:r w:rsidRPr="00780154">
        <w:tab/>
      </w:r>
      <w:r w:rsidRPr="00780154">
        <w:tab/>
        <w:t>Markku Salomaa</w:t>
      </w:r>
    </w:p>
    <w:p w:rsidR="00902CDA" w:rsidRPr="00780154" w:rsidRDefault="00CE5F27" w:rsidP="00CE5F27">
      <w:pPr>
        <w:ind w:firstLine="1304"/>
        <w:jc w:val="both"/>
      </w:pPr>
      <w:proofErr w:type="spellStart"/>
      <w:r w:rsidRPr="00780154">
        <w:rPr>
          <w:lang w:val="sv-FI"/>
        </w:rPr>
        <w:t>puheenjohtaja</w:t>
      </w:r>
      <w:proofErr w:type="spellEnd"/>
      <w:r w:rsidRPr="00780154">
        <w:rPr>
          <w:lang w:val="sv-FI"/>
        </w:rPr>
        <w:tab/>
      </w:r>
      <w:r w:rsidRPr="00780154">
        <w:rPr>
          <w:lang w:val="sv-FI"/>
        </w:rPr>
        <w:tab/>
      </w:r>
      <w:proofErr w:type="spellStart"/>
      <w:r w:rsidRPr="00780154">
        <w:rPr>
          <w:lang w:val="sv-FI"/>
        </w:rPr>
        <w:t>johtaja</w:t>
      </w:r>
      <w:proofErr w:type="spellEnd"/>
    </w:p>
    <w:p w:rsidR="00902CDA" w:rsidRPr="00780154" w:rsidRDefault="00902CDA" w:rsidP="0075672C">
      <w:pPr>
        <w:jc w:val="both"/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p w:rsidR="00902CDA" w:rsidRPr="00E471C5" w:rsidRDefault="00902CDA" w:rsidP="0075672C">
      <w:pPr>
        <w:jc w:val="both"/>
        <w:rPr>
          <w:sz w:val="22"/>
          <w:szCs w:val="22"/>
        </w:rPr>
      </w:pPr>
    </w:p>
    <w:sectPr w:rsidR="00902CDA" w:rsidRPr="00E471C5" w:rsidSect="00F60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09" w:footer="73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55" w:rsidRDefault="00F93355">
      <w:r>
        <w:separator/>
      </w:r>
    </w:p>
  </w:endnote>
  <w:endnote w:type="continuationSeparator" w:id="0">
    <w:p w:rsidR="00F93355" w:rsidRDefault="00F9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5" w:rsidRDefault="00A631AC" w:rsidP="0067341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471C5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471C5" w:rsidRDefault="00E471C5" w:rsidP="00D81690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BC" w:rsidRDefault="008E3BBC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5" w:rsidRPr="00AF1E97" w:rsidRDefault="00E471C5" w:rsidP="00AF1E97">
    <w:pPr>
      <w:shd w:val="clear" w:color="auto" w:fill="000066"/>
      <w:ind w:right="-82"/>
      <w:rPr>
        <w:rFonts w:ascii="Verdana" w:hAnsi="Verdana"/>
        <w:sz w:val="10"/>
        <w:szCs w:val="10"/>
      </w:rPr>
    </w:pPr>
  </w:p>
  <w:p w:rsidR="00E471C5" w:rsidRPr="0013406D" w:rsidRDefault="00E471C5" w:rsidP="00902CDA">
    <w:pPr>
      <w:pStyle w:val="Alatunniste"/>
      <w:tabs>
        <w:tab w:val="clear" w:pos="4819"/>
        <w:tab w:val="left" w:pos="2835"/>
        <w:tab w:val="left" w:pos="4990"/>
        <w:tab w:val="left" w:pos="7371"/>
        <w:tab w:val="left" w:pos="8505"/>
      </w:tabs>
      <w:rPr>
        <w:rFonts w:ascii="Verdana" w:hAnsi="Verdana"/>
        <w:color w:val="00005C"/>
        <w:sz w:val="16"/>
        <w:szCs w:val="16"/>
      </w:rPr>
    </w:pPr>
    <w:r w:rsidRPr="0013406D">
      <w:rPr>
        <w:rFonts w:ascii="Verdana" w:hAnsi="Verdana"/>
        <w:color w:val="00005C"/>
        <w:sz w:val="16"/>
        <w:szCs w:val="16"/>
      </w:rPr>
      <w:t>STTK</w:t>
    </w:r>
    <w:r w:rsidRPr="0013406D">
      <w:rPr>
        <w:rFonts w:ascii="Verdana" w:hAnsi="Verdana"/>
        <w:color w:val="00005C"/>
        <w:sz w:val="16"/>
        <w:szCs w:val="16"/>
      </w:rPr>
      <w:tab/>
      <w:t>Postiosoite</w:t>
    </w:r>
    <w:r w:rsidRPr="0013406D">
      <w:rPr>
        <w:rFonts w:ascii="Verdana" w:hAnsi="Verdana"/>
        <w:color w:val="00005C"/>
        <w:sz w:val="16"/>
        <w:szCs w:val="16"/>
      </w:rPr>
      <w:tab/>
      <w:t>Puh. (09) 131 521</w:t>
    </w:r>
    <w:r w:rsidRPr="0013406D">
      <w:rPr>
        <w:rFonts w:ascii="Verdana" w:hAnsi="Verdana"/>
        <w:color w:val="00005C"/>
        <w:sz w:val="16"/>
        <w:szCs w:val="16"/>
      </w:rPr>
      <w:tab/>
      <w:t>Pankki</w:t>
    </w:r>
  </w:p>
  <w:p w:rsidR="00E471C5" w:rsidRPr="0013406D" w:rsidRDefault="00E471C5" w:rsidP="00902CDA">
    <w:pPr>
      <w:pStyle w:val="Alatunniste"/>
      <w:tabs>
        <w:tab w:val="clear" w:pos="4819"/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00005C"/>
        <w:sz w:val="16"/>
        <w:szCs w:val="16"/>
      </w:rPr>
    </w:pPr>
    <w:r w:rsidRPr="0013406D">
      <w:rPr>
        <w:rFonts w:ascii="Verdana" w:hAnsi="Verdana"/>
        <w:color w:val="00005C"/>
        <w:sz w:val="16"/>
        <w:szCs w:val="16"/>
      </w:rPr>
      <w:t xml:space="preserve">Mikonkatu </w:t>
    </w:r>
    <w:smartTag w:uri="urn:schemas-microsoft-com:office:smarttags" w:element="metricconverter">
      <w:smartTagPr>
        <w:attr w:name="ProductID" w:val="8 A"/>
      </w:smartTagPr>
      <w:r w:rsidRPr="0013406D">
        <w:rPr>
          <w:rFonts w:ascii="Verdana" w:hAnsi="Verdana"/>
          <w:color w:val="00005C"/>
          <w:sz w:val="16"/>
          <w:szCs w:val="16"/>
        </w:rPr>
        <w:t>8 A</w:t>
      </w:r>
    </w:smartTag>
    <w:r w:rsidRPr="0013406D">
      <w:rPr>
        <w:rFonts w:ascii="Verdana" w:hAnsi="Verdana"/>
        <w:color w:val="00005C"/>
        <w:sz w:val="16"/>
        <w:szCs w:val="16"/>
      </w:rPr>
      <w:t>, 6. krs</w:t>
    </w:r>
    <w:r w:rsidRPr="0013406D">
      <w:rPr>
        <w:rFonts w:ascii="Verdana" w:hAnsi="Verdana"/>
        <w:color w:val="00005C"/>
        <w:sz w:val="16"/>
        <w:szCs w:val="16"/>
      </w:rPr>
      <w:tab/>
      <w:t>PL 421</w:t>
    </w:r>
    <w:r w:rsidRPr="0013406D">
      <w:rPr>
        <w:rFonts w:ascii="Verdana" w:hAnsi="Verdana"/>
        <w:color w:val="00005C"/>
        <w:sz w:val="16"/>
        <w:szCs w:val="16"/>
      </w:rPr>
      <w:tab/>
      <w:t>Faksi (09) 652 367</w:t>
    </w:r>
    <w:r w:rsidRPr="0013406D">
      <w:rPr>
        <w:rFonts w:ascii="Verdana" w:hAnsi="Verdana"/>
        <w:color w:val="00005C"/>
        <w:sz w:val="16"/>
        <w:szCs w:val="16"/>
      </w:rPr>
      <w:tab/>
      <w:t>Nordea 219918-150877</w:t>
    </w:r>
  </w:p>
  <w:p w:rsidR="00E471C5" w:rsidRPr="0013406D" w:rsidRDefault="00E471C5" w:rsidP="00902CDA">
    <w:pPr>
      <w:pStyle w:val="Alatunniste"/>
      <w:tabs>
        <w:tab w:val="left" w:pos="2835"/>
        <w:tab w:val="left" w:pos="4990"/>
        <w:tab w:val="left" w:pos="5216"/>
        <w:tab w:val="left" w:pos="7380"/>
      </w:tabs>
      <w:rPr>
        <w:rFonts w:ascii="Verdana" w:hAnsi="Verdana"/>
        <w:color w:val="00005C"/>
        <w:sz w:val="16"/>
        <w:szCs w:val="16"/>
      </w:rPr>
    </w:pPr>
    <w:r w:rsidRPr="0013406D">
      <w:rPr>
        <w:rFonts w:ascii="Verdana" w:hAnsi="Verdana"/>
        <w:color w:val="00005C"/>
        <w:sz w:val="16"/>
        <w:szCs w:val="16"/>
      </w:rPr>
      <w:t>0100 Helsinki</w:t>
    </w:r>
    <w:r w:rsidRPr="0013406D">
      <w:rPr>
        <w:rFonts w:ascii="Verdana" w:hAnsi="Verdana"/>
        <w:color w:val="00005C"/>
        <w:sz w:val="16"/>
        <w:szCs w:val="16"/>
      </w:rPr>
      <w:tab/>
      <w:t>00101 Helsinki</w:t>
    </w:r>
    <w:r w:rsidRPr="0013406D">
      <w:rPr>
        <w:rFonts w:ascii="Verdana" w:hAnsi="Verdana"/>
        <w:color w:val="00005C"/>
        <w:sz w:val="16"/>
        <w:szCs w:val="16"/>
      </w:rPr>
      <w:tab/>
    </w:r>
    <w:r w:rsidRPr="0013406D">
      <w:rPr>
        <w:rFonts w:ascii="Verdana" w:hAnsi="Verdana"/>
        <w:color w:val="00005C"/>
        <w:sz w:val="16"/>
        <w:szCs w:val="16"/>
      </w:rPr>
      <w:tab/>
      <w:t>etunimi.sukunimi@sttk.fi</w:t>
    </w:r>
    <w:r w:rsidRPr="0013406D">
      <w:rPr>
        <w:rFonts w:ascii="Verdana" w:hAnsi="Verdana"/>
        <w:color w:val="00005C"/>
        <w:sz w:val="16"/>
        <w:szCs w:val="16"/>
      </w:rPr>
      <w:tab/>
      <w:t>Sampo 800011-265447</w:t>
    </w:r>
  </w:p>
  <w:p w:rsidR="00E471C5" w:rsidRPr="007B4C33" w:rsidRDefault="00E471C5">
    <w:pPr>
      <w:pStyle w:val="Alatunniste"/>
      <w:rPr>
        <w:b/>
      </w:rPr>
    </w:pPr>
    <w:r w:rsidRPr="007B4C33">
      <w:rPr>
        <w:rFonts w:ascii="Verdana" w:hAnsi="Verdana"/>
        <w:b/>
        <w:color w:val="00005C"/>
        <w:sz w:val="16"/>
        <w:szCs w:val="16"/>
      </w:rPr>
      <w:t>www.sttk.fi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55" w:rsidRDefault="00F93355">
      <w:r>
        <w:separator/>
      </w:r>
    </w:p>
  </w:footnote>
  <w:footnote w:type="continuationSeparator" w:id="0">
    <w:p w:rsidR="00F93355" w:rsidRDefault="00F9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5" w:rsidRDefault="00A631AC" w:rsidP="0067341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471C5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471C5" w:rsidRDefault="00E471C5" w:rsidP="00D81690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360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1714500" cy="530860"/>
          <wp:effectExtent l="19050" t="0" r="0" b="0"/>
          <wp:wrapNone/>
          <wp:docPr id="2" name="Kuva 2" descr="sttkthk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tkthk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Verdana" w:hAnsi="Verdana"/>
        <w:b/>
        <w:sz w:val="22"/>
        <w:szCs w:val="22"/>
      </w:rPr>
      <w:t>Asiakirjamalli</w:t>
    </w:r>
    <w:r>
      <w:rPr>
        <w:rFonts w:ascii="Verdana" w:hAnsi="Verdana"/>
        <w:b/>
        <w:sz w:val="22"/>
        <w:szCs w:val="22"/>
      </w:rPr>
      <w:tab/>
    </w:r>
    <w:r w:rsidRPr="002A6427">
      <w:rPr>
        <w:rFonts w:ascii="Verdana" w:hAnsi="Verdana"/>
        <w:sz w:val="22"/>
        <w:szCs w:val="22"/>
      </w:rPr>
      <w:t>Nro</w:t>
    </w:r>
    <w:r>
      <w:rPr>
        <w:rFonts w:ascii="Verdana" w:hAnsi="Verdana"/>
        <w:sz w:val="22"/>
        <w:szCs w:val="22"/>
      </w:rPr>
      <w:tab/>
    </w:r>
    <w:r>
      <w:rPr>
        <w:rFonts w:ascii="Verdana" w:hAnsi="Verdana"/>
        <w:sz w:val="22"/>
        <w:szCs w:val="22"/>
      </w:rPr>
      <w:tab/>
    </w:r>
  </w:p>
  <w:p w:rsidR="00E471C5" w:rsidRDefault="00E471C5" w:rsidP="002A6427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ascii="Verdana" w:hAnsi="Verdana"/>
        <w:sz w:val="22"/>
        <w:szCs w:val="22"/>
      </w:rPr>
    </w:pPr>
  </w:p>
  <w:p w:rsidR="00E471C5" w:rsidRDefault="00E471C5" w:rsidP="002A6427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ascii="Verdana" w:hAnsi="Verdana"/>
        <w:sz w:val="22"/>
        <w:szCs w:val="22"/>
      </w:rPr>
    </w:pPr>
  </w:p>
  <w:p w:rsidR="00E471C5" w:rsidRPr="002A6427" w:rsidRDefault="00E471C5" w:rsidP="002A6427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442"/>
      <w:rPr>
        <w:rFonts w:ascii="Verdana" w:hAnsi="Verdana"/>
        <w:b/>
        <w:sz w:val="22"/>
        <w:szCs w:val="22"/>
      </w:rPr>
    </w:pPr>
    <w:r>
      <w:rPr>
        <w:rFonts w:ascii="Verdana" w:hAnsi="Verdana"/>
        <w:sz w:val="22"/>
        <w:szCs w:val="22"/>
      </w:rPr>
      <w:t>Käsittelijä</w:t>
    </w:r>
    <w:r>
      <w:rPr>
        <w:rFonts w:ascii="Verdana" w:hAnsi="Verdana"/>
        <w:sz w:val="22"/>
        <w:szCs w:val="22"/>
      </w:rPr>
      <w:tab/>
      <w:t>päivämäärä</w:t>
    </w:r>
    <w:r>
      <w:rPr>
        <w:rFonts w:ascii="Verdana" w:hAnsi="Verdana"/>
        <w:b/>
        <w:sz w:val="22"/>
        <w:szCs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4" w:rsidRPr="008E3BBC" w:rsidRDefault="00E471C5" w:rsidP="00B8712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56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14500" cy="530860"/>
          <wp:effectExtent l="19050" t="0" r="0" b="0"/>
          <wp:wrapNone/>
          <wp:docPr id="4" name="Kuva 4" descr="sttkthk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tkthk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b/>
      </w:rPr>
      <w:t>Lausunto</w:t>
    </w:r>
    <w:r w:rsidRPr="007B4C33">
      <w:tab/>
    </w:r>
    <w:r>
      <w:t xml:space="preserve">86/2010/L </w:t>
    </w:r>
    <w:r w:rsidR="00B87124">
      <w:tab/>
    </w:r>
    <w:r w:rsidR="00A631AC" w:rsidRPr="008E3BBC">
      <w:rPr>
        <w:rStyle w:val="Sivunumero"/>
      </w:rPr>
      <w:fldChar w:fldCharType="begin"/>
    </w:r>
    <w:r w:rsidR="00B87124" w:rsidRPr="008E3BBC">
      <w:rPr>
        <w:rStyle w:val="Sivunumero"/>
      </w:rPr>
      <w:instrText xml:space="preserve"> PAGE </w:instrText>
    </w:r>
    <w:r w:rsidR="00A631AC" w:rsidRPr="008E3BBC">
      <w:rPr>
        <w:rStyle w:val="Sivunumero"/>
      </w:rPr>
      <w:fldChar w:fldCharType="separate"/>
    </w:r>
    <w:r w:rsidR="00BC78FF">
      <w:rPr>
        <w:rStyle w:val="Sivunumero"/>
        <w:noProof/>
      </w:rPr>
      <w:t>2</w:t>
    </w:r>
    <w:r w:rsidR="00A631AC" w:rsidRPr="008E3BBC">
      <w:rPr>
        <w:rStyle w:val="Sivunumero"/>
      </w:rPr>
      <w:fldChar w:fldCharType="end"/>
    </w:r>
    <w:r w:rsidR="00B87124" w:rsidRPr="008E3BBC">
      <w:rPr>
        <w:rStyle w:val="Sivunumero"/>
      </w:rPr>
      <w:t xml:space="preserve"> (</w:t>
    </w:r>
    <w:r w:rsidR="00A631AC" w:rsidRPr="008E3BBC">
      <w:rPr>
        <w:rStyle w:val="Sivunumero"/>
      </w:rPr>
      <w:fldChar w:fldCharType="begin"/>
    </w:r>
    <w:r w:rsidR="00B87124" w:rsidRPr="008E3BBC">
      <w:rPr>
        <w:rStyle w:val="Sivunumero"/>
      </w:rPr>
      <w:instrText xml:space="preserve"> NUMPAGES </w:instrText>
    </w:r>
    <w:r w:rsidR="00A631AC" w:rsidRPr="008E3BBC">
      <w:rPr>
        <w:rStyle w:val="Sivunumero"/>
      </w:rPr>
      <w:fldChar w:fldCharType="separate"/>
    </w:r>
    <w:r w:rsidR="00BC78FF">
      <w:rPr>
        <w:rStyle w:val="Sivunumero"/>
        <w:noProof/>
      </w:rPr>
      <w:t>3</w:t>
    </w:r>
    <w:r w:rsidR="00A631AC" w:rsidRPr="008E3BBC">
      <w:rPr>
        <w:rStyle w:val="Sivunumero"/>
      </w:rPr>
      <w:fldChar w:fldCharType="end"/>
    </w:r>
    <w:r w:rsidR="00B87124" w:rsidRPr="008E3BBC">
      <w:rPr>
        <w:rStyle w:val="Sivunumero"/>
      </w:rPr>
      <w:t>)</w:t>
    </w:r>
  </w:p>
  <w:p w:rsidR="00E471C5" w:rsidRPr="007B4C33" w:rsidRDefault="005724A2" w:rsidP="00902CDA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236"/>
      <w:rPr>
        <w:rStyle w:val="Sivunumero"/>
      </w:rPr>
    </w:pPr>
    <w:r>
      <w:tab/>
    </w:r>
  </w:p>
  <w:p w:rsidR="00E471C5" w:rsidRPr="007B4C33" w:rsidRDefault="00E471C5" w:rsidP="00902CDA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236"/>
      <w:rPr>
        <w:rStyle w:val="Sivunumero"/>
      </w:rPr>
    </w:pPr>
  </w:p>
  <w:p w:rsidR="00E471C5" w:rsidRPr="00BC5566" w:rsidRDefault="00E471C5" w:rsidP="00902CDA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236"/>
      <w:rPr>
        <w:rFonts w:ascii="Verdana" w:hAnsi="Verdana"/>
        <w:sz w:val="22"/>
        <w:szCs w:val="22"/>
      </w:rPr>
    </w:pPr>
    <w:r>
      <w:rPr>
        <w:rStyle w:val="Sivunumero"/>
      </w:rPr>
      <w:t xml:space="preserve">Edunvalvontayksikkö/Inka </w:t>
    </w:r>
    <w:proofErr w:type="spellStart"/>
    <w:r>
      <w:rPr>
        <w:rStyle w:val="Sivunumero"/>
      </w:rPr>
      <w:t>Douglas</w:t>
    </w:r>
    <w:r w:rsidR="00264A23">
      <w:rPr>
        <w:rStyle w:val="Sivunumero"/>
      </w:rPr>
      <w:t>/pg</w:t>
    </w:r>
    <w:proofErr w:type="spellEnd"/>
    <w:r w:rsidRPr="007B4C33">
      <w:rPr>
        <w:rStyle w:val="Sivunumero"/>
      </w:rPr>
      <w:tab/>
    </w:r>
    <w:r w:rsidR="00BC78FF">
      <w:rPr>
        <w:rStyle w:val="Sivunumero"/>
      </w:rPr>
      <w:t>5</w:t>
    </w:r>
    <w:r>
      <w:rPr>
        <w:rStyle w:val="Sivunumero"/>
      </w:rPr>
      <w:t>.11.2010</w:t>
    </w:r>
    <w:r w:rsidRPr="00BC5566">
      <w:rPr>
        <w:rFonts w:ascii="Verdana" w:hAnsi="Verdana"/>
        <w:sz w:val="22"/>
        <w:szCs w:val="22"/>
      </w:rPr>
      <w:tab/>
    </w:r>
    <w:r w:rsidRPr="00BC5566">
      <w:rPr>
        <w:rFonts w:ascii="Verdana" w:hAnsi="Verdana"/>
        <w:sz w:val="22"/>
        <w:szCs w:val="22"/>
      </w:rPr>
      <w:tab/>
    </w:r>
    <w:r w:rsidRPr="00BC5566">
      <w:rPr>
        <w:rFonts w:ascii="Verdana" w:hAnsi="Verdana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24" w:rsidRPr="00A66096" w:rsidRDefault="00E471C5" w:rsidP="00B8712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56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827530" cy="530860"/>
          <wp:effectExtent l="19050" t="0" r="1270" b="0"/>
          <wp:wrapNone/>
          <wp:docPr id="3" name="Kuva 3" descr="sttkthk4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tkthk4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22"/>
        <w:szCs w:val="22"/>
      </w:rPr>
      <w:tab/>
    </w:r>
    <w:r>
      <w:rPr>
        <w:b/>
      </w:rPr>
      <w:t>Lausunto</w:t>
    </w:r>
    <w:r w:rsidRPr="00A66096">
      <w:rPr>
        <w:b/>
      </w:rPr>
      <w:tab/>
    </w:r>
    <w:r>
      <w:t>86/2010/L</w:t>
    </w:r>
    <w:r w:rsidR="005724A2">
      <w:tab/>
    </w:r>
    <w:r w:rsidR="00A631AC" w:rsidRPr="00A66096">
      <w:rPr>
        <w:rStyle w:val="Sivunumero"/>
      </w:rPr>
      <w:fldChar w:fldCharType="begin"/>
    </w:r>
    <w:r w:rsidR="00B87124" w:rsidRPr="00A66096">
      <w:rPr>
        <w:rStyle w:val="Sivunumero"/>
      </w:rPr>
      <w:instrText xml:space="preserve"> PAGE </w:instrText>
    </w:r>
    <w:r w:rsidR="00A631AC" w:rsidRPr="00A66096">
      <w:rPr>
        <w:rStyle w:val="Sivunumero"/>
      </w:rPr>
      <w:fldChar w:fldCharType="separate"/>
    </w:r>
    <w:r w:rsidR="00BC78FF">
      <w:rPr>
        <w:rStyle w:val="Sivunumero"/>
        <w:noProof/>
      </w:rPr>
      <w:t>1</w:t>
    </w:r>
    <w:r w:rsidR="00A631AC" w:rsidRPr="00A66096">
      <w:rPr>
        <w:rStyle w:val="Sivunumero"/>
      </w:rPr>
      <w:fldChar w:fldCharType="end"/>
    </w:r>
    <w:r w:rsidR="00B87124" w:rsidRPr="00A66096">
      <w:rPr>
        <w:rStyle w:val="Sivunumero"/>
      </w:rPr>
      <w:t xml:space="preserve"> (</w:t>
    </w:r>
    <w:r w:rsidR="00A631AC" w:rsidRPr="00A66096">
      <w:rPr>
        <w:rStyle w:val="Sivunumero"/>
      </w:rPr>
      <w:fldChar w:fldCharType="begin"/>
    </w:r>
    <w:r w:rsidR="00B87124" w:rsidRPr="00A66096">
      <w:rPr>
        <w:rStyle w:val="Sivunumero"/>
      </w:rPr>
      <w:instrText xml:space="preserve"> NUMPAGES </w:instrText>
    </w:r>
    <w:r w:rsidR="00A631AC" w:rsidRPr="00A66096">
      <w:rPr>
        <w:rStyle w:val="Sivunumero"/>
      </w:rPr>
      <w:fldChar w:fldCharType="separate"/>
    </w:r>
    <w:r w:rsidR="00BC78FF">
      <w:rPr>
        <w:rStyle w:val="Sivunumero"/>
        <w:noProof/>
      </w:rPr>
      <w:t>3</w:t>
    </w:r>
    <w:r w:rsidR="00A631AC" w:rsidRPr="00A66096">
      <w:rPr>
        <w:rStyle w:val="Sivunumero"/>
      </w:rPr>
      <w:fldChar w:fldCharType="end"/>
    </w:r>
    <w:r w:rsidR="00B87124" w:rsidRPr="00A66096">
      <w:rPr>
        <w:rStyle w:val="Sivunumero"/>
      </w:rPr>
      <w:t>)</w:t>
    </w:r>
  </w:p>
  <w:p w:rsidR="00E471C5" w:rsidRDefault="00E471C5" w:rsidP="005724A2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56"/>
    </w:pPr>
  </w:p>
  <w:p w:rsidR="00E471C5" w:rsidRPr="00B87124" w:rsidRDefault="00E471C5" w:rsidP="00B8712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ind w:right="-56"/>
      <w:rPr>
        <w:b/>
      </w:rPr>
    </w:pPr>
    <w:r w:rsidRPr="00A66096">
      <w:tab/>
    </w:r>
  </w:p>
  <w:p w:rsidR="00E471C5" w:rsidRPr="00A66096" w:rsidRDefault="008E7E5D" w:rsidP="00902CDA">
    <w:pPr>
      <w:pStyle w:val="Yltunniste"/>
      <w:tabs>
        <w:tab w:val="clear" w:pos="4819"/>
        <w:tab w:val="left" w:pos="5216"/>
      </w:tabs>
    </w:pPr>
    <w:r>
      <w:t xml:space="preserve">Edunvalvontayksikkö/Inka </w:t>
    </w:r>
    <w:proofErr w:type="spellStart"/>
    <w:r w:rsidR="00E471C5">
      <w:t>Douglas</w:t>
    </w:r>
    <w:r w:rsidR="002669B1">
      <w:t>/pg</w:t>
    </w:r>
    <w:proofErr w:type="spellEnd"/>
    <w:r w:rsidR="00BC78FF">
      <w:tab/>
      <w:t>5</w:t>
    </w:r>
    <w:r w:rsidR="00E471C5">
      <w:t>.11.2010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2280B"/>
    <w:rsid w:val="000030FA"/>
    <w:rsid w:val="00004CCA"/>
    <w:rsid w:val="0000794C"/>
    <w:rsid w:val="0001022A"/>
    <w:rsid w:val="00010CCA"/>
    <w:rsid w:val="0002382A"/>
    <w:rsid w:val="000245DA"/>
    <w:rsid w:val="00032089"/>
    <w:rsid w:val="00035E41"/>
    <w:rsid w:val="000569BA"/>
    <w:rsid w:val="00056B4E"/>
    <w:rsid w:val="000A1A79"/>
    <w:rsid w:val="000D2733"/>
    <w:rsid w:val="000E4CE7"/>
    <w:rsid w:val="000E51CC"/>
    <w:rsid w:val="00101B3C"/>
    <w:rsid w:val="00125702"/>
    <w:rsid w:val="0013406D"/>
    <w:rsid w:val="00167B50"/>
    <w:rsid w:val="001750F0"/>
    <w:rsid w:val="00186718"/>
    <w:rsid w:val="001A1135"/>
    <w:rsid w:val="001A6809"/>
    <w:rsid w:val="001B2D74"/>
    <w:rsid w:val="001B4592"/>
    <w:rsid w:val="001E7071"/>
    <w:rsid w:val="002237E5"/>
    <w:rsid w:val="00243C57"/>
    <w:rsid w:val="00264A23"/>
    <w:rsid w:val="002669B1"/>
    <w:rsid w:val="002874DB"/>
    <w:rsid w:val="002942FC"/>
    <w:rsid w:val="002A6427"/>
    <w:rsid w:val="002B6F63"/>
    <w:rsid w:val="002D0F15"/>
    <w:rsid w:val="00301EE4"/>
    <w:rsid w:val="003024D7"/>
    <w:rsid w:val="0032022C"/>
    <w:rsid w:val="00331C19"/>
    <w:rsid w:val="00331EFF"/>
    <w:rsid w:val="00336192"/>
    <w:rsid w:val="00343AC3"/>
    <w:rsid w:val="00350366"/>
    <w:rsid w:val="003611E1"/>
    <w:rsid w:val="00364314"/>
    <w:rsid w:val="003879B6"/>
    <w:rsid w:val="003F060D"/>
    <w:rsid w:val="003F31DF"/>
    <w:rsid w:val="004117FA"/>
    <w:rsid w:val="0041604C"/>
    <w:rsid w:val="004260E6"/>
    <w:rsid w:val="004529DC"/>
    <w:rsid w:val="00454DDF"/>
    <w:rsid w:val="004633FB"/>
    <w:rsid w:val="00473135"/>
    <w:rsid w:val="004800F4"/>
    <w:rsid w:val="004C0D05"/>
    <w:rsid w:val="004C3D1B"/>
    <w:rsid w:val="004D5306"/>
    <w:rsid w:val="004D6F10"/>
    <w:rsid w:val="004E6E2E"/>
    <w:rsid w:val="004F61B9"/>
    <w:rsid w:val="00502917"/>
    <w:rsid w:val="005309E5"/>
    <w:rsid w:val="00552CE9"/>
    <w:rsid w:val="00562816"/>
    <w:rsid w:val="005724A2"/>
    <w:rsid w:val="005A5710"/>
    <w:rsid w:val="005E0DB9"/>
    <w:rsid w:val="005F4B48"/>
    <w:rsid w:val="006049BD"/>
    <w:rsid w:val="00614C58"/>
    <w:rsid w:val="00624C28"/>
    <w:rsid w:val="00650D4B"/>
    <w:rsid w:val="00673413"/>
    <w:rsid w:val="0069183A"/>
    <w:rsid w:val="00694B16"/>
    <w:rsid w:val="006A0DC0"/>
    <w:rsid w:val="006B3549"/>
    <w:rsid w:val="006D44DA"/>
    <w:rsid w:val="006E08DF"/>
    <w:rsid w:val="0071246C"/>
    <w:rsid w:val="00737045"/>
    <w:rsid w:val="0075049C"/>
    <w:rsid w:val="007508BD"/>
    <w:rsid w:val="0075260C"/>
    <w:rsid w:val="0075672C"/>
    <w:rsid w:val="007659BB"/>
    <w:rsid w:val="00772663"/>
    <w:rsid w:val="00780154"/>
    <w:rsid w:val="007B4C33"/>
    <w:rsid w:val="007E2823"/>
    <w:rsid w:val="007E656F"/>
    <w:rsid w:val="007F6BA6"/>
    <w:rsid w:val="00811387"/>
    <w:rsid w:val="008373EF"/>
    <w:rsid w:val="008438A3"/>
    <w:rsid w:val="00844242"/>
    <w:rsid w:val="008473BB"/>
    <w:rsid w:val="008523B3"/>
    <w:rsid w:val="00857A41"/>
    <w:rsid w:val="00862E34"/>
    <w:rsid w:val="0087666A"/>
    <w:rsid w:val="00895124"/>
    <w:rsid w:val="008A43C1"/>
    <w:rsid w:val="008B1229"/>
    <w:rsid w:val="008E3BBC"/>
    <w:rsid w:val="008E7E5D"/>
    <w:rsid w:val="00902CDA"/>
    <w:rsid w:val="00957912"/>
    <w:rsid w:val="00966DC1"/>
    <w:rsid w:val="00970104"/>
    <w:rsid w:val="00995B93"/>
    <w:rsid w:val="009A5206"/>
    <w:rsid w:val="009D55C8"/>
    <w:rsid w:val="009D708A"/>
    <w:rsid w:val="00A47F6A"/>
    <w:rsid w:val="00A526AB"/>
    <w:rsid w:val="00A5510E"/>
    <w:rsid w:val="00A631AC"/>
    <w:rsid w:val="00A66096"/>
    <w:rsid w:val="00A666C5"/>
    <w:rsid w:val="00A74601"/>
    <w:rsid w:val="00A969AA"/>
    <w:rsid w:val="00AB623E"/>
    <w:rsid w:val="00AD6EDE"/>
    <w:rsid w:val="00AD71BA"/>
    <w:rsid w:val="00AE1C19"/>
    <w:rsid w:val="00AE3A4B"/>
    <w:rsid w:val="00AF1E97"/>
    <w:rsid w:val="00AF493C"/>
    <w:rsid w:val="00B35FEE"/>
    <w:rsid w:val="00B40A35"/>
    <w:rsid w:val="00B449D9"/>
    <w:rsid w:val="00B62F8E"/>
    <w:rsid w:val="00B73760"/>
    <w:rsid w:val="00B773F5"/>
    <w:rsid w:val="00B87124"/>
    <w:rsid w:val="00BA298B"/>
    <w:rsid w:val="00BB2E5E"/>
    <w:rsid w:val="00BB3464"/>
    <w:rsid w:val="00BC201F"/>
    <w:rsid w:val="00BC5566"/>
    <w:rsid w:val="00BC78FF"/>
    <w:rsid w:val="00C11BB8"/>
    <w:rsid w:val="00C64E29"/>
    <w:rsid w:val="00CA36E9"/>
    <w:rsid w:val="00CD6B9D"/>
    <w:rsid w:val="00CE5F27"/>
    <w:rsid w:val="00CF040D"/>
    <w:rsid w:val="00CF3843"/>
    <w:rsid w:val="00D23EDF"/>
    <w:rsid w:val="00D81690"/>
    <w:rsid w:val="00D97671"/>
    <w:rsid w:val="00DC159D"/>
    <w:rsid w:val="00DE393A"/>
    <w:rsid w:val="00DF41DB"/>
    <w:rsid w:val="00E2108C"/>
    <w:rsid w:val="00E314DF"/>
    <w:rsid w:val="00E327EF"/>
    <w:rsid w:val="00E32C3D"/>
    <w:rsid w:val="00E471C5"/>
    <w:rsid w:val="00E5743E"/>
    <w:rsid w:val="00E60583"/>
    <w:rsid w:val="00E77BE0"/>
    <w:rsid w:val="00EA0ADA"/>
    <w:rsid w:val="00EA22F5"/>
    <w:rsid w:val="00EB31FD"/>
    <w:rsid w:val="00EB3667"/>
    <w:rsid w:val="00EB74DA"/>
    <w:rsid w:val="00EC0041"/>
    <w:rsid w:val="00EC2508"/>
    <w:rsid w:val="00ED0B42"/>
    <w:rsid w:val="00F07FBF"/>
    <w:rsid w:val="00F2280B"/>
    <w:rsid w:val="00F2345D"/>
    <w:rsid w:val="00F2609A"/>
    <w:rsid w:val="00F60903"/>
    <w:rsid w:val="00F84AC4"/>
    <w:rsid w:val="00F93355"/>
    <w:rsid w:val="00FA3C46"/>
    <w:rsid w:val="00FB6621"/>
    <w:rsid w:val="00FC1528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E4CE7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A298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A298B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67B50"/>
  </w:style>
  <w:style w:type="character" w:customStyle="1" w:styleId="YltunnisteChar">
    <w:name w:val="Ylätunniste Char"/>
    <w:basedOn w:val="Kappaleenoletusfontti"/>
    <w:link w:val="Yltunniste"/>
    <w:rsid w:val="00B8712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oimisto\Kirjepohjat\4%20STTK%20lausuntopohja%20jatkosivu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STTK lausuntopohja jatkosivulla</Template>
  <TotalTime>202</TotalTime>
  <Pages>3</Pages>
  <Words>535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Vastaanottajan tiedot</vt:lpstr>
    </vt:vector>
  </TitlesOfParts>
  <Company>EmCe Solution Partner Oy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tiedot</dc:title>
  <dc:creator>inka.douglas</dc:creator>
  <cp:lastModifiedBy>paivi.gylling</cp:lastModifiedBy>
  <cp:revision>31</cp:revision>
  <cp:lastPrinted>2010-06-17T12:23:00Z</cp:lastPrinted>
  <dcterms:created xsi:type="dcterms:W3CDTF">2010-11-05T09:27:00Z</dcterms:created>
  <dcterms:modified xsi:type="dcterms:W3CDTF">2010-11-05T12:55:00Z</dcterms:modified>
</cp:coreProperties>
</file>