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81A0B">
      <w:pPr>
        <w:spacing w:after="20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Opetus- ja kulttuuriministeriö</w:t>
      </w:r>
    </w:p>
    <w:p w:rsidR="00A77B3E" w:rsidRDefault="00881A0B">
      <w:pPr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A77B3E" w:rsidRDefault="00881A0B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23.01.2024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VN/2382/2024</w:t>
      </w:r>
    </w:p>
    <w:p w:rsidR="00A77B3E" w:rsidRDefault="00881A0B">
      <w:pPr>
        <w:rPr>
          <w:rFonts w:ascii="Arial" w:eastAsia="Arial" w:hAnsi="Arial" w:cs="Arial"/>
          <w:color w:val="000000"/>
        </w:rPr>
      </w:pPr>
    </w:p>
    <w:p w:rsidR="00A77B3E" w:rsidRDefault="00881A0B">
      <w:pPr>
        <w:rPr>
          <w:rFonts w:ascii="Arial" w:eastAsia="Arial" w:hAnsi="Arial" w:cs="Arial"/>
          <w:color w:val="000000"/>
        </w:rPr>
      </w:pPr>
    </w:p>
    <w:p w:rsidR="00A77B3E" w:rsidRDefault="00881A0B">
      <w:pPr>
        <w:rPr>
          <w:rFonts w:ascii="Arial" w:eastAsia="Arial" w:hAnsi="Arial" w:cs="Arial"/>
          <w:color w:val="000000"/>
        </w:rPr>
      </w:pPr>
    </w:p>
    <w:p w:rsidR="00A77B3E" w:rsidRDefault="00881A0B">
      <w:pPr>
        <w:rPr>
          <w:rFonts w:ascii="Arial" w:eastAsia="Arial" w:hAnsi="Arial" w:cs="Arial"/>
          <w:color w:val="000000"/>
        </w:rPr>
      </w:pPr>
    </w:p>
    <w:p w:rsidR="00A77B3E" w:rsidRDefault="00881A0B">
      <w:pPr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Lausuntopyyntö yliopistojen rahoitusmallin uudistamista koskevista asetusluonnoksista</w:t>
      </w:r>
    </w:p>
    <w:p w:rsidR="00A77B3E" w:rsidRDefault="00881A0B">
      <w:pPr>
        <w:rPr>
          <w:rFonts w:ascii="Arial" w:eastAsia="Arial" w:hAnsi="Arial" w:cs="Arial"/>
          <w:color w:val="000000"/>
          <w:sz w:val="32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Opetus- ja kulttuuriministeriö pyytää lausuntoanne luonnoksesta valtioneuvoston </w:t>
      </w:r>
      <w:r>
        <w:rPr>
          <w:rFonts w:ascii="Arial" w:eastAsia="Arial" w:hAnsi="Arial" w:cs="Arial"/>
          <w:color w:val="000000"/>
        </w:rPr>
        <w:t>asetukseksi yliopistoista annetun valtioneuvoston asetuksen muuttamisesta sekä opetus- ja kulttuuriministeriön asetukseksi yliopistojen perusrahoituksen laskentakriteereistä. Asetusehdotukset perustuvat laajapohjaisen korkeakoulujen rahoituksen ja ohjaukse</w:t>
      </w:r>
      <w:r>
        <w:rPr>
          <w:rFonts w:ascii="Arial" w:eastAsia="Arial" w:hAnsi="Arial" w:cs="Arial"/>
          <w:color w:val="000000"/>
        </w:rPr>
        <w:t>n uudistamista valmistelleen opetus- ja kulttuuriministeriön työryhmän ehdotukseen yliopistojen ja ammattikorkeakoulujen uusiksi rahoitusmalleiksi vuodesta 2025 alkaen ja niitä koskeviksi säädöksiksi. 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Opetus- ja kulttuuriministeriön työryhmä teki </w:t>
      </w:r>
      <w:r>
        <w:rPr>
          <w:rFonts w:ascii="Arial" w:eastAsia="Arial" w:hAnsi="Arial" w:cs="Arial"/>
          <w:color w:val="000000"/>
        </w:rPr>
        <w:t>joulukuussa 2023 ehdotuksensa korkeakoulujen valtionrahoituksen kohdentamisessa käytettyjen rahoitusmallien uudistamiseksi vuodesta 2025 alkaen ja niiden pohjalta ehdotukset tarvittavista säädösmuutoksista (liitteenä).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Työryhmän ehdotusten mukaisesti ylio</w:t>
      </w:r>
      <w:r>
        <w:rPr>
          <w:rFonts w:ascii="Arial" w:eastAsia="Arial" w:hAnsi="Arial" w:cs="Arial"/>
          <w:color w:val="000000"/>
        </w:rPr>
        <w:t>pistoista annetun valtioneuvoston asetuksen 5−7 §:ää ehdotetaan muutettavaksi edistämään hallitusohjelman keskeisiä korkeakoulu- ja tiedepoliittisia tavoitteita turvaten samalla korkeakoulujen autonomiaa ja rahoituksen ennakoitavuutta. Työryhmän ehdotusten</w:t>
      </w:r>
      <w:r>
        <w:rPr>
          <w:rFonts w:ascii="Arial" w:eastAsia="Arial" w:hAnsi="Arial" w:cs="Arial"/>
          <w:color w:val="000000"/>
        </w:rPr>
        <w:t xml:space="preserve"> mukaisesti ehdotetaan uudistettavaksi myös opetus- ja kulttuuriministeriön asetus yliopistojen perusrahoituksen laskentakriteereistä.</w:t>
      </w:r>
      <w:r>
        <w:rPr>
          <w:rFonts w:ascii="Arial" w:eastAsia="Arial" w:hAnsi="Arial" w:cs="Arial"/>
          <w:color w:val="000000"/>
        </w:rPr>
        <w:br/>
        <w:t> 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Tavoitteet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Pääministeri Petteri Orpon hallitus on sitoutunut tekemään toimenpiteitä, joilla korkeakoulutettujen nuorte</w:t>
      </w:r>
      <w:r>
        <w:rPr>
          <w:rFonts w:ascii="Arial" w:eastAsia="Arial" w:hAnsi="Arial" w:cs="Arial"/>
          <w:color w:val="000000"/>
        </w:rPr>
        <w:t xml:space="preserve">n aikuisten määrä pyritään nostamaan mahdollisimman lähelle 50 prosenttia vuoteen 2030 mennessä. Koulutustason nostamiseksi korkeakoulutusta on suunnattava aiempaa voimakkaammin ensimmäistä tutkintoa suorittaville. Korkeakoulujen rahoitusmallia arvioidaan </w:t>
      </w:r>
      <w:r>
        <w:rPr>
          <w:rFonts w:ascii="Arial" w:eastAsia="Arial" w:hAnsi="Arial" w:cs="Arial"/>
          <w:color w:val="000000"/>
        </w:rPr>
        <w:t>niiltä osin kuin muutoksilla voidaan parantaa korkeakoulujen kannustimia varmistaa, että opiskelijat valmistuvat tavoiteajassa.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Hallitus on sitoutunut T&amp;K -järjestelmän kehittämisen periaatteisiin ja parlamentaarisen TKI-työryhmän ehdotusten toimeenpanoon</w:t>
      </w:r>
      <w:r>
        <w:rPr>
          <w:rFonts w:ascii="Arial" w:eastAsia="Arial" w:hAnsi="Arial" w:cs="Arial"/>
          <w:color w:val="000000"/>
        </w:rPr>
        <w:t xml:space="preserve">. Välttämätöntä on varmistaa osaajien saatavuus ja </w:t>
      </w:r>
      <w:r>
        <w:rPr>
          <w:rFonts w:ascii="Arial" w:eastAsia="Arial" w:hAnsi="Arial" w:cs="Arial"/>
          <w:color w:val="000000"/>
        </w:rPr>
        <w:lastRenderedPageBreak/>
        <w:t>riittävät koulutusmäärät sekä Suomen houkuttelevuus ulkomaisten osaajien näkökulmasta. Tavoitteeksi on asetettu Suomeen ohjautuvan EU:n T&amp;K-rahoituksen kaksinkertaistaminen.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Hallitus jatkaa korkeakouluje</w:t>
      </w:r>
      <w:r>
        <w:rPr>
          <w:rFonts w:ascii="Arial" w:eastAsia="Arial" w:hAnsi="Arial" w:cs="Arial"/>
          <w:color w:val="000000"/>
        </w:rPr>
        <w:t>n profiloitumisen tukemista, jotta voimavarat käytettäisiin mahdollisimman tarkoituksenmukaisesti. Korkeakoulujen autonomiaa tuetaan, mutta koordinointia tarvitaan. Korkeakouluja kannustetaan kansalliseen ja kansainväliseen yhteistyöhön. Koulutuskentän yht</w:t>
      </w:r>
      <w:r>
        <w:rPr>
          <w:rFonts w:ascii="Arial" w:eastAsia="Arial" w:hAnsi="Arial" w:cs="Arial"/>
          <w:color w:val="000000"/>
        </w:rPr>
        <w:t>eistyön mahdollisuuksia hyödynnetään tehokkaammin ottaen huomioon alueelliset ja kielelliset näkökohdat.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Perusrahoituksella korkeakouluille turvataan resurssit niiden lakisääteisten tehtävien hoitamiseen ja edellytykset toiminnan pitkäjänteiseen kehittämi</w:t>
      </w:r>
      <w:r>
        <w:rPr>
          <w:rFonts w:ascii="Arial" w:eastAsia="Arial" w:hAnsi="Arial" w:cs="Arial"/>
          <w:color w:val="000000"/>
        </w:rPr>
        <w:t>seen.</w:t>
      </w:r>
      <w:r>
        <w:rPr>
          <w:rFonts w:ascii="Arial" w:eastAsia="Arial" w:hAnsi="Arial" w:cs="Arial"/>
          <w:color w:val="000000"/>
        </w:rPr>
        <w:br/>
        <w:t> 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 pyydetään antamaan vastaamalla lausuntopalvelu.fi:ssä julkaistuun lausuntopyyntöön. Lausuntoa ei tarvitse lähettää erikseen sähköpostitse tai postitse.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Lausunnon antaakseen vastaajan tulee rekisteröityä ja</w:t>
      </w:r>
      <w:r>
        <w:rPr>
          <w:rFonts w:ascii="Arial" w:eastAsia="Arial" w:hAnsi="Arial" w:cs="Arial"/>
          <w:color w:val="000000"/>
        </w:rPr>
        <w:t xml:space="preserve"> kirjautua lausuntopalvelu.fi:hin. Tarkemmat ohjeet palvelun käyttämiseksi löytyvät lausuntopalvelu.fi sivuilta Ohjeet &gt; Käyttöohjeet. Palvelun käyttöönoton tukea voi pyytää osoitteesta lausuntopalvelu.om@gov.fi.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Siinä tapauksessa, että lausuntopalvelu.f</w:t>
      </w:r>
      <w:r>
        <w:rPr>
          <w:rFonts w:ascii="Arial" w:eastAsia="Arial" w:hAnsi="Arial" w:cs="Arial"/>
          <w:color w:val="000000"/>
        </w:rPr>
        <w:t>i:tä ei ole mahdollista käyttää, lausunnon voi toimittaa opetus- ja kulttuuriministeriön kirjaamoon sähköpostitse (kirjaamo.okm@gov.fi) tai postitse PL 29, 00023 Valtioneuvosto. Saatteessa pyydetään mainitsemaan asianumerot VN/2382/2024 ja VN/2384/2024.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VAHVA-asianhallintajärjestelmää käyttäviä ministeriöitä pyydetään kuitenkin viemään lausuntonsa suoraan kyseiselle asialle VAHVA:ssa.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Kaikki lausunnot ovat julkisia ja ne julkaistaan lausuntopalvelu.fi-sivulla sekä hankkeen internet-sivuilla valtioneuvost</w:t>
      </w:r>
      <w:r>
        <w:rPr>
          <w:rFonts w:ascii="Arial" w:eastAsia="Arial" w:hAnsi="Arial" w:cs="Arial"/>
          <w:color w:val="000000"/>
        </w:rPr>
        <w:t>on Hankeikkunassa.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Opetus- ja kulttuuriministeriö pyytää toimittamaan lausunnot asetusluonnoksista tätä lomaketta hyödyntäen viimeistään </w:t>
      </w:r>
      <w:r>
        <w:rPr>
          <w:rFonts w:ascii="Arial" w:eastAsia="Arial" w:hAnsi="Arial" w:cs="Arial"/>
          <w:b/>
          <w:bCs/>
          <w:color w:val="000000"/>
        </w:rPr>
        <w:t>20.2.2024.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Lisätietoja antavat:</w:t>
      </w:r>
      <w:r>
        <w:rPr>
          <w:rFonts w:ascii="Arial" w:eastAsia="Arial" w:hAnsi="Arial" w:cs="Arial"/>
          <w:color w:val="000000"/>
        </w:rPr>
        <w:br/>
        <w:t>Opetusneuvos Tomi Halonen, 02953 30095, tomi.halonen@gov.fi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Opetusneuvos Jorma Karhu, 02953 30139, jorma.karhu@gov.fi</w:t>
      </w:r>
      <w:r>
        <w:rPr>
          <w:rFonts w:ascii="Arial" w:eastAsia="Arial" w:hAnsi="Arial" w:cs="Arial"/>
          <w:color w:val="000000"/>
        </w:rPr>
        <w:br/>
        <w:t>Hallitusneuvos Laura Hansén, 02953 30398, laura.hansen@gov.fi</w:t>
      </w:r>
      <w:r>
        <w:rPr>
          <w:rFonts w:ascii="Arial" w:eastAsia="Arial" w:hAnsi="Arial" w:cs="Arial"/>
          <w:color w:val="000000"/>
        </w:rPr>
        <w:br/>
        <w:t>Opetusneuvos Maarit Palonen, 02953 30243, maarit.palonen@gov.fi</w:t>
      </w:r>
      <w:r>
        <w:rPr>
          <w:rFonts w:ascii="Arial" w:eastAsia="Arial" w:hAnsi="Arial" w:cs="Arial"/>
          <w:color w:val="000000"/>
        </w:rPr>
        <w:br/>
        <w:t>Opetusneuvos Ulla Mäkeläinen, 02953 30223, ulla.makelainen@gov.fi</w:t>
      </w:r>
      <w:r>
        <w:rPr>
          <w:rFonts w:ascii="Arial" w:eastAsia="Arial" w:hAnsi="Arial" w:cs="Arial"/>
          <w:color w:val="000000"/>
        </w:rPr>
        <w:br/>
        <w:t>Opetus</w:t>
      </w:r>
      <w:r>
        <w:rPr>
          <w:rFonts w:ascii="Arial" w:eastAsia="Arial" w:hAnsi="Arial" w:cs="Arial"/>
          <w:color w:val="000000"/>
        </w:rPr>
        <w:t>neuvos Jukka Haapamäki, 02953 330 088, jukka.haapamaki@gov.fi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br/>
        <w:t> 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Linkit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7" w:history="1">
        <w:r>
          <w:rPr>
            <w:rFonts w:ascii="Arial" w:eastAsia="Arial" w:hAnsi="Arial" w:cs="Arial"/>
            <w:color w:val="5B9BD5"/>
          </w:rPr>
          <w:t>https://urn.fi/URN:ISBN:978-952-263-985-1</w:t>
        </w:r>
      </w:hyperlink>
      <w:r>
        <w:rPr>
          <w:rFonts w:ascii="Arial" w:eastAsia="Arial" w:hAnsi="Arial" w:cs="Arial"/>
          <w:color w:val="000000"/>
        </w:rPr>
        <w:t xml:space="preserve"> - Ehdotuksen laatineen työryhmän työryhmämuistio: Ehdotus ammattikorkeakoulujen ja yliopistojen valtakunnallisten rahoitusmallien uudistamiseksi vuodesta 2025 alkaen.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Arbetsgruppspromemoria med  förslag till reform av de nationella modellerna för finansie</w:t>
      </w:r>
      <w:r>
        <w:rPr>
          <w:rFonts w:ascii="Arial" w:eastAsia="Arial" w:hAnsi="Arial" w:cs="Arial"/>
          <w:color w:val="000000"/>
        </w:rPr>
        <w:t>ring av yrkeshögskolorna och universiteten från och med 2025 (på finska)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8" w:history="1">
        <w:r>
          <w:rPr>
            <w:rFonts w:ascii="Arial" w:eastAsia="Arial" w:hAnsi="Arial" w:cs="Arial"/>
            <w:color w:val="5B9BD5"/>
          </w:rPr>
          <w:t>https://valtioneuvosto.fi/hanke?tunnus=OKM010:00/2023</w:t>
        </w:r>
      </w:hyperlink>
      <w:r>
        <w:rPr>
          <w:rFonts w:ascii="Arial" w:eastAsia="Arial" w:hAnsi="Arial" w:cs="Arial"/>
          <w:color w:val="000000"/>
        </w:rPr>
        <w:t xml:space="preserve"> - Rahoitusmalleja uudistaneen työryhmän (KK OHRA –työryhmä </w:t>
      </w:r>
      <w:r>
        <w:rPr>
          <w:rFonts w:ascii="Arial" w:eastAsia="Arial" w:hAnsi="Arial" w:cs="Arial"/>
          <w:color w:val="000000"/>
        </w:rPr>
        <w:t>2023) hankeikkunasivu, josta työryhmän työhön liittyvät aineistot ovat ladattavissa.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Arbetsgruppens webbsida i projektportalen (KK OHRA-työryhmä 2023),  där material som hänför sig till arbetsgruppens arbete kan laddas ner (på finska).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Liitteet: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VN asetus</w:t>
      </w:r>
      <w:r>
        <w:rPr>
          <w:rFonts w:ascii="Arial" w:eastAsia="Arial" w:hAnsi="Arial" w:cs="Arial"/>
          <w:color w:val="5B9BD5"/>
        </w:rPr>
        <w:t>luonnos yliopistoista 230124.pdf</w:t>
      </w:r>
      <w:r>
        <w:rPr>
          <w:rFonts w:ascii="Arial" w:eastAsia="Arial" w:hAnsi="Arial" w:cs="Arial"/>
          <w:color w:val="000000"/>
        </w:rPr>
        <w:t xml:space="preserve"> - Valtioneuvoston asetus yliopistoista annetun valtioneuvoston asetuksen muuttamisesta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VN asetusluonnos yliopistoista SV 230124.pdf</w:t>
      </w:r>
      <w:r>
        <w:rPr>
          <w:rFonts w:ascii="Arial" w:eastAsia="Arial" w:hAnsi="Arial" w:cs="Arial"/>
          <w:color w:val="000000"/>
        </w:rPr>
        <w:t xml:space="preserve"> - Statsrådets förordning om ändring av statsrådets förordning om universiteten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 xml:space="preserve">MUISTIO VNA </w:t>
      </w:r>
      <w:r>
        <w:rPr>
          <w:rFonts w:ascii="Arial" w:eastAsia="Arial" w:hAnsi="Arial" w:cs="Arial"/>
          <w:color w:val="5B9BD5"/>
        </w:rPr>
        <w:t>yliopistoista 230124.pdf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OKM asetusluonnos yliopistojen laskentakriteerit 230124.pdf</w:t>
      </w:r>
      <w:r>
        <w:rPr>
          <w:rFonts w:ascii="Arial" w:eastAsia="Arial" w:hAnsi="Arial" w:cs="Arial"/>
          <w:color w:val="000000"/>
        </w:rPr>
        <w:t xml:space="preserve"> - Opetus- ja kulttuuriministeriön asetus yliopistojen perusrahoituksen laskentakriteereistä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OKM asetusluonnos yliopistojen laskentakriteerit SV 230124.pdf</w:t>
      </w:r>
      <w:r>
        <w:rPr>
          <w:rFonts w:ascii="Arial" w:eastAsia="Arial" w:hAnsi="Arial" w:cs="Arial"/>
          <w:color w:val="000000"/>
        </w:rPr>
        <w:t xml:space="preserve"> - Undervisnings-</w:t>
      </w:r>
      <w:r>
        <w:rPr>
          <w:rFonts w:ascii="Arial" w:eastAsia="Arial" w:hAnsi="Arial" w:cs="Arial"/>
          <w:color w:val="000000"/>
        </w:rPr>
        <w:t xml:space="preserve"> och kulturministeriets förordning om beräkningskriterierna för universitetens basfinansiering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MUISTIO OKMA yliopistojen perusrahoituksen laskentakriteereistä 230124.pdf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Jakelu: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82"/>
        <w:gridCol w:w="287"/>
        <w:gridCol w:w="287"/>
      </w:tblGrid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Aalto-yliopisto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Akava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Ammattikorkeakoulujen rehtorineuvosto Arene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Ammattiliitto Pro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Business Finland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Centria-ammattikorkeakoulu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Diakonia-ammattikorkeakoulu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Elinkeinoelämän keskusliitto EK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HAAGA-HELIA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Helsingin 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Humanistinen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Hämeen </w:t>
            </w:r>
            <w:r>
              <w:rPr>
                <w:rFonts w:ascii="Arial" w:eastAsia="Arial" w:hAnsi="Arial" w:cs="Arial"/>
                <w:color w:val="000000"/>
              </w:rPr>
              <w:t>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Insinööriliitto IL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Itä-Suomen 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Julkisalan koulutettujen neuvottelujärjestö JUKO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Julkisten ja hyvinvointialojen liitto JHL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Jyväskylän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Jyväskylän 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Kaakkois-Suomen </w:t>
            </w:r>
            <w:r>
              <w:rPr>
                <w:rFonts w:ascii="Arial" w:eastAsia="Arial" w:hAnsi="Arial" w:cs="Arial"/>
                <w:color w:val="000000"/>
              </w:rPr>
              <w:t>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Kajaanin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Kansallinen koulutuksen arviointikeskus (Karvi)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Karelia-ammattikorkeakoulu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Keskuskauppakamari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Kunta- ja hyvinvointialuetyönantajat KT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Kuntaliitto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Lab-ammattikorkeakoulu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Lapin </w:t>
            </w:r>
            <w:r>
              <w:rPr>
                <w:rFonts w:ascii="Arial" w:eastAsia="Arial" w:hAnsi="Arial" w:cs="Arial"/>
                <w:color w:val="000000"/>
              </w:rPr>
              <w:t>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Lappeenrannan–Lahden teknillinen yliopisto LUT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Laurea-ammattikorkeakoulu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Maa- ja metsätaloustuottajain Keskusliitto MTK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Metropolia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Opetusalan Ammattijärjestö OAJ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Opetushallitus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Oulun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Oulun 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Professoriliitto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Satakunnan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Savonia-ammattikorkeakoulu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Seinäjoen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Sisäministeriö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Sivistysala ry - Sivista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Sosiaali- ja terveysministeriö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Suomalainen </w:t>
            </w:r>
            <w:r>
              <w:rPr>
                <w:rFonts w:ascii="Arial" w:eastAsia="Arial" w:hAnsi="Arial" w:cs="Arial"/>
                <w:color w:val="000000"/>
              </w:rPr>
              <w:t>Tiedeakatemia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Akatemia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ammattiin opisklevien liitto SAKKI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Ammattiliittojen Keskusjärjestö SAK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Kansanopistoyhdistys – Finlands Folkhögskolförening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Kesäyliopistot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lukiolaisten liitto SLL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Opiskelija-Allianssi OSKU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opiskelijakuntien liitto SAMOK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Tiedeakatemiat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Tiedeseura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yliopistojen rehtorineuvosto UNIFI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ylioppilaskuntien liitto SYL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yrittäjät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Svenska </w:t>
            </w:r>
            <w:r>
              <w:rPr>
                <w:rFonts w:ascii="Arial" w:eastAsia="Arial" w:hAnsi="Arial" w:cs="Arial"/>
                <w:color w:val="000000"/>
              </w:rPr>
              <w:t>handelshögskolan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Svenska Tekniska Vetenskapsakademien i Finland STV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Taideyliopisto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Tampereen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Tampereen 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Tekniikan Akateemiset TEK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Tiedonjulkistamisen neuvottelukunta TJNK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Tieteellisten seurain valtuuskunta </w:t>
            </w:r>
            <w:r>
              <w:rPr>
                <w:rFonts w:ascii="Arial" w:eastAsia="Arial" w:hAnsi="Arial" w:cs="Arial"/>
                <w:color w:val="000000"/>
              </w:rPr>
              <w:t>TSV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Tieteentekijöiden liitto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Tilastokeskus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Toimihenkilökeskusjärjestö STTK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Turun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Turun 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Tutkimuksen vaikuttavuuden tukisäätiö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Tutkimuseettinen neuvottelukunta TENK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Tutkimuslaitosten yhteenliittymä </w:t>
            </w:r>
            <w:r>
              <w:rPr>
                <w:rFonts w:ascii="Arial" w:eastAsia="Arial" w:hAnsi="Arial" w:cs="Arial"/>
                <w:color w:val="000000"/>
              </w:rPr>
              <w:t>Tulanet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Työ- ja elinkeinoministeriö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Vaasan ammattikorkeakoulu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Vaasan yliopisto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Valtiovarainministeriö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Yliopistojen ja tutkimusalan henkilöstöliitto YHL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Yliopistojen opetusalan liitto YLL ry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Yrkeshögskolan Arcada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Yrkeshögskolan </w:t>
            </w:r>
            <w:r>
              <w:rPr>
                <w:rFonts w:ascii="Arial" w:eastAsia="Arial" w:hAnsi="Arial" w:cs="Arial"/>
                <w:color w:val="000000"/>
              </w:rPr>
              <w:t>Novia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B6636"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Åbo Akademi</w:t>
            </w: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81A0B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before="20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Valtioneuvoston asetus yliopistoista annetun valtioneuvoston asetuksen muuttamisesta</w:t>
      </w:r>
    </w:p>
    <w:p w:rsidR="00A77B3E" w:rsidRDefault="00881A0B">
      <w:pPr>
        <w:spacing w:before="200"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1. Asetusluonnoksen 5 §:ssä esitetään, että yliopistolain 49 §:n 3 momentissa tarkoitetusta perusrahoituksesta 81 prosenttia määräytyisi toiminna</w:t>
      </w:r>
      <w:r>
        <w:rPr>
          <w:rFonts w:ascii="Arial" w:eastAsia="Arial" w:hAnsi="Arial" w:cs="Arial"/>
          <w:b/>
          <w:bCs/>
          <w:color w:val="000000"/>
        </w:rPr>
        <w:t xml:space="preserve">n laajuuden, laadun ja vaikuttavuuden perusteella ja 19 prosenttia muiden koulutus- ja tiedepolitiikan tavoitteiden perusteella (strategiaperusteinen rahoitus ja valtakunnalliset tehtävät). Koulutuksen perusteella määräytyväksi rahoitusosuudeksi esitetään </w:t>
      </w:r>
      <w:r>
        <w:rPr>
          <w:rFonts w:ascii="Arial" w:eastAsia="Arial" w:hAnsi="Arial" w:cs="Arial"/>
          <w:b/>
          <w:bCs/>
          <w:color w:val="000000"/>
        </w:rPr>
        <w:t>44 % (nykyisin 42 %) ja tutkimus- ja tiedepolitiikan tavoitteiden perusteella määräytyväksi rahoitusosuudeksi 37 % (nykyisin 34 %).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Pidättekö esitettyä rahoitusperusteiden keskinäistä painoarvoa tarkoituksenmukaisena?</w:t>
      </w:r>
    </w:p>
    <w:p w:rsidR="00A77B3E" w:rsidRDefault="00881A0B">
      <w:pPr>
        <w:numPr>
          <w:ilvl w:val="0"/>
          <w:numId w:val="1"/>
        </w:numPr>
        <w:spacing w:before="200"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1"/>
        </w:numPr>
        <w:spacing w:before="200"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1"/>
        </w:numPr>
        <w:spacing w:before="200"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Näkemyksiä, </w:t>
      </w:r>
      <w:r>
        <w:rPr>
          <w:rFonts w:ascii="Arial" w:eastAsia="Arial" w:hAnsi="Arial" w:cs="Arial"/>
          <w:color w:val="000000"/>
        </w:rPr>
        <w:t>muutosehdotuksia tai muuta kommentoitavaa ehdotukseen 1:</w:t>
      </w:r>
    </w:p>
    <w:p w:rsidR="00A77B3E" w:rsidRDefault="00881A0B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2. Koulutuksen rahoitusosuuteen (6 §) esitetään lisättäväksi rahoitusosuus, joka perustuu uusiin opiskelijoihin, jotka eivät ole aikaisemmin suorittaneet Suomen koulutusjärjestelmän mukaista korkeak</w:t>
      </w:r>
      <w:r>
        <w:rPr>
          <w:rFonts w:ascii="Arial" w:eastAsia="Arial" w:hAnsi="Arial" w:cs="Arial"/>
          <w:b/>
          <w:bCs/>
          <w:color w:val="000000"/>
        </w:rPr>
        <w:t>oulututkintoa tai vastaanottaneet korkeakoulututkintoon johtavaa opiskelupaikkaa.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Pidättekö ehdotusta tarkoituksenmukaisena?</w:t>
      </w:r>
    </w:p>
    <w:p w:rsidR="00A77B3E" w:rsidRDefault="00881A0B">
      <w:pPr>
        <w:numPr>
          <w:ilvl w:val="0"/>
          <w:numId w:val="2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2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2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Rahoitustekijän osuudesta kysytään erikseen kysymyksessä 6.</w:t>
      </w:r>
    </w:p>
    <w:p w:rsidR="00A77B3E" w:rsidRDefault="00881A0B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Näkemyksiä, muutosehdotuksia tai muuta </w:t>
      </w:r>
      <w:r>
        <w:rPr>
          <w:rFonts w:ascii="Arial" w:eastAsia="Arial" w:hAnsi="Arial" w:cs="Arial"/>
          <w:color w:val="000000"/>
        </w:rPr>
        <w:t>kommentoitavaa ehdotukseen 2:</w:t>
      </w:r>
    </w:p>
    <w:p w:rsidR="00A77B3E" w:rsidRDefault="00881A0B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3. Strategiaperusteisen rahoituksen (7 §) määräytymisperusteita esitetään muutettavaksi siten, että siitä poistettaisiin valtioneuvoston korkeakoulu- ja tiedepoliittisia tavoitteita tukeva osuus (ns. ohjelmarahoitus). Jatkoss</w:t>
      </w:r>
      <w:r>
        <w:rPr>
          <w:rFonts w:ascii="Arial" w:eastAsia="Arial" w:hAnsi="Arial" w:cs="Arial"/>
          <w:b/>
          <w:bCs/>
          <w:color w:val="000000"/>
        </w:rPr>
        <w:t>a strategiarahoitus perustuisi korkeakoulun strategiaa ja uudistumista tukevaan osuuteen. Strategiaperusteisen rahoituksen osuus olisi jatkossa 10 prosenttia koko perusrahoituksesta (nykyisin 15 prosenttia).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Strategiarahoitukseen kuuluvasta valtakunnallis</w:t>
      </w:r>
      <w:r>
        <w:rPr>
          <w:rFonts w:ascii="Arial" w:eastAsia="Arial" w:hAnsi="Arial" w:cs="Arial"/>
          <w:color w:val="000000"/>
        </w:rPr>
        <w:t xml:space="preserve">esta ohjelmarahoituksesta luopumista vastaava 5 prosentin osuus siirrettäisiin muiden koulutus- ja tiedepolitiikan tavoitteiden </w:t>
      </w:r>
      <w:r>
        <w:rPr>
          <w:rFonts w:ascii="Arial" w:eastAsia="Arial" w:hAnsi="Arial" w:cs="Arial"/>
          <w:color w:val="000000"/>
        </w:rPr>
        <w:lastRenderedPageBreak/>
        <w:t>perusteella määräytyvästä rahoitusosuudesta toiminnan laadun, vaikuttavuuden ja laajuuden perusteella määräytyvään rahoitusosuut</w:t>
      </w:r>
      <w:r>
        <w:rPr>
          <w:rFonts w:ascii="Arial" w:eastAsia="Arial" w:hAnsi="Arial" w:cs="Arial"/>
          <w:color w:val="000000"/>
        </w:rPr>
        <w:t>een.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81A0B">
      <w:pPr>
        <w:numPr>
          <w:ilvl w:val="0"/>
          <w:numId w:val="3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3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3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68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6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3:</w:t>
      </w:r>
    </w:p>
    <w:p w:rsidR="00A77B3E" w:rsidRDefault="00881A0B">
      <w:pPr>
        <w:spacing w:before="200" w:after="200"/>
        <w:ind w:left="68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6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4. Muuta lausuttavaa valtioneuvoston asetusluonnokseen</w:t>
      </w:r>
    </w:p>
    <w:p w:rsidR="00A77B3E" w:rsidRDefault="00881A0B">
      <w:pPr>
        <w:spacing w:before="200" w:after="200"/>
        <w:ind w:left="68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Opetus- ja kulttuuriministeriön asetus yliopistojen </w:t>
      </w:r>
      <w:r>
        <w:rPr>
          <w:rFonts w:ascii="Arial" w:eastAsia="Arial" w:hAnsi="Arial" w:cs="Arial"/>
          <w:b/>
          <w:color w:val="000000"/>
        </w:rPr>
        <w:t>perusrahoituksen laskentakriteereistä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5. OKM asetuksen 1 §:ssä ja liitteessä esitetään koulutuksen rahoitusosuuden laskentakriteereiksi ja niiden painoarvoiksi seuraavia: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 </w:t>
      </w:r>
    </w:p>
    <w:p w:rsidR="00A77B3E" w:rsidRDefault="00881A0B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Yliopistossa aloittaneiden uusien ensikertaisten opiskelijoiden lukumäärä 3 %</w:t>
      </w:r>
    </w:p>
    <w:p w:rsidR="00A77B3E" w:rsidRDefault="00881A0B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Yliop</w:t>
      </w:r>
      <w:r>
        <w:rPr>
          <w:rFonts w:ascii="Arial" w:eastAsia="Arial" w:hAnsi="Arial" w:cs="Arial"/>
          <w:color w:val="000000"/>
        </w:rPr>
        <w:t xml:space="preserve">istossa suoritettujen ylempien korkeakoulututkintojen lukumäärä 19 % </w:t>
      </w:r>
    </w:p>
    <w:p w:rsidR="00A77B3E" w:rsidRDefault="00881A0B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Yliopistossa suoritettujen alempien korkeakoulututkintojen lukumäärä 11 % </w:t>
      </w:r>
    </w:p>
    <w:p w:rsidR="00A77B3E" w:rsidRDefault="00881A0B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Avoimessa yliopisto-opetuksessa, erillisinä opintoina ja erikoistumiskoulutuksessa suoritettujen opintopisteide</w:t>
      </w:r>
      <w:r>
        <w:rPr>
          <w:rFonts w:ascii="Arial" w:eastAsia="Arial" w:hAnsi="Arial" w:cs="Arial"/>
          <w:color w:val="000000"/>
        </w:rPr>
        <w:t>n yhteismäärä 3 %</w:t>
      </w:r>
    </w:p>
    <w:p w:rsidR="00A77B3E" w:rsidRDefault="00881A0B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Korkeakoulujen yhteistyösopimusten perusteella suoritettujen opintopisteiden yhteismäärä 1 %</w:t>
      </w:r>
    </w:p>
    <w:p w:rsidR="00A77B3E" w:rsidRDefault="00881A0B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Valtakunnallisen opiskelijapalautekyselyn vastauspisteiden yhteismäärä 3 % </w:t>
      </w:r>
    </w:p>
    <w:p w:rsidR="00A77B3E" w:rsidRDefault="00881A0B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Yliopistossa ylemmän korkeakoulututkinnon suorittaneiden työllisten m</w:t>
      </w:r>
      <w:r>
        <w:rPr>
          <w:rFonts w:ascii="Arial" w:eastAsia="Arial" w:hAnsi="Arial" w:cs="Arial"/>
          <w:color w:val="000000"/>
        </w:rPr>
        <w:t>äärä Suomessa vuosi valmistumisen jälkeen 2 %</w:t>
      </w:r>
    </w:p>
    <w:p w:rsidR="00A77B3E" w:rsidRDefault="00881A0B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Valtakunnallisen uraseurantakyselyn vastauspisteiden yhteismäärä 2 % 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81A0B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Huom. Sellaisista yllä olevista rahoituskriteereistä ja niiden rahoitusosuuk</w:t>
      </w:r>
      <w:r>
        <w:rPr>
          <w:rFonts w:ascii="Arial" w:eastAsia="Arial" w:hAnsi="Arial" w:cs="Arial"/>
          <w:color w:val="000000"/>
        </w:rPr>
        <w:t>sista, joihin ehdotuksessa kohdistuu muutoksia, on omat kysymyksensä tässä kyselyssä.</w:t>
      </w:r>
    </w:p>
    <w:p w:rsidR="00A77B3E" w:rsidRDefault="00881A0B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5:</w:t>
      </w:r>
    </w:p>
    <w:p w:rsidR="00A77B3E" w:rsidRDefault="00881A0B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6. Uusien ensikertaisten opiskelijoiden lukumäärää koskevan uuden laskentakriteerin painoarvo olisi</w:t>
      </w:r>
      <w:r>
        <w:rPr>
          <w:rFonts w:ascii="Arial" w:eastAsia="Arial" w:hAnsi="Arial" w:cs="Arial"/>
          <w:b/>
          <w:bCs/>
          <w:color w:val="000000"/>
        </w:rPr>
        <w:t xml:space="preserve"> 3 %.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Tämä toteutettaisiin siirtona strategiarahoituksesta (2 % -yksikköä) sekä avoimessa yliopisto-opetuksessa, erillisinä opintoina ja erikoistumiskoulutuksessa suoritettuja opintopisteitä koskevasta rahoitustekijästä (1 % -yksikkö), jonka painoarvo ol</w:t>
      </w:r>
      <w:r>
        <w:rPr>
          <w:rFonts w:ascii="Arial" w:eastAsia="Arial" w:hAnsi="Arial" w:cs="Arial"/>
          <w:color w:val="000000"/>
        </w:rPr>
        <w:t>isi esityksen mukaan 3 % (nykyisin 4 %).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Uusien esikertaisten opiskelijoiden lukumäärää koskevan laskenta suoritettaisiin viimeisen käytettävissä olevan vuoden (kesäkuun tilanne) toteutuman perusteella.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ehdotusta uudesta rahoitustekijästä tark</w:t>
      </w:r>
      <w:r>
        <w:rPr>
          <w:rFonts w:ascii="Arial" w:eastAsia="Arial" w:hAnsi="Arial" w:cs="Arial"/>
          <w:color w:val="000000"/>
        </w:rPr>
        <w:t>oituksenmukaisena?</w:t>
      </w:r>
    </w:p>
    <w:p w:rsidR="00A77B3E" w:rsidRDefault="00881A0B">
      <w:pPr>
        <w:numPr>
          <w:ilvl w:val="0"/>
          <w:numId w:val="6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6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6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6:</w:t>
      </w:r>
    </w:p>
    <w:p w:rsidR="00A77B3E" w:rsidRDefault="00881A0B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7. Yliopistoissa kalenterivuonna suoritettujen alempien ja ylempien korkeakoulututkintojen lukumäärä -rahoitustekijöiden painoarvojen esitetään </w:t>
      </w:r>
      <w:r>
        <w:rPr>
          <w:rFonts w:ascii="Arial" w:eastAsia="Arial" w:hAnsi="Arial" w:cs="Arial"/>
          <w:b/>
          <w:bCs/>
          <w:color w:val="000000"/>
        </w:rPr>
        <w:t>pysyvän ennallaan.  Rahoitustekijän laskentaan esitetään tarkennuksia</w:t>
      </w:r>
    </w:p>
    <w:p w:rsidR="00A77B3E" w:rsidRDefault="00881A0B">
      <w:pPr>
        <w:numPr>
          <w:ilvl w:val="0"/>
          <w:numId w:val="7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Alempien ja ylempien korkeakoulututkintojen lukumäärää painotettaessa tutkinnon suorittamisaikaa ja toisen saman tasoisen tutkinnon suorittamista koskeviin kertoimiin esitetään muutoksia</w:t>
      </w:r>
      <w:r>
        <w:rPr>
          <w:rFonts w:ascii="Arial" w:eastAsia="Arial" w:hAnsi="Arial" w:cs="Arial"/>
          <w:color w:val="000000"/>
        </w:rPr>
        <w:t>. Momentin mukaan tutkintojen lukumäärää laskettaessa yliopistolain 40 §:ssä tarkoitetussa tavoitteellisessa suorittamisajassa suoritettujen tutkintojen lukumäärää painotettaisiin kertoimella 1,8 (nykyisin 1,5).</w:t>
      </w:r>
    </w:p>
    <w:p w:rsidR="00A77B3E" w:rsidRDefault="00881A0B">
      <w:pPr>
        <w:numPr>
          <w:ilvl w:val="0"/>
          <w:numId w:val="7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Jos ylemmän korkeakoulututkinnon suorittanut</w:t>
      </w:r>
      <w:r>
        <w:rPr>
          <w:rFonts w:ascii="Arial" w:eastAsia="Arial" w:hAnsi="Arial" w:cs="Arial"/>
          <w:color w:val="000000"/>
        </w:rPr>
        <w:t xml:space="preserve"> on aiemmin suorittanut suomalaisessa korkeakoulussa ylemmän korkeakoulututkinnon tai ylemmän ammattikorkeakoulututkinnon taikka jos alemman korkeakoulututkinnon suorittanut on aiemmin suorittanut suomalaisessa korkeakoulussa alemman korkeakoulututkinnon t</w:t>
      </w:r>
      <w:r>
        <w:rPr>
          <w:rFonts w:ascii="Arial" w:eastAsia="Arial" w:hAnsi="Arial" w:cs="Arial"/>
          <w:color w:val="000000"/>
        </w:rPr>
        <w:t>ai ammattikorkeakoulututkinnon, toista tutkintoa painotettaisiin lisäksi kertoimella 0,5 (nykyisin 0,7). Muut laskennan kertoimet pysyisivät ennallaan.</w:t>
      </w:r>
    </w:p>
    <w:p w:rsidR="00A77B3E" w:rsidRDefault="00881A0B">
      <w:pPr>
        <w:numPr>
          <w:ilvl w:val="0"/>
          <w:numId w:val="7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Teknisenä muutoksena kerroinluokan 1 tutkintoja ei enää jatkossa listattaisi asetuksen liitteessä vaan r</w:t>
      </w:r>
      <w:r>
        <w:rPr>
          <w:rFonts w:ascii="Arial" w:eastAsia="Arial" w:hAnsi="Arial" w:cs="Arial"/>
          <w:color w:val="000000"/>
        </w:rPr>
        <w:t xml:space="preserve">yhmään C (kerroin 1) sisältyisivät kaikki sellaiset tutkinnot, jotka eivät sisälly A (kerroin 3) tai B (kerroin 1,75). Muutos ei vaikuttaisi korkeakoulujen välisiin </w:t>
      </w:r>
      <w:r>
        <w:rPr>
          <w:rFonts w:ascii="Arial" w:eastAsia="Arial" w:hAnsi="Arial" w:cs="Arial"/>
          <w:color w:val="000000"/>
        </w:rPr>
        <w:lastRenderedPageBreak/>
        <w:t xml:space="preserve">rahoitussuhteisiin, mutta sillä vältettäisiin tarpeeton asetusmuutos sopimuskauden aikana, </w:t>
      </w:r>
      <w:r>
        <w:rPr>
          <w:rFonts w:ascii="Arial" w:eastAsia="Arial" w:hAnsi="Arial" w:cs="Arial"/>
          <w:color w:val="000000"/>
        </w:rPr>
        <w:t>mikäli käyttöön otetaan uusi tutkintonimike, joka ei sijoitu ryhmiin A tai B. </w:t>
      </w:r>
    </w:p>
    <w:p w:rsidR="00A77B3E" w:rsidRDefault="00881A0B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Pidättekö ehdotusta tavoiteaikakertoimen nostamisesta (1,8) tarkoituksenmukaisena?</w:t>
      </w:r>
    </w:p>
    <w:p w:rsidR="00A77B3E" w:rsidRDefault="00881A0B">
      <w:pPr>
        <w:numPr>
          <w:ilvl w:val="0"/>
          <w:numId w:val="8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8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8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68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6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Pidättekö ehdotusta toisen saman tasoisen tutkinnon kertoimen laskemisest</w:t>
      </w:r>
      <w:r>
        <w:rPr>
          <w:rFonts w:ascii="Arial" w:eastAsia="Arial" w:hAnsi="Arial" w:cs="Arial"/>
          <w:color w:val="000000"/>
        </w:rPr>
        <w:t>a (0,5) tarkoituksenmukaisena?</w:t>
      </w:r>
    </w:p>
    <w:p w:rsidR="00A77B3E" w:rsidRDefault="00881A0B">
      <w:pPr>
        <w:numPr>
          <w:ilvl w:val="0"/>
          <w:numId w:val="9"/>
        </w:numPr>
        <w:spacing w:after="20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9"/>
        </w:numPr>
        <w:spacing w:after="20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9"/>
        </w:numPr>
        <w:spacing w:after="20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64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6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7:</w:t>
      </w:r>
    </w:p>
    <w:p w:rsidR="00A77B3E" w:rsidRDefault="00881A0B">
      <w:pPr>
        <w:spacing w:before="200" w:after="200"/>
        <w:ind w:left="64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6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8. Rahoituslaskennassa avoimen opintopisteistä huomioitaisiin vain ne, joiden tekijällä suomalainen henkilötunnus.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Rajaus edellyttää </w:t>
      </w:r>
      <w:r>
        <w:rPr>
          <w:rFonts w:ascii="Arial" w:eastAsia="Arial" w:hAnsi="Arial" w:cs="Arial"/>
          <w:color w:val="000000"/>
        </w:rPr>
        <w:t>tiedonkeruumuutoksia ja se tulisi voimaan v. 2024 suoritetuista opintopisteistä alkaen.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81A0B">
      <w:pPr>
        <w:numPr>
          <w:ilvl w:val="0"/>
          <w:numId w:val="10"/>
        </w:numPr>
        <w:spacing w:after="200"/>
        <w:ind w:left="14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10"/>
        </w:numPr>
        <w:spacing w:after="200"/>
        <w:ind w:left="14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10"/>
        </w:numPr>
        <w:spacing w:after="200"/>
        <w:ind w:left="14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6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6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8:</w:t>
      </w:r>
    </w:p>
    <w:p w:rsidR="00A77B3E" w:rsidRDefault="00881A0B">
      <w:pPr>
        <w:spacing w:before="200" w:after="200"/>
        <w:ind w:left="6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6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9. OKM asetuksen 2 §:ssä ja sen li</w:t>
      </w:r>
      <w:r>
        <w:rPr>
          <w:rFonts w:ascii="Arial" w:eastAsia="Arial" w:hAnsi="Arial" w:cs="Arial"/>
          <w:b/>
          <w:bCs/>
          <w:color w:val="000000"/>
        </w:rPr>
        <w:t>itteessä esitetään tutkimuksen rahoitusosuuden laskentakriteerien tekijöiksi ja painoarvoiksi: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1. Julkaisujen lukumäärä 14 %</w:t>
      </w:r>
      <w:r>
        <w:rPr>
          <w:rFonts w:ascii="Arial" w:eastAsia="Arial" w:hAnsi="Arial" w:cs="Arial"/>
          <w:color w:val="000000"/>
        </w:rPr>
        <w:br/>
        <w:t>2. Yliopistossa suoritettujen tohtorin tutkintojen lukumäärä 9 %</w:t>
      </w:r>
      <w:r>
        <w:rPr>
          <w:rFonts w:ascii="Arial" w:eastAsia="Arial" w:hAnsi="Arial" w:cs="Arial"/>
          <w:color w:val="000000"/>
        </w:rPr>
        <w:br/>
        <w:t>3. Kansainvälinen kilpailtu tutkimusrahoitus 7 %</w:t>
      </w:r>
      <w:r>
        <w:rPr>
          <w:rFonts w:ascii="Arial" w:eastAsia="Arial" w:hAnsi="Arial" w:cs="Arial"/>
          <w:color w:val="000000"/>
        </w:rPr>
        <w:br/>
        <w:t xml:space="preserve">4. Kotimainen ja </w:t>
      </w:r>
      <w:r>
        <w:rPr>
          <w:rFonts w:ascii="Arial" w:eastAsia="Arial" w:hAnsi="Arial" w:cs="Arial"/>
          <w:color w:val="000000"/>
        </w:rPr>
        <w:t>kansainvälinen yrityksiltä saatu tutkimusrahoitus ja muu kotimainen tutkimusrahoitus 7 %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br/>
        <w:t>Pidättekö ehdotusta tarkoituksenmukaisena?</w:t>
      </w:r>
    </w:p>
    <w:p w:rsidR="00A77B3E" w:rsidRDefault="00881A0B">
      <w:pPr>
        <w:numPr>
          <w:ilvl w:val="0"/>
          <w:numId w:val="11"/>
        </w:numPr>
        <w:spacing w:after="200"/>
        <w:ind w:left="1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11"/>
        </w:numPr>
        <w:spacing w:after="200"/>
        <w:ind w:left="1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11"/>
        </w:numPr>
        <w:spacing w:after="200"/>
        <w:ind w:left="1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56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Huom. Sellaisista yllä olevista rahoituskriteereistä ja niiden rahoitusosuuksista, joihin ehdotuksessa </w:t>
      </w:r>
      <w:r>
        <w:rPr>
          <w:rFonts w:ascii="Arial" w:eastAsia="Arial" w:hAnsi="Arial" w:cs="Arial"/>
          <w:color w:val="000000"/>
        </w:rPr>
        <w:t>kohdistuu muutoksia, on omat kysymyksensä tässä kyselyssä.</w:t>
      </w:r>
    </w:p>
    <w:p w:rsidR="00A77B3E" w:rsidRDefault="00881A0B">
      <w:pPr>
        <w:spacing w:before="200" w:after="200"/>
        <w:ind w:left="56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9:</w:t>
      </w:r>
    </w:p>
    <w:p w:rsidR="00A77B3E" w:rsidRDefault="00881A0B">
      <w:pPr>
        <w:spacing w:before="200" w:after="200"/>
        <w:ind w:left="56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10. Tohtorin tutkintojen lukumäärää koskevan laskentakriteerin painoarvoa nostettaisiin 9 %:iin (nykyisin 8 %). Voimassa oleva</w:t>
      </w:r>
      <w:r>
        <w:rPr>
          <w:rFonts w:ascii="Arial" w:eastAsia="Arial" w:hAnsi="Arial" w:cs="Arial"/>
          <w:b/>
          <w:bCs/>
          <w:color w:val="000000"/>
        </w:rPr>
        <w:t>n asetuksen tohtorin tutkintoja koskevasta rahoitusrajasta luovuttaisiin.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Pidättekö ehdotusta tarkoituksenmukaisena?</w:t>
      </w:r>
    </w:p>
    <w:p w:rsidR="00A77B3E" w:rsidRDefault="00881A0B">
      <w:pPr>
        <w:numPr>
          <w:ilvl w:val="0"/>
          <w:numId w:val="12"/>
        </w:numPr>
        <w:spacing w:after="200"/>
        <w:ind w:left="13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12"/>
        </w:numPr>
        <w:spacing w:after="200"/>
        <w:ind w:left="13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12"/>
        </w:numPr>
        <w:spacing w:after="200"/>
        <w:ind w:left="13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52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10:</w:t>
      </w:r>
    </w:p>
    <w:p w:rsidR="00A77B3E" w:rsidRDefault="00881A0B">
      <w:pPr>
        <w:spacing w:before="200" w:after="200"/>
        <w:ind w:left="52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11. Kansainvälistä kilpailtua </w:t>
      </w:r>
      <w:r>
        <w:rPr>
          <w:rFonts w:ascii="Arial" w:eastAsia="Arial" w:hAnsi="Arial" w:cs="Arial"/>
          <w:b/>
          <w:bCs/>
          <w:color w:val="000000"/>
        </w:rPr>
        <w:t>tutkimusrahoitusta koskevan laskentakriteerin painoarvoa nostettaisiin 7 %:iin (nykyisin 6 %) ja kotimaista ja kansainvälistä yrityksiltä saatua tutkimusrahoitusta ja muuta kotimaista tutkimusrahoitusta (Suomen Akatemia, Business Finland) koskevan kriteeri</w:t>
      </w:r>
      <w:r>
        <w:rPr>
          <w:rFonts w:ascii="Arial" w:eastAsia="Arial" w:hAnsi="Arial" w:cs="Arial"/>
          <w:b/>
          <w:bCs/>
          <w:color w:val="000000"/>
        </w:rPr>
        <w:t>n painoarvoa samoin 7 %:iin (nykyisin 6 %).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  <w:t>Kotimaisilta ja kansainvälisiltä yrityksiltä saatua tutkimusrahoitusta painotettaisiin laskennassa kertoimella 1,2.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Pidättekö ehdotusta tarkoituksenmukaisena?</w:t>
      </w:r>
    </w:p>
    <w:p w:rsidR="00A77B3E" w:rsidRDefault="00881A0B">
      <w:pPr>
        <w:numPr>
          <w:ilvl w:val="0"/>
          <w:numId w:val="13"/>
        </w:numPr>
        <w:spacing w:after="200"/>
        <w:ind w:left="1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13"/>
        </w:numPr>
        <w:spacing w:after="200"/>
        <w:ind w:left="1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13"/>
        </w:numPr>
        <w:spacing w:after="200"/>
        <w:ind w:left="1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48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</w:t>
      </w:r>
      <w:r>
        <w:rPr>
          <w:rFonts w:ascii="Arial" w:eastAsia="Arial" w:hAnsi="Arial" w:cs="Arial"/>
          <w:color w:val="000000"/>
        </w:rPr>
        <w:t>i muuta kommentoitavaa ehdotukseen 11:</w:t>
      </w:r>
    </w:p>
    <w:p w:rsidR="00A77B3E" w:rsidRDefault="00881A0B">
      <w:pPr>
        <w:spacing w:before="200" w:after="200"/>
        <w:ind w:left="48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12. Korkeakoulujen vuosien 2025 ja 2026 rahoituksen laskentaan esitetään sisällytettäväksi muutosrajoitin.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Korkeakoulun rahoitus, joka ei sisällä strategiaperusteista rahoitusosuutta eikä yliopistojen valtakunnallis</w:t>
      </w:r>
      <w:r>
        <w:rPr>
          <w:rFonts w:ascii="Arial" w:eastAsia="Arial" w:hAnsi="Arial" w:cs="Arial"/>
          <w:color w:val="000000"/>
        </w:rPr>
        <w:t>ten tehtävien rahoitusta, voisi vähentyä yhteensä enintään 3 prosenttia verrattuna edellisen vuoden rahoituksen tasoon, joka on suhteutettu rahoitusvuonna käytettävissä olevaan laskennalliseen rahoitukseen. Rajauksen laskennasta aiheutuva mahdollinen alijä</w:t>
      </w:r>
      <w:r>
        <w:rPr>
          <w:rFonts w:ascii="Arial" w:eastAsia="Arial" w:hAnsi="Arial" w:cs="Arial"/>
          <w:color w:val="000000"/>
        </w:rPr>
        <w:t>ämä jaettaisiin korkeakoulusektoreittain korkeakoulujen kesken niiden rahoituksen suhteessa.  Vastaava rajoitin oli voimassa vuosina 2021-2022.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81A0B">
      <w:pPr>
        <w:numPr>
          <w:ilvl w:val="0"/>
          <w:numId w:val="14"/>
        </w:numPr>
        <w:spacing w:after="200"/>
        <w:ind w:left="1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81A0B">
      <w:pPr>
        <w:numPr>
          <w:ilvl w:val="0"/>
          <w:numId w:val="14"/>
        </w:numPr>
        <w:spacing w:after="200"/>
        <w:ind w:left="1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81A0B">
      <w:pPr>
        <w:numPr>
          <w:ilvl w:val="0"/>
          <w:numId w:val="14"/>
        </w:numPr>
        <w:spacing w:after="200"/>
        <w:ind w:left="1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81A0B">
      <w:pPr>
        <w:spacing w:before="200" w:after="200"/>
        <w:ind w:left="44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</w:t>
      </w:r>
      <w:r>
        <w:rPr>
          <w:rFonts w:ascii="Arial" w:eastAsia="Arial" w:hAnsi="Arial" w:cs="Arial"/>
          <w:color w:val="000000"/>
        </w:rPr>
        <w:t>tavaa ehdotukseen 12:</w:t>
      </w:r>
    </w:p>
    <w:p w:rsidR="00A77B3E" w:rsidRDefault="00881A0B">
      <w:pPr>
        <w:spacing w:before="200" w:after="200"/>
        <w:ind w:left="44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Muuta lausuttavaa ehdotuksesta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13. Arvionne ehdotuskokonaisuuden vaikutuksista korkeakouluille, korkeakoulujärjestelmälle ja yhteiskunnalle</w:t>
      </w:r>
    </w:p>
    <w:p w:rsidR="00A77B3E" w:rsidRDefault="00881A0B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14. Mahdolliset muut huomiot ehdotuskokonaisuudesta tai asetusluonnoksista.</w:t>
      </w:r>
    </w:p>
    <w:p w:rsidR="00A77B3E" w:rsidRDefault="00881A0B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Muuta </w:t>
      </w:r>
      <w:r>
        <w:rPr>
          <w:rFonts w:ascii="Arial" w:eastAsia="Arial" w:hAnsi="Arial" w:cs="Arial"/>
          <w:b/>
          <w:color w:val="000000"/>
        </w:rPr>
        <w:t>lausuttavaa työryhmän ehdotuksista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15. Työryhmä teki myös ehdotuksia, joita ei säädetä asetuksilla. Näitä olivat mm.:</w:t>
      </w:r>
    </w:p>
    <w:p w:rsidR="00A77B3E" w:rsidRDefault="00881A0B">
      <w:pPr>
        <w:numPr>
          <w:ilvl w:val="0"/>
          <w:numId w:val="15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Yliopisto- ja ammattikorkeakoululait mahdollistavat sen, että OKM voi myöntää korkeakouluille myös tuloksellisuusrahoitusta korkeakoulun t</w:t>
      </w:r>
      <w:r>
        <w:rPr>
          <w:rFonts w:ascii="Arial" w:eastAsia="Arial" w:hAnsi="Arial" w:cs="Arial"/>
          <w:color w:val="000000"/>
        </w:rPr>
        <w:t>uloksellisen toiminnan perusteella. Työryhmä ehdotti, että laskennallisen rahoitusmallin ulkopuolella otettaisiin käyttöön korkeakoulujen kesken kohdennettava erillinen kannustepalkkio vaikeammin mitattavien toimien kohdalle (esimerkiksi työ- ja opiskeluhy</w:t>
      </w:r>
      <w:r>
        <w:rPr>
          <w:rFonts w:ascii="Arial" w:eastAsia="Arial" w:hAnsi="Arial" w:cs="Arial"/>
          <w:color w:val="000000"/>
        </w:rPr>
        <w:t xml:space="preserve">vinvointi, johtaminen, sidosryhmäyhteistyö). Kannustepalkkiota ei välttämättä kohdennettaisi joka vuosi. Tarkasteltavat teemat voisivat myös vaihdella vuosittain. </w:t>
      </w:r>
    </w:p>
    <w:p w:rsidR="00A77B3E" w:rsidRDefault="00881A0B">
      <w:pPr>
        <w:numPr>
          <w:ilvl w:val="0"/>
          <w:numId w:val="15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Työryhmä katsoi, että tarvitaan syvällisempää tarkastelua isoista järjestelmätason muutostar</w:t>
      </w:r>
      <w:r>
        <w:rPr>
          <w:rFonts w:ascii="Arial" w:eastAsia="Arial" w:hAnsi="Arial" w:cs="Arial"/>
          <w:color w:val="000000"/>
        </w:rPr>
        <w:t xml:space="preserve">peista, sitä tukevista rahoitus- ja ohjauskäytänteisestä sekä tarvetta uudistamisen tutkimukselliseen tukeen. Tutkimus- ja arviointitietoa hyödyntävä valmistelu tulisi käynnistää mahdollisimman pian. </w:t>
      </w: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Mahdolliset huomiot työryhmän esittämistä muista ehdot</w:t>
      </w:r>
      <w:r>
        <w:rPr>
          <w:rFonts w:ascii="Arial" w:eastAsia="Arial" w:hAnsi="Arial" w:cs="Arial"/>
          <w:color w:val="000000"/>
        </w:rPr>
        <w:t>uksista:</w:t>
      </w:r>
    </w:p>
    <w:p w:rsidR="00A77B3E" w:rsidRDefault="00881A0B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81A0B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Linna Sirkku</w:t>
      </w:r>
    </w:p>
    <w:p w:rsidR="00A77B3E" w:rsidRDefault="00881A0B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Opetus- ja kulttuuriministeriö</w:t>
      </w:r>
    </w:p>
    <w:p w:rsidR="00A77B3E" w:rsidRDefault="00881A0B">
      <w:pPr>
        <w:ind w:left="3200"/>
        <w:rPr>
          <w:rFonts w:ascii="Arial" w:eastAsia="Arial" w:hAnsi="Arial" w:cs="Arial"/>
          <w:color w:val="000000"/>
        </w:rPr>
      </w:pPr>
    </w:p>
    <w:p w:rsidR="00A77B3E" w:rsidRDefault="00881A0B">
      <w:pPr>
        <w:ind w:left="3200"/>
        <w:rPr>
          <w:rFonts w:ascii="Arial" w:eastAsia="Arial" w:hAnsi="Arial" w:cs="Arial"/>
          <w:color w:val="000000"/>
        </w:rPr>
      </w:pPr>
    </w:p>
    <w:p w:rsidR="00A77B3E" w:rsidRDefault="00881A0B">
      <w:pPr>
        <w:ind w:left="3200"/>
        <w:rPr>
          <w:rFonts w:ascii="Arial" w:eastAsia="Arial" w:hAnsi="Arial" w:cs="Arial"/>
          <w:color w:val="000000"/>
        </w:rPr>
      </w:pPr>
    </w:p>
    <w:p w:rsidR="00A77B3E" w:rsidRDefault="00881A0B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Halonen Tomi</w:t>
      </w:r>
    </w:p>
    <w:p w:rsidR="00A77B3E" w:rsidRDefault="00881A0B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Opetus- ja kulttuuriministeriö</w:t>
      </w:r>
    </w:p>
    <w:p w:rsidR="00A77B3E" w:rsidRDefault="00881A0B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9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0B" w:rsidRDefault="00881A0B">
      <w:r>
        <w:separator/>
      </w:r>
    </w:p>
  </w:endnote>
  <w:endnote w:type="continuationSeparator" w:id="0">
    <w:p w:rsidR="00881A0B" w:rsidRDefault="0088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6" w:rsidRDefault="007B6636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7B6636">
      <w:tc>
        <w:tcPr>
          <w:tcW w:w="1650" w:type="pct"/>
        </w:tcPr>
        <w:p w:rsidR="007B6636" w:rsidRDefault="007B6636"/>
      </w:tc>
      <w:tc>
        <w:tcPr>
          <w:tcW w:w="1650" w:type="pct"/>
        </w:tcPr>
        <w:p w:rsidR="007B6636" w:rsidRDefault="00881A0B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7B6636" w:rsidRDefault="00881A0B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E954BA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E954BA">
            <w:rPr>
              <w:rFonts w:ascii="Arial" w:eastAsia="Arial" w:hAnsi="Arial" w:cs="Arial"/>
              <w:noProof/>
              <w:color w:val="000000"/>
            </w:rPr>
            <w:t>12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7B6636" w:rsidRDefault="007B6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0B" w:rsidRDefault="00881A0B">
      <w:r>
        <w:separator/>
      </w:r>
    </w:p>
  </w:footnote>
  <w:footnote w:type="continuationSeparator" w:id="0">
    <w:p w:rsidR="00881A0B" w:rsidRDefault="0088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8042E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9AA8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183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5C3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A072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0AE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2EF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C273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70A5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A28EA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CC61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16B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2EE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14C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9A30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B2B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DEF8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F68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E4CFC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14E6F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DC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D67D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A27D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269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88B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F499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323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0000005"/>
    <w:lvl w:ilvl="0" w:tplc="15DE64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7FEA3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1EA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DAD2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600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B6A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DCC0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00F9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F47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C9F0A1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5FC1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149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44A4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B6FA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9E3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226E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F217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3671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7EFE5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1CBE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CC26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468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78C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18C3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CA05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50FD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8853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CE1C86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2323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D031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424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1E5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AAE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BAD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96D9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5258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5F54A1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2BCB7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646C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281D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FC2B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52B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AAD9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26B5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342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17AC69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06465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D2C1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9EE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7C0B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C61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6CB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444A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382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712F7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9800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D4D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B43A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42B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1853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4A40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5C6C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4A9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1D769E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E7AA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9EA7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E4E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4022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88D2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C2D6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B071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E04F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9F68E3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3D49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ACA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90B1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D80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00C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AAE6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D444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361D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F7E810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B76FC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22FE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56C6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2EB9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6E77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C245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5A7F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C640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9E4AF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9C00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7A6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C80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4A0C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6067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2CD8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20B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CED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36"/>
    <w:rsid w:val="007B6636"/>
    <w:rsid w:val="00881A0B"/>
    <w:rsid w:val="00E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2CB8B-4738-4C80-9982-EEAC65E7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tioneuvosto.fi/hanke?tunnus=OKM010:00/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n.fi/URN:ISBN:978-952-263-985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2044</Words>
  <Characters>16562</Characters>
  <Application>Microsoft Office Word</Application>
  <DocSecurity>0</DocSecurity>
  <Lines>138</Lines>
  <Paragraphs>37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Laura (OKM)</dc:creator>
  <cp:lastModifiedBy>Hansen Laura (OKM)</cp:lastModifiedBy>
  <cp:revision>2</cp:revision>
  <dcterms:created xsi:type="dcterms:W3CDTF">2024-01-24T13:55:00Z</dcterms:created>
  <dcterms:modified xsi:type="dcterms:W3CDTF">2024-01-24T13:55:00Z</dcterms:modified>
</cp:coreProperties>
</file>