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55" w:rsidRDefault="008C3E55" w:rsidP="00FD6A10">
      <w:pPr>
        <w:pStyle w:val="AKPnormaali0"/>
      </w:pPr>
      <w:bookmarkStart w:id="0" w:name="_GoBack"/>
      <w:bookmarkEnd w:id="0"/>
    </w:p>
    <w:p w:rsidR="000C7FE9" w:rsidRDefault="000C7FE9" w:rsidP="00FD6A10">
      <w:pPr>
        <w:pStyle w:val="AKPnormaali0"/>
      </w:pPr>
    </w:p>
    <w:p w:rsidR="000C7FE9" w:rsidRDefault="000C7FE9" w:rsidP="00FD6A10">
      <w:pPr>
        <w:pStyle w:val="AKPnormaali0"/>
      </w:pPr>
    </w:p>
    <w:p w:rsidR="000C7FE9" w:rsidRDefault="000C7FE9" w:rsidP="00FD6A10">
      <w:pPr>
        <w:pStyle w:val="AKPnormaali0"/>
      </w:pPr>
    </w:p>
    <w:p w:rsidR="00FD6A10" w:rsidRDefault="00FD6A10" w:rsidP="00FD6A10">
      <w:pPr>
        <w:pStyle w:val="AKPnormaali0"/>
      </w:pPr>
    </w:p>
    <w:p w:rsidR="00FD6A10" w:rsidRDefault="00FD6A10" w:rsidP="00FD6A10">
      <w:pPr>
        <w:pStyle w:val="AKPnormaali0"/>
      </w:pPr>
    </w:p>
    <w:p w:rsidR="000C7FE9" w:rsidRPr="00FD6A10" w:rsidRDefault="000C7FE9" w:rsidP="00FD6A10">
      <w:pPr>
        <w:pStyle w:val="AKPnormaali0"/>
      </w:pPr>
    </w:p>
    <w:p w:rsidR="00FD6A10" w:rsidRDefault="00FD6A10" w:rsidP="00FD6A10">
      <w:pPr>
        <w:pStyle w:val="akpasia3"/>
        <w:spacing w:after="240" w:line="240" w:lineRule="auto"/>
      </w:pPr>
      <w:r>
        <w:t>Esitysluonnos laiksi turvallisuusselvityslain muuttamiseksi</w:t>
      </w:r>
    </w:p>
    <w:p w:rsidR="00FD6A10" w:rsidRDefault="00FD6A10" w:rsidP="00FD6A10">
      <w:pPr>
        <w:pStyle w:val="Normaalioikeusministerio"/>
        <w:rPr>
          <w:b/>
        </w:rPr>
      </w:pPr>
      <w:r w:rsidRPr="00FD6A10">
        <w:rPr>
          <w:b/>
        </w:rPr>
        <w:t>Lausuntotiivistelmä</w:t>
      </w:r>
    </w:p>
    <w:p w:rsidR="000C7FE9" w:rsidRPr="00FD6A10" w:rsidRDefault="000C7FE9" w:rsidP="00FD6A10">
      <w:pPr>
        <w:pStyle w:val="Normaalioikeusministerio"/>
        <w:rPr>
          <w:b/>
        </w:rPr>
      </w:pPr>
    </w:p>
    <w:p w:rsidR="00FD6A10" w:rsidRPr="00FD6A10" w:rsidRDefault="000C7FE9" w:rsidP="00FD6A10">
      <w:pPr>
        <w:pStyle w:val="Otsikko1oikeusministerio"/>
        <w:spacing w:line="240" w:lineRule="auto"/>
      </w:pPr>
      <w:r>
        <w:br w:type="page"/>
      </w:r>
      <w:r w:rsidR="00FD6A10" w:rsidRPr="00FD6A10">
        <w:lastRenderedPageBreak/>
        <w:t>Johdanto</w:t>
      </w:r>
    </w:p>
    <w:p w:rsidR="00FD6A10" w:rsidRDefault="00FD6A10" w:rsidP="00FD6A10">
      <w:pPr>
        <w:pStyle w:val="Normaalioikeusministerio"/>
        <w:spacing w:line="240" w:lineRule="auto"/>
      </w:pPr>
      <w:r w:rsidRPr="00FD6A10">
        <w:t xml:space="preserve">Oikeusministeriö asetti 17.6.2019 työryhmän valmistelemaan ehdotuksen komission täytäntöönpanoasetuksen (EU) 2019/103 edellyttämistä muutoksista turvallisuusselvityslakiin (726/2014). Työryhmä luovutti mietintönsä oikeusministeriölle 14.11.2019. Mietinnöstä järjestettiin lausuntokierros 14.11.2019–3.1.2020. </w:t>
      </w:r>
      <w:r>
        <w:t>M</w:t>
      </w:r>
      <w:r w:rsidRPr="00FD6A10">
        <w:t>ietinnöstä lausunnon</w:t>
      </w:r>
      <w:r>
        <w:t xml:space="preserve"> antoivat</w:t>
      </w:r>
      <w:r w:rsidRPr="00FD6A10">
        <w:t xml:space="preserve">: </w:t>
      </w:r>
    </w:p>
    <w:p w:rsidR="00FD6A10" w:rsidRPr="00FD6A10" w:rsidRDefault="00FD6A10" w:rsidP="00FD6A10">
      <w:pPr>
        <w:pStyle w:val="AKPleipteksti"/>
        <w:numPr>
          <w:ilvl w:val="0"/>
          <w:numId w:val="23"/>
        </w:numPr>
        <w:spacing w:line="240" w:lineRule="auto"/>
      </w:pPr>
      <w:r w:rsidRPr="00FD6A10">
        <w:t>Liikenne- ja viestintäministeriö</w:t>
      </w:r>
    </w:p>
    <w:p w:rsidR="00FD6A10" w:rsidRPr="00FD6A10" w:rsidRDefault="00FD6A10" w:rsidP="00FD6A10">
      <w:pPr>
        <w:pStyle w:val="AKPleipteksti"/>
        <w:numPr>
          <w:ilvl w:val="0"/>
          <w:numId w:val="23"/>
        </w:numPr>
        <w:spacing w:line="240" w:lineRule="auto"/>
      </w:pPr>
      <w:r w:rsidRPr="00FD6A10">
        <w:t>Sisäministeriö</w:t>
      </w:r>
    </w:p>
    <w:p w:rsidR="00FD6A10" w:rsidRPr="00FD6A10" w:rsidRDefault="00FD6A10" w:rsidP="00FD6A10">
      <w:pPr>
        <w:pStyle w:val="AKPleipteksti"/>
        <w:numPr>
          <w:ilvl w:val="0"/>
          <w:numId w:val="23"/>
        </w:numPr>
        <w:spacing w:line="240" w:lineRule="auto"/>
      </w:pPr>
      <w:r w:rsidRPr="00FD6A10">
        <w:t>Puolustusministeriö</w:t>
      </w:r>
    </w:p>
    <w:p w:rsidR="00FD6A10" w:rsidRPr="00FD6A10" w:rsidRDefault="00FD6A10" w:rsidP="00FD6A10">
      <w:pPr>
        <w:pStyle w:val="AKPleipteksti"/>
        <w:numPr>
          <w:ilvl w:val="0"/>
          <w:numId w:val="23"/>
        </w:numPr>
        <w:spacing w:line="240" w:lineRule="auto"/>
      </w:pPr>
      <w:r w:rsidRPr="00FD6A10">
        <w:t>Poliisihallitus</w:t>
      </w:r>
    </w:p>
    <w:p w:rsidR="00FD6A10" w:rsidRPr="00FD6A10" w:rsidRDefault="00FD6A10" w:rsidP="00FD6A10">
      <w:pPr>
        <w:pStyle w:val="AKPleipteksti"/>
        <w:numPr>
          <w:ilvl w:val="0"/>
          <w:numId w:val="23"/>
        </w:numPr>
        <w:spacing w:line="240" w:lineRule="auto"/>
      </w:pPr>
      <w:r w:rsidRPr="00FD6A10">
        <w:t>Keskusrikospoliisi</w:t>
      </w:r>
    </w:p>
    <w:p w:rsidR="00FD6A10" w:rsidRPr="00FD6A10" w:rsidRDefault="00FD6A10" w:rsidP="00FD6A10">
      <w:pPr>
        <w:pStyle w:val="AKPleipteksti"/>
        <w:numPr>
          <w:ilvl w:val="0"/>
          <w:numId w:val="23"/>
        </w:numPr>
        <w:spacing w:line="240" w:lineRule="auto"/>
      </w:pPr>
      <w:r w:rsidRPr="00FD6A10">
        <w:t>Pääesikunta</w:t>
      </w:r>
    </w:p>
    <w:p w:rsidR="00FD6A10" w:rsidRPr="00FD6A10" w:rsidRDefault="00FD6A10" w:rsidP="00FD6A10">
      <w:pPr>
        <w:pStyle w:val="AKPleipteksti"/>
        <w:numPr>
          <w:ilvl w:val="0"/>
          <w:numId w:val="23"/>
        </w:numPr>
        <w:spacing w:line="240" w:lineRule="auto"/>
      </w:pPr>
      <w:r w:rsidRPr="00FD6A10">
        <w:t>Tiedusteluvalvontavaltuutettu</w:t>
      </w:r>
    </w:p>
    <w:p w:rsidR="00FD6A10" w:rsidRPr="00FD6A10" w:rsidRDefault="00FD6A10" w:rsidP="00FD6A10">
      <w:pPr>
        <w:pStyle w:val="AKPleipteksti"/>
        <w:numPr>
          <w:ilvl w:val="0"/>
          <w:numId w:val="23"/>
        </w:numPr>
        <w:spacing w:line="240" w:lineRule="auto"/>
      </w:pPr>
      <w:r w:rsidRPr="00FD6A10">
        <w:t>Suomen Ammattiliittojen Keskusjärjestö SAK ry</w:t>
      </w:r>
    </w:p>
    <w:p w:rsidR="00FD6A10" w:rsidRPr="00FD6A10" w:rsidRDefault="00FD6A10" w:rsidP="00FD6A10">
      <w:pPr>
        <w:pStyle w:val="AKPleipteksti"/>
        <w:numPr>
          <w:ilvl w:val="0"/>
          <w:numId w:val="23"/>
        </w:numPr>
        <w:spacing w:line="240" w:lineRule="auto"/>
      </w:pPr>
      <w:r w:rsidRPr="00FD6A10">
        <w:t>STTK ry</w:t>
      </w:r>
    </w:p>
    <w:p w:rsidR="00FD6A10" w:rsidRPr="00FD6A10" w:rsidRDefault="00FD6A10" w:rsidP="00FD6A10">
      <w:pPr>
        <w:pStyle w:val="AKPleipteksti"/>
        <w:numPr>
          <w:ilvl w:val="0"/>
          <w:numId w:val="23"/>
        </w:numPr>
        <w:spacing w:line="240" w:lineRule="auto"/>
      </w:pPr>
      <w:r w:rsidRPr="00FD6A10">
        <w:t>Ammattiliitto Pro ry</w:t>
      </w:r>
    </w:p>
    <w:p w:rsidR="00FD6A10" w:rsidRPr="00FD6A10" w:rsidRDefault="00FD6A10" w:rsidP="00FD6A10">
      <w:pPr>
        <w:pStyle w:val="AKPleipteksti"/>
        <w:numPr>
          <w:ilvl w:val="0"/>
          <w:numId w:val="23"/>
        </w:numPr>
        <w:spacing w:line="240" w:lineRule="auto"/>
        <w:rPr>
          <w:lang w:val="en-US"/>
        </w:rPr>
      </w:pPr>
      <w:proofErr w:type="spellStart"/>
      <w:r w:rsidRPr="00FD6A10">
        <w:rPr>
          <w:lang w:val="en-US"/>
        </w:rPr>
        <w:t>Suomen</w:t>
      </w:r>
      <w:proofErr w:type="spellEnd"/>
      <w:r w:rsidRPr="00FD6A10">
        <w:rPr>
          <w:lang w:val="en-US"/>
        </w:rPr>
        <w:t xml:space="preserve"> </w:t>
      </w:r>
      <w:proofErr w:type="spellStart"/>
      <w:r w:rsidRPr="00FD6A10">
        <w:rPr>
          <w:lang w:val="en-US"/>
        </w:rPr>
        <w:t>Lentäjäliitto</w:t>
      </w:r>
      <w:proofErr w:type="spellEnd"/>
      <w:r w:rsidRPr="00FD6A10">
        <w:rPr>
          <w:lang w:val="en-US"/>
        </w:rPr>
        <w:t xml:space="preserve"> – Finnish Pilots’ Association </w:t>
      </w:r>
      <w:proofErr w:type="spellStart"/>
      <w:r w:rsidRPr="00FD6A10">
        <w:rPr>
          <w:lang w:val="en-US"/>
        </w:rPr>
        <w:t>ry</w:t>
      </w:r>
      <w:proofErr w:type="spellEnd"/>
    </w:p>
    <w:p w:rsidR="00FD6A10" w:rsidRPr="00FD6A10" w:rsidRDefault="00FD6A10" w:rsidP="00FD6A10">
      <w:pPr>
        <w:pStyle w:val="AKPleipteksti"/>
        <w:numPr>
          <w:ilvl w:val="0"/>
          <w:numId w:val="23"/>
        </w:numPr>
        <w:spacing w:line="240" w:lineRule="auto"/>
      </w:pPr>
      <w:r w:rsidRPr="00FD6A10">
        <w:t>Elinkeinoelämän keskusliitto EK ry</w:t>
      </w:r>
    </w:p>
    <w:p w:rsidR="00FD6A10" w:rsidRPr="00FD6A10" w:rsidRDefault="00FD6A10" w:rsidP="00FD6A10">
      <w:pPr>
        <w:pStyle w:val="AKPleipteksti"/>
        <w:numPr>
          <w:ilvl w:val="0"/>
          <w:numId w:val="23"/>
        </w:numPr>
        <w:spacing w:line="240" w:lineRule="auto"/>
      </w:pPr>
      <w:r w:rsidRPr="00FD6A10">
        <w:t>Suomen Huolinta- ja Logistiikkaliitto ry</w:t>
      </w:r>
    </w:p>
    <w:p w:rsidR="00FD6A10" w:rsidRPr="00FD6A10" w:rsidRDefault="00FD6A10" w:rsidP="00FD6A10">
      <w:pPr>
        <w:pStyle w:val="AKPleipteksti"/>
        <w:numPr>
          <w:ilvl w:val="0"/>
          <w:numId w:val="23"/>
        </w:numPr>
        <w:spacing w:line="240" w:lineRule="auto"/>
      </w:pPr>
      <w:r w:rsidRPr="00FD6A10">
        <w:t>Suomen Kaukokiito Oy</w:t>
      </w:r>
    </w:p>
    <w:p w:rsidR="00FD6A10" w:rsidRDefault="00FD6A10" w:rsidP="00FD6A10">
      <w:pPr>
        <w:pStyle w:val="AKPleipteksti"/>
        <w:numPr>
          <w:ilvl w:val="0"/>
          <w:numId w:val="23"/>
        </w:numPr>
        <w:spacing w:line="240" w:lineRule="auto"/>
      </w:pPr>
      <w:r w:rsidRPr="00FD6A10">
        <w:t>Finavia Oyj</w:t>
      </w:r>
    </w:p>
    <w:p w:rsidR="00FD6A10" w:rsidRPr="00FD6A10" w:rsidRDefault="00FD6A10" w:rsidP="00FD6A10">
      <w:pPr>
        <w:pStyle w:val="AKPleipteksti"/>
        <w:spacing w:line="240" w:lineRule="auto"/>
        <w:ind w:left="720"/>
      </w:pPr>
    </w:p>
    <w:p w:rsidR="00FD6A10" w:rsidRDefault="00FD6A10" w:rsidP="00FD6A10">
      <w:pPr>
        <w:pStyle w:val="Normaalioikeusministerio"/>
        <w:spacing w:line="240" w:lineRule="auto"/>
      </w:pPr>
      <w:r w:rsidRPr="00FD6A10">
        <w:rPr>
          <w:i/>
          <w:iCs/>
        </w:rPr>
        <w:t>Sisäministeriö</w:t>
      </w:r>
      <w:r w:rsidRPr="00FD6A10">
        <w:t xml:space="preserve"> totesi lausunnossaan, että se on osallistunut esityksen valmisteluun, eikä sillä ole tässä vaiheessa lausuttavaa asiaan.</w:t>
      </w:r>
    </w:p>
    <w:p w:rsidR="00D43C82" w:rsidRDefault="00D43C82" w:rsidP="00FD6A10">
      <w:pPr>
        <w:pStyle w:val="Normaalioikeusministerio"/>
        <w:spacing w:line="240" w:lineRule="auto"/>
      </w:pPr>
      <w:r>
        <w:t xml:space="preserve">Lausunnot ovat kokonaisuudessaan luettavissa oikeusministeriön hankesivulta </w:t>
      </w:r>
      <w:hyperlink r:id="rId8" w:history="1">
        <w:r w:rsidRPr="00D43C82">
          <w:rPr>
            <w:rStyle w:val="Hyperlinkki"/>
          </w:rPr>
          <w:t>https://oikeusministerio.fi/hanke?tunnus=OM015:00/2019</w:t>
        </w:r>
      </w:hyperlink>
    </w:p>
    <w:p w:rsidR="000C7FE9" w:rsidRPr="00FD6A10" w:rsidRDefault="000C7FE9" w:rsidP="00FD6A10">
      <w:pPr>
        <w:pStyle w:val="Normaalioikeusministerio"/>
        <w:spacing w:line="240" w:lineRule="auto"/>
      </w:pPr>
    </w:p>
    <w:p w:rsidR="00FD6A10" w:rsidRPr="00FD6A10" w:rsidRDefault="00FD6A10" w:rsidP="00FD6A10">
      <w:pPr>
        <w:pStyle w:val="Otsikko1oikeusministerio"/>
        <w:spacing w:line="240" w:lineRule="auto"/>
      </w:pPr>
      <w:r w:rsidRPr="00FD6A10">
        <w:t>Lausuntojen sisältö</w:t>
      </w:r>
    </w:p>
    <w:p w:rsidR="00FD6A10" w:rsidRPr="00D43C82" w:rsidRDefault="00FD6A10" w:rsidP="00FD6A10">
      <w:pPr>
        <w:pStyle w:val="Otsikko2oikeusministerio"/>
        <w:spacing w:before="240" w:line="240" w:lineRule="auto"/>
        <w:rPr>
          <w:lang w:val="fi-FI"/>
        </w:rPr>
      </w:pPr>
      <w:r w:rsidRPr="00D43C82">
        <w:rPr>
          <w:lang w:val="fi-FI"/>
        </w:rPr>
        <w:t>Esityksen tarpeellisuus ja turvallisuusvaikutukset</w:t>
      </w:r>
    </w:p>
    <w:p w:rsidR="00FD6A10" w:rsidRPr="00FD6A10" w:rsidRDefault="00FD6A10" w:rsidP="00FD6A10">
      <w:pPr>
        <w:pStyle w:val="Normaalioikeusministerio"/>
        <w:spacing w:line="240" w:lineRule="auto"/>
        <w:rPr>
          <w:i/>
        </w:rPr>
      </w:pPr>
      <w:r w:rsidRPr="00FD6A10">
        <w:t xml:space="preserve">Lähdes kaikki lausunnonantajat pitävät esitystä tarpeellisena ja katsovat sen parantavan ilmailun turvallisuutta. </w:t>
      </w:r>
    </w:p>
    <w:p w:rsidR="00FD6A10" w:rsidRPr="00FD6A10" w:rsidRDefault="00FD6A10" w:rsidP="00FD6A10">
      <w:pPr>
        <w:pStyle w:val="Normaalioikeusministerio"/>
        <w:spacing w:line="240" w:lineRule="auto"/>
      </w:pPr>
      <w:r w:rsidRPr="00FD6A10">
        <w:rPr>
          <w:i/>
        </w:rPr>
        <w:t>Liikenne- ja viestintäministeriön</w:t>
      </w:r>
      <w:r w:rsidRPr="00FD6A10">
        <w:t xml:space="preserve"> mukaan esitys parantaa ilmailun turvaamisen tasoa. Ilmailun turvaamisen tavoitteiden ohella tiukentuneet taustan tarkistukset palvelevat yleisemminkin terrorismin ja järjestäytyneen rikollisuuden torjuntaa, ja näin edistävät monikansallisen ilmailutoiminnan ohella myös kansallista turvallisuutta. </w:t>
      </w:r>
    </w:p>
    <w:p w:rsidR="00FD6A10" w:rsidRPr="00FD6A10" w:rsidRDefault="00FD6A10" w:rsidP="00FD6A10">
      <w:pPr>
        <w:pStyle w:val="Normaalioikeusministerio"/>
        <w:spacing w:line="240" w:lineRule="auto"/>
      </w:pPr>
      <w:r w:rsidRPr="00FD6A10">
        <w:rPr>
          <w:i/>
        </w:rPr>
        <w:t>Pääesikunta</w:t>
      </w:r>
      <w:r w:rsidRPr="00FD6A10">
        <w:t xml:space="preserve"> katsoo, että uudistus on kannatettava ottaen huomioon yhteiskunnallisten muutosten tuoma tarve ennaltaehkäistä turvallisuusuhkia ilmailussa.</w:t>
      </w:r>
    </w:p>
    <w:p w:rsidR="00FD6A10" w:rsidRPr="00FD6A10" w:rsidRDefault="00FD6A10" w:rsidP="00FD6A10">
      <w:pPr>
        <w:pStyle w:val="Normaalioikeusministerio"/>
        <w:spacing w:line="240" w:lineRule="auto"/>
      </w:pPr>
      <w:r w:rsidRPr="00FD6A10">
        <w:rPr>
          <w:i/>
        </w:rPr>
        <w:t>Keskusrikospoliisi</w:t>
      </w:r>
      <w:r w:rsidRPr="00FD6A10">
        <w:t xml:space="preserve"> ja </w:t>
      </w:r>
      <w:r w:rsidRPr="00FD6A10">
        <w:rPr>
          <w:i/>
        </w:rPr>
        <w:t xml:space="preserve">Poliisihallitus </w:t>
      </w:r>
      <w:r w:rsidRPr="00FD6A10">
        <w:t xml:space="preserve">pitävät molemmat esitystä tarpeellisena ja turvallisuutta edistävänä. Keskusrikospoliisin mukaan perusmuotoisen ja suppean turvallisuusselvityksen käyttöalueen laajentaminen mahdollistaa tehokkaammin järjestäytyneen rikollisuuden toimintaedellytysten ennalta ehkäisemisen kansallisen ja kansainvälisen liikenteen merkittävissä logistisissa solmukohdissa. Poliisihallituksen mukaan ilmailualalle hakeutuvien taustojen varmistaminen lisäisi alalla toimivien nuhteettomuutta ja luotettavuutta. </w:t>
      </w:r>
    </w:p>
    <w:p w:rsidR="00FD6A10" w:rsidRPr="00FD6A10" w:rsidRDefault="00FD6A10" w:rsidP="00FD6A10">
      <w:pPr>
        <w:pStyle w:val="Normaalioikeusministerio"/>
        <w:spacing w:line="240" w:lineRule="auto"/>
      </w:pPr>
      <w:r w:rsidRPr="00FD6A10">
        <w:rPr>
          <w:i/>
        </w:rPr>
        <w:lastRenderedPageBreak/>
        <w:t>Elinkeinoelämän keskusliitto</w:t>
      </w:r>
      <w:r w:rsidRPr="00FD6A10">
        <w:t xml:space="preserve"> </w:t>
      </w:r>
      <w:r w:rsidRPr="00FD6A10">
        <w:rPr>
          <w:i/>
        </w:rPr>
        <w:t>(EK)</w:t>
      </w:r>
      <w:r w:rsidRPr="00FD6A10">
        <w:t xml:space="preserve"> katsoo, että esityksessä ehdotetut muutokset tulevat parantamaan ilmailun turvallisuutta, koska niiden myötä turvallisuusselvitysten kattavuus laajenee. </w:t>
      </w:r>
    </w:p>
    <w:p w:rsidR="00FD6A10" w:rsidRPr="00FD6A10" w:rsidRDefault="00FD6A10" w:rsidP="00FD6A10">
      <w:pPr>
        <w:pStyle w:val="Normaalioikeusministerio"/>
        <w:spacing w:line="240" w:lineRule="auto"/>
      </w:pPr>
      <w:r w:rsidRPr="00FD6A10">
        <w:t xml:space="preserve">Työntekijöitä edustavista järjestöistä </w:t>
      </w:r>
      <w:r w:rsidRPr="00FD6A10">
        <w:rPr>
          <w:i/>
        </w:rPr>
        <w:t xml:space="preserve">SAK ry </w:t>
      </w:r>
      <w:r w:rsidRPr="00FD6A10">
        <w:t xml:space="preserve">pitää ilmailualan turvallisuutta tärkeänä tavoitteena. </w:t>
      </w:r>
      <w:r w:rsidRPr="00FD6A10">
        <w:rPr>
          <w:i/>
        </w:rPr>
        <w:t>STTK ry</w:t>
      </w:r>
      <w:r w:rsidRPr="00FD6A10">
        <w:t xml:space="preserve"> pitää muutoksia perusteltuina ja hyvinä. </w:t>
      </w:r>
      <w:r w:rsidRPr="00FD6A10">
        <w:rPr>
          <w:i/>
        </w:rPr>
        <w:t>Suomen Lentäjäliitto ry</w:t>
      </w:r>
      <w:r w:rsidRPr="00FD6A10">
        <w:t xml:space="preserve"> pitää hyvänä, että muutos parantaa mahdollisuuksia varautua sisäpiiriuhkaan.</w:t>
      </w:r>
    </w:p>
    <w:p w:rsidR="00FD6A10" w:rsidRPr="00FD6A10" w:rsidRDefault="00FD6A10" w:rsidP="00FD6A10">
      <w:pPr>
        <w:pStyle w:val="Normaalioikeusministerio"/>
        <w:spacing w:line="240" w:lineRule="auto"/>
      </w:pPr>
      <w:r w:rsidRPr="00FD6A10">
        <w:rPr>
          <w:i/>
        </w:rPr>
        <w:t>Suomen Kaukokiito Oy</w:t>
      </w:r>
      <w:r w:rsidRPr="00FD6A10">
        <w:t>:n mukaan</w:t>
      </w:r>
      <w:r w:rsidRPr="00FD6A10">
        <w:rPr>
          <w:i/>
        </w:rPr>
        <w:t xml:space="preserve"> </w:t>
      </w:r>
      <w:r w:rsidRPr="00FD6A10">
        <w:t xml:space="preserve">tunnetut lähetykset kuljetetaan valvotussa prosessissa turvatietoisuuskoulutetun henkilöstön voimin ja tunnetuille lähetyksille tehdään aina turvatarkastus ennen niiden toimittamista lentokentälle, joten lähetykset ovat lentoturvallisia jo nyt. Uusi lainsäädäntö toisi sen mukaan paljon työtä ja kustannuksia, mutta varsinainen hyöty jäisi hyvin pieneksi. </w:t>
      </w:r>
    </w:p>
    <w:p w:rsidR="00FD6A10" w:rsidRPr="00D43C82" w:rsidRDefault="00FD6A10" w:rsidP="00FD6A10">
      <w:pPr>
        <w:pStyle w:val="Otsikko2oikeusministerio"/>
        <w:spacing w:line="240" w:lineRule="auto"/>
        <w:rPr>
          <w:lang w:val="fi-FI"/>
        </w:rPr>
      </w:pPr>
      <w:r w:rsidRPr="00D43C82">
        <w:rPr>
          <w:lang w:val="fi-FI"/>
        </w:rPr>
        <w:t>Hakemusten keskittämistä koskeva muutos (15 §)</w:t>
      </w:r>
    </w:p>
    <w:p w:rsidR="00FD6A10" w:rsidRPr="00FD6A10" w:rsidRDefault="00FD6A10" w:rsidP="00FD6A10">
      <w:pPr>
        <w:pStyle w:val="Normaalioikeusministerio"/>
        <w:spacing w:line="240" w:lineRule="auto"/>
      </w:pPr>
      <w:r w:rsidRPr="00FD6A10">
        <w:rPr>
          <w:i/>
        </w:rPr>
        <w:t>Liikenne- ja viestintäministeriö</w:t>
      </w:r>
      <w:r w:rsidRPr="00FD6A10">
        <w:t xml:space="preserve"> arvioi lausunnossaan, että ilmailun taustan tarkistuksiin liittyvien turvallisuusselvitysten osalta turvallisuusselvitysprosessin keskittämisestä voisi muun muassa lainsäädännön selkeyden ja ymmärrettävyyden puolesta olla perustellumpaa säätää ilmailulaissa (864/2014), joka otettaisiin esitykseen liitelakina. Ministeriö esittää, että lentokentän pitäjän kelpoisuudesta hakea ilmailulain 101 §:n 1 momentissa tarkoitetun taustan tarkistuksen toteuttamiseksi henkilöturvallisuusselvitystä säädettäisiin ilmailulain 101 §:n uudessa 2 momentissa. Tämän sääntelyratkaisun etuina olisi se, että ilmailulain taustan tarkistuksia koskevasta pykälästä kävisi helpommin ilmi se taho, jolle juuri ilmailun taustan tarkistuksiin liittyvien turvallisuusselvitysten hakuprosessia keskitetään. Ministeriön mukaan muutos tasapainottaisi hallituksen esityksen rakennetta ja parantaisi osaltaan taustan tarkistuksiin liittyvän ilmailulainsäädännön ja turvallisuusselvityslain muodostaman kokonaisuuden ymmärrettävyyttä ja koherenssia.</w:t>
      </w:r>
    </w:p>
    <w:p w:rsidR="00FD6A10" w:rsidRPr="00FD6A10" w:rsidRDefault="00FD6A10" w:rsidP="00FD6A10">
      <w:pPr>
        <w:pStyle w:val="Normaalioikeusministerio"/>
        <w:spacing w:line="240" w:lineRule="auto"/>
      </w:pPr>
      <w:r w:rsidRPr="00FD6A10">
        <w:rPr>
          <w:i/>
        </w:rPr>
        <w:t>Poliisihallituksen</w:t>
      </w:r>
      <w:r w:rsidRPr="00FD6A10">
        <w:t xml:space="preserve"> mukaan muutos hakemusten keskittämisestä on perusteltu ja asianmukaisesti toteutettavissa esitetyllä tavalla. Hakemusten määrä tulee kasvamaan merkittävästi, mikä puoltaa keskitettyä hakemuskäsittelyä vastaavasti kuin se on toteutettu työnantajan ja toimeksiannosta vastaavan kohdalla voimassa olevassa säännöksessä.</w:t>
      </w:r>
    </w:p>
    <w:p w:rsidR="00FD6A10" w:rsidRPr="00FD6A10" w:rsidRDefault="00FD6A10" w:rsidP="00FD6A10">
      <w:pPr>
        <w:pStyle w:val="Normaalioikeusministerio"/>
        <w:spacing w:line="240" w:lineRule="auto"/>
      </w:pPr>
      <w:r w:rsidRPr="00FD6A10">
        <w:rPr>
          <w:i/>
        </w:rPr>
        <w:t xml:space="preserve">Elinkeinoelämän keskusliitto </w:t>
      </w:r>
      <w:r w:rsidRPr="00FD6A10">
        <w:t xml:space="preserve">pitää esitystä prosessiekonomian kannalta ymmärrettävänä, mutta kuitenkin kiinnittää huomiota siihen, että mitä enemmän turvallisuusselvityksissä käytetään sijaishakijaa, sen vaikeammiksi kohdehenkilön työnantajaorganisaation toimintamahdollisuudet muuttuvat niissä tilanteissa, joissa turvallisuusselvityksessä ilmenee lain tarkoittamia merkityksellisiä seikkoja. Sijaishakija ei lain mukaan ole oikeutettu ilmaisemaan tietoonsa saamiaan merkityksellisiä seikkoja kohdehenkilön työnantajalle, vaan käytännössä ilmoittaa näissä tilanteissa vain sen, ettei kohdehenkilöä voida hyväksyä suorittamaan puheena olevaa tehtävää. </w:t>
      </w:r>
      <w:proofErr w:type="spellStart"/>
      <w:r w:rsidRPr="00FD6A10">
        <w:t>EK:n</w:t>
      </w:r>
      <w:proofErr w:type="spellEnd"/>
      <w:r w:rsidRPr="00FD6A10">
        <w:t xml:space="preserve"> mukaan on tilanteita, joissa tällöin pitää miettiä, voidaanko henkilöä ylipäätään käyttää enää niihin tehtäviin, joihin hänet on nimitetty ja mikä merkitys tällaiselle tiedolle ylipäätään työoikeudellisesti on annettava. Kaikissa tilanteissa ei välttämättä ole osoitettavissa toista työtehtävää, johon henkilö voidaan ohjata. Lisäksi tällaisissa tilanteissa jää väistämättä aina epäily henkilön luotettavuudesta, mikä ei luonnollisesti ole kyseisen työntekijänkään etu. Saman kaltainen asetelma on </w:t>
      </w:r>
      <w:proofErr w:type="spellStart"/>
      <w:r w:rsidRPr="00FD6A10">
        <w:t>EK:n</w:t>
      </w:r>
      <w:proofErr w:type="spellEnd"/>
      <w:r w:rsidRPr="00FD6A10">
        <w:t xml:space="preserve"> mukaan tilanteissa, joissa henkilöstä ehdotuksen voimaan tullessa tehdään ensimmäistä kertaa turvallisuusselvitys tai joissa tehdään perusmuotoinen selvitys aiemman suppean selvityksen sijaan. Näistä syistä EK toivoo, että sijaishakijan käyttö rajataan niihin tilanteisiin, joissa se on ehdottoman välttämätöntä.</w:t>
      </w:r>
    </w:p>
    <w:p w:rsidR="000D3254" w:rsidRDefault="000D3254" w:rsidP="00FD6A10">
      <w:pPr>
        <w:pStyle w:val="Otsikko2oikeusministerio"/>
        <w:spacing w:line="240" w:lineRule="auto"/>
        <w:rPr>
          <w:lang w:val="fi-FI"/>
        </w:rPr>
      </w:pPr>
    </w:p>
    <w:p w:rsidR="00FD6A10" w:rsidRPr="00D43C82" w:rsidRDefault="00FD6A10" w:rsidP="00FD6A10">
      <w:pPr>
        <w:pStyle w:val="Otsikko2oikeusministerio"/>
        <w:spacing w:line="240" w:lineRule="auto"/>
        <w:rPr>
          <w:lang w:val="fi-FI"/>
        </w:rPr>
      </w:pPr>
      <w:r w:rsidRPr="00D43C82">
        <w:rPr>
          <w:lang w:val="fi-FI"/>
        </w:rPr>
        <w:lastRenderedPageBreak/>
        <w:t>Perusmuotoista henkilöturvallisuusselvitystä koskeva muutos (19 §)</w:t>
      </w:r>
    </w:p>
    <w:p w:rsidR="00FD6A10" w:rsidRPr="00FD6A10" w:rsidRDefault="00FD6A10" w:rsidP="00FD6A10">
      <w:pPr>
        <w:pStyle w:val="Normaalioikeusministerio"/>
        <w:spacing w:line="240" w:lineRule="auto"/>
        <w:rPr>
          <w:i/>
        </w:rPr>
      </w:pPr>
      <w:r w:rsidRPr="00FD6A10">
        <w:rPr>
          <w:i/>
        </w:rPr>
        <w:t xml:space="preserve">Poliisihallitus </w:t>
      </w:r>
      <w:r w:rsidRPr="00FD6A10">
        <w:t>pitää muutosta perusmuotoisen henkilöturvallisuusselvityksen käyttöalan laajentamisesta perusteltuna kyseisen ilmailun vastuutehtävän taikka turvavalvotulla alueelle tehtävien työtehtävien tai sinne itsenäisen pääsyn vuoksi.</w:t>
      </w:r>
    </w:p>
    <w:p w:rsidR="00FD6A10" w:rsidRPr="00FD6A10" w:rsidRDefault="00FD6A10" w:rsidP="00FD6A10">
      <w:pPr>
        <w:pStyle w:val="Normaalioikeusministerio"/>
        <w:spacing w:line="240" w:lineRule="auto"/>
      </w:pPr>
      <w:r w:rsidRPr="00FD6A10">
        <w:rPr>
          <w:i/>
        </w:rPr>
        <w:t>Suomen Lentäjäliitto ry</w:t>
      </w:r>
      <w:r w:rsidRPr="00FD6A10">
        <w:t xml:space="preserve">:n mukaan esityksellä on perustuslain 18 §:ssä suojattuja perusoikeuksia vaarantava vaikutus sellaisille liikennelentäjille, jotka ovat oleskelleet selvitystä edeltävinä vuosina ulkomailla ja ovat nyt hakemassa lentotyötä Suomesta. Mikäli hakija on oleskellut maassa, josta sen enempää Suomen viranomainen kuin hakija itsekään ei kykene saamaan perusmuotoisen turvallisuusselvityksen tai nuhteettomuusseurannan kannalta tarvittavaa tietoa, on mahdollista, ettei kulkulupaa turvavalvotulle alueelle voida myöntää huolimatta siitä, että hakijan tausta olisi faktisesti nuhteeton. Liiton mukaan näissä tilanteissa pitäisi voida käyttää korvaavana tietona hakijan itse toimittamaa selvitystä. </w:t>
      </w:r>
    </w:p>
    <w:p w:rsidR="00FD6A10" w:rsidRPr="00D43C82" w:rsidRDefault="00FD6A10" w:rsidP="00FD6A10">
      <w:pPr>
        <w:pStyle w:val="Otsikko2oikeusministerio"/>
        <w:spacing w:line="240" w:lineRule="auto"/>
        <w:rPr>
          <w:lang w:val="fi-FI"/>
        </w:rPr>
      </w:pPr>
      <w:r w:rsidRPr="00D43C82">
        <w:rPr>
          <w:lang w:val="fi-FI"/>
        </w:rPr>
        <w:t>Suppeaa henkilöturvallisuusselvitystä koskeva muutos (21 §)</w:t>
      </w:r>
    </w:p>
    <w:p w:rsidR="00FD6A10" w:rsidRPr="00FD6A10" w:rsidRDefault="00FD6A10" w:rsidP="00FD6A10">
      <w:pPr>
        <w:pStyle w:val="Normaalioikeusministerio"/>
        <w:spacing w:line="240" w:lineRule="auto"/>
      </w:pPr>
      <w:r w:rsidRPr="00FD6A10">
        <w:rPr>
          <w:i/>
        </w:rPr>
        <w:t>Poliisihallitus</w:t>
      </w:r>
      <w:r w:rsidRPr="00FD6A10">
        <w:t xml:space="preserve"> katsoo, että muutos suppean henkilöturvallisuusselvityksen käyttöalan laajentamisesta on perusteltu. Säännöksen ehdotettu kirjaustapa täsmentää edelleen käyttöalaa. </w:t>
      </w:r>
    </w:p>
    <w:p w:rsidR="00FD6A10" w:rsidRPr="00D43C82" w:rsidRDefault="00FD6A10" w:rsidP="00FD6A10">
      <w:pPr>
        <w:pStyle w:val="Otsikko2oikeusministerio"/>
        <w:spacing w:line="240" w:lineRule="auto"/>
        <w:rPr>
          <w:lang w:val="fi-FI"/>
        </w:rPr>
      </w:pPr>
      <w:r w:rsidRPr="00D43C82">
        <w:rPr>
          <w:lang w:val="fi-FI"/>
        </w:rPr>
        <w:t>Nuhteettomuusseurantaan ehdotetut muutokset (51 ja 52 §)</w:t>
      </w:r>
    </w:p>
    <w:p w:rsidR="00FD6A10" w:rsidRPr="00FD6A10" w:rsidRDefault="00FD6A10" w:rsidP="00FD6A10">
      <w:pPr>
        <w:pStyle w:val="Normaalioikeusministerio"/>
        <w:spacing w:line="240" w:lineRule="auto"/>
      </w:pPr>
      <w:r w:rsidRPr="00FD6A10">
        <w:rPr>
          <w:i/>
        </w:rPr>
        <w:t>Puolustusministeriö</w:t>
      </w:r>
      <w:r w:rsidRPr="00FD6A10">
        <w:t xml:space="preserve"> katsoo, että ehdotuksen mukainen tiedustelutietojen käyttäminen nuhteettomuusseurannassa olisi perusteltua laajentaa koskemaan myös laajoja turvallisuusselvityksiä. Ministeriön mukaan esityksen mukainen nuhteettomuusseurannan rajaus johtaisi hyvin erikoiseen tilanteeseen, jossa tietyn tehtävän perusteella laaditut perusmuotoiset selvitykset ovat kattavamman seurannan piirissä kuin laajat turvallisuusselvitykset. Ministeriö kiinnitti huomiota myös siihen, että ehdotus lisäisi yhden tehtäväjoukon osalta merkittävästi turvallisuusselvitysten määrää. Ministeriön mukaan ilmailu on tärkeä, mutta vain yksi yhteiskunnan turvallisuuden kannalta kriittinen toiminto. Vastaavalla tavalla olisi voinut tarkastella esimerkiksi energiatuotantoa ja erityisesti ydinlaitosten turvallisuutta, jonka varmistamiseksi nykyisin tehdään pääsääntöisesti suppeat turvallisuusselvitykset. </w:t>
      </w:r>
    </w:p>
    <w:p w:rsidR="00FD6A10" w:rsidRPr="00FD6A10" w:rsidRDefault="00FD6A10" w:rsidP="00FD6A10">
      <w:pPr>
        <w:pStyle w:val="Normaalioikeusministerio"/>
        <w:spacing w:line="240" w:lineRule="auto"/>
      </w:pPr>
      <w:r w:rsidRPr="00FD6A10">
        <w:rPr>
          <w:i/>
        </w:rPr>
        <w:t>Tiedusteluvalvontavaltuutettu</w:t>
      </w:r>
      <w:r w:rsidRPr="00FD6A10">
        <w:t xml:space="preserve"> totesi lausunnossaan, että kansallisen turvallisuuden suojaamisen ja järjestäytyneen rikollisuuden torjunnan kannalta muut perusmuotoisen henkilöturvallisuusselvityksen piiriin kuuluvat tehtävät voivat olla vähintäänkin yhtä merkittäviä kuin ilmailualan tehtävät.</w:t>
      </w:r>
    </w:p>
    <w:p w:rsidR="00FD6A10" w:rsidRPr="00FD6A10" w:rsidRDefault="00FD6A10" w:rsidP="00FD6A10">
      <w:pPr>
        <w:pStyle w:val="Normaalioikeusministerio"/>
        <w:spacing w:line="240" w:lineRule="auto"/>
        <w:rPr>
          <w:i/>
        </w:rPr>
      </w:pPr>
      <w:r w:rsidRPr="00FD6A10">
        <w:rPr>
          <w:i/>
        </w:rPr>
        <w:t>Elinkeinoelämän keskusliiton</w:t>
      </w:r>
      <w:r w:rsidRPr="00FD6A10">
        <w:t xml:space="preserve"> mukaan esitys asettaisi perusmuotoisesti turvallisuusselvitetyt keskenään eri asemaan. </w:t>
      </w:r>
      <w:proofErr w:type="spellStart"/>
      <w:r w:rsidRPr="00FD6A10">
        <w:t>EK:n</w:t>
      </w:r>
      <w:proofErr w:type="spellEnd"/>
      <w:r w:rsidRPr="00FD6A10">
        <w:t xml:space="preserve"> näkemyksen mukaan olisi syytä selvittää, tulisiko nämä tiedot liittää jatkossa kaikkien perusmuotoisesti turvallisuusselvitettyjen nuhteettomuusseurantaan. Olisi prosessiekonomian ja yksityisyyden suojan kannalta selkeämpää, että samaa nuhteettomuusseurannan systematiikkaa noudatettaisiin kaikkiin perusmuotoisen turvallisuusselvityksen arvoisiksi katsottuihin suojattaviin etuihin.</w:t>
      </w:r>
    </w:p>
    <w:p w:rsidR="000D3254" w:rsidRDefault="000D3254" w:rsidP="00FD6A10">
      <w:pPr>
        <w:pStyle w:val="Otsikko2oikeusministerio"/>
        <w:spacing w:line="240" w:lineRule="auto"/>
        <w:rPr>
          <w:lang w:val="fi-FI"/>
        </w:rPr>
      </w:pPr>
    </w:p>
    <w:p w:rsidR="00FD6A10" w:rsidRPr="00D43C82" w:rsidRDefault="00FD6A10" w:rsidP="00FD6A10">
      <w:pPr>
        <w:pStyle w:val="Otsikko2oikeusministerio"/>
        <w:spacing w:line="240" w:lineRule="auto"/>
        <w:rPr>
          <w:lang w:val="fi-FI"/>
        </w:rPr>
      </w:pPr>
      <w:r w:rsidRPr="00D43C82">
        <w:rPr>
          <w:lang w:val="fi-FI"/>
        </w:rPr>
        <w:lastRenderedPageBreak/>
        <w:t xml:space="preserve">Esityksen taloudelliset ja toiminnalliset vaikutukset </w:t>
      </w:r>
    </w:p>
    <w:p w:rsidR="00FD6A10" w:rsidRPr="00FD6A10" w:rsidRDefault="00FD6A10" w:rsidP="00FD6A10">
      <w:pPr>
        <w:pStyle w:val="Normaalioikeusministerio"/>
        <w:spacing w:line="240" w:lineRule="auto"/>
      </w:pPr>
      <w:r w:rsidRPr="00FD6A10">
        <w:rPr>
          <w:i/>
        </w:rPr>
        <w:t>Liikenne- ja viestintäministeriön</w:t>
      </w:r>
      <w:r w:rsidRPr="00FD6A10">
        <w:t xml:space="preserve"> mukaan esityksen taloudellisia vaikutuksia viranomaisille ja yrityksille voisi edelleen selkeyttää ja kuvata tarkemmin. Esimerkiksi perusmuotoisten henkilöturvallisuusselvitysten kustannusten noususta olisi hyvä lisätä esitykseen karkea euromääräinen arvio.</w:t>
      </w:r>
    </w:p>
    <w:p w:rsidR="00FD6A10" w:rsidRPr="00FD6A10" w:rsidRDefault="00FD6A10" w:rsidP="00FD6A10">
      <w:pPr>
        <w:pStyle w:val="Normaalioikeusministerio"/>
        <w:spacing w:line="240" w:lineRule="auto"/>
      </w:pPr>
      <w:r w:rsidRPr="00FD6A10">
        <w:rPr>
          <w:i/>
        </w:rPr>
        <w:t>Puolustusministeriön</w:t>
      </w:r>
      <w:r w:rsidRPr="00FD6A10">
        <w:t xml:space="preserve"> ja </w:t>
      </w:r>
      <w:r w:rsidRPr="00FD6A10">
        <w:rPr>
          <w:i/>
        </w:rPr>
        <w:t>pääesikunnan</w:t>
      </w:r>
      <w:r w:rsidRPr="00FD6A10">
        <w:t xml:space="preserve"> lausuntojen mukaan henkilöturvallisuusselvityksissä käytetään eräisiin pääesikunnan henkilörekistereihin sisältyviä tietoja, jotka on käytävä läpi käsin. Tästä seuraa pääesikunnan tiedusteluosaston turvallisuusselvitysyksikössä kahden henkilötyövuoden lisäresurssitarve.</w:t>
      </w:r>
    </w:p>
    <w:p w:rsidR="00FD6A10" w:rsidRPr="00FD6A10" w:rsidRDefault="00FD6A10" w:rsidP="00FD6A10">
      <w:pPr>
        <w:pStyle w:val="Normaalioikeusministerio"/>
        <w:spacing w:line="240" w:lineRule="auto"/>
      </w:pPr>
      <w:r w:rsidRPr="00FD6A10">
        <w:rPr>
          <w:i/>
        </w:rPr>
        <w:t>Keskusrikospoliisi</w:t>
      </w:r>
      <w:r w:rsidRPr="00FD6A10">
        <w:t xml:space="preserve"> katsoo, että turvallisuusselvitysten huomattava lisääntyminen kasvattaa keskusrikospoliisin työmäärää lausumistarpeen myös lisääntyessä. Keskusrikospoliisi korostaa selvitystyön huolellisuutta ja siihen kuluvaa työmäärää. Vaihtoehtona esitetylle menettelylle keskusrikospoliisi esittää järjestelyä, jossa suojelupoliisi saisi suorakäyttömahdollisuuden tarvittaviin järjestelmiin ja tekisi ensiarvion siitä, onko turvallisuusselvityksessä tarvetta pyytää lausuntoa keskusrikospoliisilta, joka tekisi lausunnon tarvittaessa. Tällainen järjestely keventäisi keskusrikospoliisin työmäärää. Myös </w:t>
      </w:r>
      <w:r w:rsidRPr="00FD6A10">
        <w:rPr>
          <w:i/>
        </w:rPr>
        <w:t xml:space="preserve">poliisihallitus </w:t>
      </w:r>
      <w:r w:rsidRPr="00FD6A10">
        <w:t>viittaa keskusrikospoliisin kasvaviin resurssitarpeisiin.</w:t>
      </w:r>
    </w:p>
    <w:p w:rsidR="00FD6A10" w:rsidRPr="00FD6A10" w:rsidRDefault="00FD6A10" w:rsidP="00FD6A10">
      <w:pPr>
        <w:pStyle w:val="Normaalioikeusministerio"/>
        <w:spacing w:line="240" w:lineRule="auto"/>
      </w:pPr>
      <w:r w:rsidRPr="00FD6A10">
        <w:rPr>
          <w:i/>
        </w:rPr>
        <w:t>Tiedusteluvalvontavaltuutettu</w:t>
      </w:r>
      <w:r w:rsidRPr="00FD6A10">
        <w:t xml:space="preserve"> toteaa, että kun tiedusteluvalvontavaltuutetun tehtävänä on valvoa tiedustelumenetelmien ja tiedustelutiedon käytön ja muun tiedustelutoiminnan lainmukaisuutta sekä valvoa myös suojelupoliisin muuta toimintaa, turvallisuusselvitysten laadinnassa noudatettavalla menettelyllä on liittymäkohtia paitsi tietosuojavaltuutetun harjoittamaan valvontaan myös tiedusteluvalvontavaltuutetun harjoittamaan valvontaan. Ehdotettujen muutosten taloudelliset ja toiminnalliset vaikutukset tiedusteluvalvontavaltuutetun toimintaan olisivat vähäiset.</w:t>
      </w:r>
    </w:p>
    <w:p w:rsidR="00FD6A10" w:rsidRPr="00FD6A10" w:rsidRDefault="00FD6A10" w:rsidP="00FD6A10">
      <w:pPr>
        <w:pStyle w:val="Normaalioikeusministerio"/>
        <w:spacing w:line="240" w:lineRule="auto"/>
      </w:pPr>
      <w:r w:rsidRPr="00FD6A10">
        <w:rPr>
          <w:i/>
        </w:rPr>
        <w:t>Elinkeinoelämän keskusliitto (EK)</w:t>
      </w:r>
      <w:r w:rsidRPr="00FD6A10">
        <w:t xml:space="preserve"> kiinnittää huomiota esityksen hyvin tiukkaan aikatauluun ja arvioi, että lähes 10 000 uuden turvallisuusselvityksen tekeminen näin lyhyen ajan kuluessa vaikuttaa todennäköisesti niin, että muidenkin turvallisuusselvitysten käsittelyyn tulee viiveitä. Monen turvallisuusselvitysmenettelyn piirissä olevan yrityksen haaste on </w:t>
      </w:r>
      <w:proofErr w:type="spellStart"/>
      <w:r w:rsidRPr="00FD6A10">
        <w:t>EK:n</w:t>
      </w:r>
      <w:proofErr w:type="spellEnd"/>
      <w:r w:rsidRPr="00FD6A10">
        <w:t xml:space="preserve"> mukaan jo nyt hakemusten kohtalaisen pitkä käsittelyaika, joka hidastuttaa rekrytointiprosessia, nimityksiä ja niiden myötä nimitetyn henkilön työssä aloittamisen ajankohtaa. Käsittelyaika ei saisi pidentyä nykyisestä. EK myös katsoo, että yritysten kustannukset tulevat nousemaan huomioiden, että selvitysten piiriin tulee 9 500 sellaista henkilöä, joita ei aiemmin ole selvitetty ja lisäksi noin 15 000 - 20 000 henkilön osalta kustannukset selvitystä kohden tulevat kaksinkertaistumaan, kun aiemman suppean turvallisuusselvityksen voimassaolon päättyessä tehdään perusmuotoinen turvallisuusselvitys.</w:t>
      </w:r>
    </w:p>
    <w:p w:rsidR="00FD6A10" w:rsidRPr="00FD6A10" w:rsidRDefault="00FD6A10" w:rsidP="00FD6A10">
      <w:pPr>
        <w:pStyle w:val="Normaalioikeusministerio"/>
        <w:spacing w:line="240" w:lineRule="auto"/>
      </w:pPr>
      <w:r w:rsidRPr="00FD6A10">
        <w:rPr>
          <w:i/>
        </w:rPr>
        <w:t>Suomen Huolinta- ja Logistiikkaliitto ry:</w:t>
      </w:r>
      <w:r w:rsidRPr="00FD6A10">
        <w:t xml:space="preserve">n mukaan lentorahtia hoitavissa huolintayrityksissä kustannukset tulevat nousemaan, koska esitys lisää turvallisuusselvitettävien henkilöiden määrää.  Lisäksi ehdotettu muutos voi vaikeuttaa tunnettujen lähettäjien kuljetuksia valvotuille edustajille ja/tai lentoasemille. Lisäksi ongelmalliseksi (tai taloudellisesti kannattamattomaksi) voi käydä lentorahdin esikuljetus maanteitse tunnetulta lähettäjältä valvotulle edustajalle ja/tai lentoasemalle, mikäli suppeaa henkilöturvallisuusselvitystä edellytettäisiin lentorahdin esikuljetukseen osallistuvilta kuljetusliikkeiltä ja näiden henkilökunnalta, joista monella voi olla pääsy lentorahtiin ennen varsinaisesta lentokuljetusta. Lisäksi liiton mukaan esitys voi johtaa siihen, että tunnettujen lähettäjien määrä tulee vähenemään erityisesti maakunnissa ja että lentorahdit tulevat jatkossa maantiekuljetuksissa ns. likaisina Helsinki-Vantaan lentokentälle, jossa rahdista tehdään ns. puhdasta, joko valvottujen edustajien omissa terminaaleissa tai </w:t>
      </w:r>
      <w:proofErr w:type="spellStart"/>
      <w:r w:rsidRPr="00FD6A10">
        <w:t>handling</w:t>
      </w:r>
      <w:proofErr w:type="spellEnd"/>
      <w:r w:rsidRPr="00FD6A10">
        <w:t xml:space="preserve"> agenttien lentokentällä sijaitsevissa rahtiterminaaleissa. Liiton mukaan esitysluonnoksessa taloudelliset vaikutukset yrityksille on arvioitu varsin suppeasti, joten niitä olisi analysoitava tarkemmin ja kaikkiin viennin logistiikkakustannuksia nostaviin esityksiin tulisi suhtautua tarkkuudella ja kriittisyydellä.</w:t>
      </w:r>
    </w:p>
    <w:p w:rsidR="00FD6A10" w:rsidRPr="00FD6A10" w:rsidRDefault="00FD6A10" w:rsidP="00FD6A10">
      <w:pPr>
        <w:pStyle w:val="Normaalioikeusministerio"/>
        <w:spacing w:line="240" w:lineRule="auto"/>
      </w:pPr>
      <w:r w:rsidRPr="00FD6A10">
        <w:t>Suomen Huolinta- ja Logistiikkaliitto ry</w:t>
      </w:r>
      <w:r w:rsidRPr="00FD6A10">
        <w:rPr>
          <w:i/>
        </w:rPr>
        <w:t xml:space="preserve"> </w:t>
      </w:r>
      <w:r w:rsidRPr="00FD6A10">
        <w:t xml:space="preserve">arvioi, että Suomen viennille ja kilpailukyvylle lentorahtilähetysten osalta esityksellä tullee olemaan heikentävä vaikutus, koska varsinaisille kuljetusasiakkaille </w:t>
      </w:r>
      <w:r w:rsidRPr="00FD6A10">
        <w:lastRenderedPageBreak/>
        <w:t>(suomalaisille vientiyrityksille) muutos tulisi näkymään vientilähetysten kustannusten nousuna. Kuljetusasiakkaiden vientikustannukset tulisivat nousemaan ei ainoastaan turvallisuusselvityksinä, vaan myös lentorahdin osalta lähetysten läpivalaisujen muodossa. Muutosehdotus voisi liiton arvion mukaan tarkoittaa yli 10 % prosentin lentorahdin hinnan nousua kuljetusasiakkaalle.</w:t>
      </w:r>
    </w:p>
    <w:p w:rsidR="00FD6A10" w:rsidRPr="00FD6A10" w:rsidRDefault="00FD6A10" w:rsidP="00FD6A10">
      <w:pPr>
        <w:pStyle w:val="Normaalioikeusministerio"/>
        <w:spacing w:line="240" w:lineRule="auto"/>
      </w:pPr>
      <w:r w:rsidRPr="00FD6A10">
        <w:rPr>
          <w:i/>
        </w:rPr>
        <w:t>Suomen Kaukokiito Oy</w:t>
      </w:r>
      <w:r w:rsidRPr="00FD6A10">
        <w:t xml:space="preserve">:n mukaan suppean henkilöturvallisuusselvityksen vaatimuksen laajentaminen koskemaan laajempia henkilöryhmiä, esimerkiksi kaikkia kuljettajia (henkilöt, joilla on itsenäinen pääsy lentorahtiin), tulisi olennaisesti vaikeuttamaan kuljettamisen onnistumista tunnetuilta lähettäjiltä valvotuille edustajille ja/tai lentoasemille. Yritys todennäköisesti lopettaisi ehdotuksen vuoksi tunnettujen lentorahtien kuljettamisen muualta Suomesta kuin pääkaupunkiseudulta ja joutuisi irtisanomaan huolintaliikkeille annetut rahdinkuljettajan vakuutukset. Ehdotus lisäisi merkittävästi henkilöturvallisuusselvitysten määrää, edellyttäisi kuljetusketjuilta valtavaa hallinnollista panostusta, tarkoittaisi suuria kustannuksia sekä vaikuttaisi kuljettajien työsuhteeseen ja oikeusturvaan. Suomen Kaukokiito Oy:n mukaan tämä tarkoittaisi jatkossa sitä, että kuljetusketjuun työhön päästäkseen kuljettajan tai terminaalihenkilön olisi aina hyväksyttävä suppean henkilöturvallisuusselvityksen teettäminen. Suomen Kaukokiito Oy viittaa myös mahdollisiin ongelmiin kuljettajien saatavuudessa pakollisen henkilöturvallisuusselvityksen myötä. Lisäksi ylimääräisen henkilöturvallisuusrekisterin ylläpitäminen ja valvominen olisi ketjutasolla paitsi työmääränä suuri, myös sisältäisi yhden ylimääräisen tietosuojariskin. Kuljetusketju muodostuu noin 2 000 henkilöstä. Pelkkien suppeiden henkilöturvallisuusselvitysten kustannus ketjussa olisi Suomen Kaukokiidon mukaan yli 100 000 euroa kolmen vuoden välein. </w:t>
      </w:r>
    </w:p>
    <w:p w:rsidR="00FD6A10" w:rsidRPr="00D43C82" w:rsidRDefault="00FD6A10" w:rsidP="00FD6A10">
      <w:pPr>
        <w:pStyle w:val="Otsikko2oikeusministerio"/>
        <w:spacing w:line="240" w:lineRule="auto"/>
        <w:rPr>
          <w:lang w:val="fi-FI"/>
        </w:rPr>
      </w:pPr>
      <w:r w:rsidRPr="00D43C82">
        <w:rPr>
          <w:lang w:val="fi-FI"/>
        </w:rPr>
        <w:t>Vaikutukset käsittelyaikoihin ja selvityksen kohteisiin</w:t>
      </w:r>
    </w:p>
    <w:p w:rsidR="00FD6A10" w:rsidRPr="00FD6A10" w:rsidRDefault="00FD6A10" w:rsidP="00FD6A10">
      <w:pPr>
        <w:pStyle w:val="Normaalioikeusministerio"/>
        <w:spacing w:line="240" w:lineRule="auto"/>
        <w:rPr>
          <w:i/>
        </w:rPr>
      </w:pPr>
      <w:r w:rsidRPr="00FD6A10">
        <w:rPr>
          <w:i/>
        </w:rPr>
        <w:t xml:space="preserve">Poliisihallituksen </w:t>
      </w:r>
      <w:r w:rsidRPr="00FD6A10">
        <w:t>mukaan esityksellä voi olla vaikutuksia henkilöturvallisuusselvityksen kohteeseen esimerkiksi mahdollisten pidempään kestävien turvallisuusselvitysten valmistumisaikojen suhteen henkilön hakiessa samanaikaisesti useampia työpaikkoja, joista osaan ei tarvita henkilöturvallisuusselvitystä ja osaan tarvitaan.</w:t>
      </w:r>
    </w:p>
    <w:p w:rsidR="00FD6A10" w:rsidRPr="00FD6A10" w:rsidRDefault="00FD6A10" w:rsidP="00FD6A10">
      <w:pPr>
        <w:pStyle w:val="Normaalioikeusministerio"/>
        <w:spacing w:line="240" w:lineRule="auto"/>
      </w:pPr>
      <w:r w:rsidRPr="00FD6A10">
        <w:rPr>
          <w:i/>
        </w:rPr>
        <w:t xml:space="preserve">Suomen Huolinta- ja Logistiikkaliitto ry </w:t>
      </w:r>
      <w:r w:rsidRPr="00FD6A10">
        <w:t>toteaa, että esityksellä tulee voimaan tullessaan olemaan positiivisia turvallisuusvaikutuksia, mutta mikäli turvaselvityksiä hoitamaan ei resursoida tarpeeksi henkilöitä, riskinä ovat pitkittyneet käsittelyajat ja rekrytointien pitkittyminen tai vaikeutuminen hakijayrityksissä.</w:t>
      </w:r>
    </w:p>
    <w:p w:rsidR="00FD6A10" w:rsidRPr="00D43C82" w:rsidRDefault="00FD6A10" w:rsidP="00FD6A10">
      <w:pPr>
        <w:pStyle w:val="Otsikko2oikeusministerio"/>
        <w:spacing w:line="240" w:lineRule="auto"/>
        <w:rPr>
          <w:lang w:val="fi-FI"/>
        </w:rPr>
      </w:pPr>
      <w:r w:rsidRPr="00D43C82">
        <w:rPr>
          <w:lang w:val="fi-FI"/>
        </w:rPr>
        <w:t>Tietojen luovuttaminen ilmailuviranomaiselle</w:t>
      </w:r>
    </w:p>
    <w:p w:rsidR="00FD6A10" w:rsidRPr="00FD6A10" w:rsidRDefault="00FD6A10" w:rsidP="00FD6A10">
      <w:pPr>
        <w:pStyle w:val="Normaalioikeusministerio"/>
        <w:spacing w:line="240" w:lineRule="auto"/>
      </w:pPr>
      <w:r w:rsidRPr="00FD6A10">
        <w:t xml:space="preserve">Liikenne- ja viestintäministeriö ehdottaa ilmailulakiin lisättäväksi sääntelyä taustan tarkistuksessa ilmenneiden tietojen luovuttamisesta ilmailuviranomaisena toimivalle liikenne- ja viestintävirastolle. Esimerkiksi ilmailulain 101 §:n uudessa 3 momentissa voitaisiin säätää liikenne- ja viestintäviraston oikeudesta saada taustan tarkistuksen toteuttavalta lentoaseman pitäjältä tai työnantajalta salassapitosäännösten estämättä sellainen tieto, joka on tarpeellinen arvioitaessa saman pykälän 1 momentissa tarkoitetun hyväksynnän tai luvan myöntämistä tai peruuttamista. Vain tällaisten tietojen perusteella ilmailuviranomainen voisi tosiasiassa valvoa sitä, että lupien ja hyväksyntöjen perusteella toimivat yritykset, kuten valvotut edustajat ja tunnetut lähettäjät, ovat täyttäneet henkilöstönsä taustan tarkistamiseen liittyvän velvoitteensa, eivätkä jättäneet turvallisuusselvityksen yhteydessä ilmenneitä esteitä huomiotta. Erillisen tiedonsaannin varmistavan säännöksen tarpeellisuus johtuisi siitä, ettei ilmailuviranomaisen olisi ilmailulain voimassa olevan tiedonsaantisäännöksen (153 §) nojalla luontevasti mahdollista etukäteen pyytää sellaista tietoa, joka vasta myöhemmin ilmenee yksittäin taustan tarkistuksen yhteydessä. </w:t>
      </w:r>
    </w:p>
    <w:p w:rsidR="00FD6A10" w:rsidRPr="00D43C82" w:rsidRDefault="00FD6A10" w:rsidP="00FD6A10">
      <w:pPr>
        <w:pStyle w:val="Otsikko2oikeusministerio"/>
        <w:spacing w:line="240" w:lineRule="auto"/>
        <w:rPr>
          <w:lang w:val="fi-FI"/>
        </w:rPr>
      </w:pPr>
      <w:r w:rsidRPr="00D43C82">
        <w:rPr>
          <w:lang w:val="fi-FI"/>
        </w:rPr>
        <w:lastRenderedPageBreak/>
        <w:t>Muita huomioita</w:t>
      </w:r>
    </w:p>
    <w:p w:rsidR="00FD6A10" w:rsidRPr="00FD6A10" w:rsidRDefault="00FD6A10" w:rsidP="00FD6A10">
      <w:pPr>
        <w:pStyle w:val="Normaalioikeusministerio"/>
        <w:spacing w:line="240" w:lineRule="auto"/>
        <w:rPr>
          <w:i/>
        </w:rPr>
      </w:pPr>
      <w:r w:rsidRPr="00FD6A10">
        <w:rPr>
          <w:i/>
        </w:rPr>
        <w:t>Finavia Oyj</w:t>
      </w:r>
      <w:r w:rsidRPr="00FD6A10">
        <w:t xml:space="preserve"> totesi, että esitysluonnoksessa ei ole mainintaa turvallisuusselvityksen voimassaolosta ja viittasi siihen, että täytäntöönpanoasetus ei edellytä perustason taustan tarkistusten uusimista, jos asetuksessa tarkoitettu jatkuvan arvioinnin mekanismi on käytössä.</w:t>
      </w:r>
    </w:p>
    <w:p w:rsidR="00FD6A10" w:rsidRPr="00FD6A10" w:rsidRDefault="00FD6A10" w:rsidP="00FD6A10">
      <w:pPr>
        <w:pStyle w:val="Normaalioikeusministerio"/>
        <w:spacing w:line="240" w:lineRule="auto"/>
      </w:pPr>
      <w:r w:rsidRPr="00FD6A10">
        <w:rPr>
          <w:i/>
        </w:rPr>
        <w:t>Elinkeinoelämän keskusliitto (EK)</w:t>
      </w:r>
      <w:r w:rsidRPr="00FD6A10">
        <w:t xml:space="preserve"> katsoo, että Suomessa olisi tarvetta turvallisuusselvityslain perusteellisempaankin päivittämiseen. Nykyisin enenevässä määrin viranomaisten tiloissa tapahtuvaa toimintaa on siirretty yritysten tehtäväksi. Nykyinen turvallisuusselvityslaki ei riittävästi tunnista tätä seikkaa. EK viittaa turvallisuusselvityslain 21 §:n 1 momentin 3-kohtaan, joka ei tunnista yrityksen toimitiloissa tehtävää toimintaa, joka voisi vastaavalla tavoin vaarantaa valtion turvallisuutta. Säännös ei </w:t>
      </w:r>
      <w:proofErr w:type="spellStart"/>
      <w:r w:rsidRPr="00FD6A10">
        <w:t>EK:n</w:t>
      </w:r>
      <w:proofErr w:type="spellEnd"/>
      <w:r w:rsidRPr="00FD6A10">
        <w:t xml:space="preserve"> mukaan myöskään tunnista yksityisen edun vaarantumista. </w:t>
      </w:r>
      <w:proofErr w:type="spellStart"/>
      <w:r w:rsidRPr="00FD6A10">
        <w:t>EK:n</w:t>
      </w:r>
      <w:proofErr w:type="spellEnd"/>
      <w:r w:rsidRPr="00FD6A10">
        <w:t xml:space="preserve"> näkemyksen mukaan joitakin 21 §:n perusteita tulisikin tarkastella uudelleen.</w:t>
      </w:r>
    </w:p>
    <w:p w:rsidR="00FD6A10" w:rsidRPr="00FD6A10" w:rsidRDefault="00FD6A10" w:rsidP="00FD6A10">
      <w:pPr>
        <w:pStyle w:val="Normaalioikeusministerio"/>
        <w:spacing w:line="240" w:lineRule="auto"/>
      </w:pPr>
      <w:r w:rsidRPr="00FD6A10">
        <w:rPr>
          <w:i/>
        </w:rPr>
        <w:t>Ammattiliitto Pro ry</w:t>
      </w:r>
      <w:r w:rsidRPr="00FD6A10">
        <w:t xml:space="preserve"> ja </w:t>
      </w:r>
      <w:r w:rsidRPr="00FD6A10">
        <w:rPr>
          <w:i/>
        </w:rPr>
        <w:t>SAK ry</w:t>
      </w:r>
      <w:r w:rsidRPr="00FD6A10">
        <w:t xml:space="preserve"> ovat kiinnittäneet huomiota siihen, ettei työryhmässä ole ollut palkansaajien edustusta. Molemmat pitävät tärkeänä sitä, että työryhmissä, joissa valmistellaan työntekijöiden asemaan vaikuttavaa lainsäädäntöä, on palkansaajien edustus. SAK kiinnittää huomiota siihen, että työryhmässä on ollut työnantajiin kuuluva ilmailualan yritys asiantuntijajäsenenä, mutta palkansaajien edustusta työryhmässä ei ole ollut edes asiantuntijana. Se katsoo, että selvityksen kohteita edustava tahon tulisi olisi mukana lainvalmistelussa kysymyksessä, koska kyseessä on työntekijöiden yksityisyyden suojan piiriin kuuluva lainsäädäntö.   </w:t>
      </w:r>
    </w:p>
    <w:p w:rsidR="00FD6A10" w:rsidRPr="00FD6A10" w:rsidRDefault="00FD6A10" w:rsidP="00FD6A10">
      <w:pPr>
        <w:pStyle w:val="Normaalioikeusministerio"/>
        <w:spacing w:line="240" w:lineRule="auto"/>
      </w:pPr>
    </w:p>
    <w:p w:rsidR="008C3E55" w:rsidRPr="00FD6A10" w:rsidRDefault="008C3E55" w:rsidP="00FD6A10">
      <w:pPr>
        <w:pStyle w:val="Normaalioikeusministerio"/>
        <w:spacing w:line="240" w:lineRule="auto"/>
      </w:pPr>
    </w:p>
    <w:p w:rsidR="008C3E55" w:rsidRPr="00FD6A10" w:rsidRDefault="008C3E55" w:rsidP="00FD6A10">
      <w:pPr>
        <w:pStyle w:val="Normaalioikeusministerio"/>
        <w:spacing w:line="240" w:lineRule="auto"/>
      </w:pPr>
      <w:r w:rsidRPr="00FD6A10">
        <w:tab/>
      </w:r>
    </w:p>
    <w:p w:rsidR="00854ADA" w:rsidRPr="00FD6A10" w:rsidRDefault="00854ADA" w:rsidP="00FD6A10">
      <w:pPr>
        <w:pStyle w:val="Normaalioikeusministerio"/>
        <w:spacing w:line="240" w:lineRule="auto"/>
      </w:pPr>
    </w:p>
    <w:sectPr w:rsidR="00854ADA" w:rsidRPr="00FD6A10" w:rsidSect="00FD6A10">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77" w:rsidRDefault="00F73A77">
      <w:r>
        <w:separator/>
      </w:r>
    </w:p>
  </w:endnote>
  <w:endnote w:type="continuationSeparator" w:id="0">
    <w:p w:rsidR="00F73A77" w:rsidRDefault="00F7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D8D" w:rsidRDefault="00A60D8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A60D8D" w:rsidRDefault="00A60D8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D8D" w:rsidRDefault="00A60D8D">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A60D8D" w:rsidRPr="0048319D">
      <w:trPr>
        <w:cantSplit/>
        <w:trHeight w:val="360"/>
      </w:trPr>
      <w:tc>
        <w:tcPr>
          <w:tcW w:w="5130" w:type="dxa"/>
          <w:gridSpan w:val="3"/>
          <w:vAlign w:val="bottom"/>
        </w:tcPr>
        <w:p w:rsidR="00A60D8D" w:rsidRPr="0048319D" w:rsidRDefault="00A60D8D">
          <w:pPr>
            <w:pStyle w:val="akptiedostopolku"/>
          </w:pPr>
        </w:p>
      </w:tc>
      <w:tc>
        <w:tcPr>
          <w:tcW w:w="76" w:type="dxa"/>
        </w:tcPr>
        <w:p w:rsidR="00A60D8D" w:rsidRPr="0048319D" w:rsidRDefault="00A60D8D">
          <w:pPr>
            <w:pStyle w:val="Alatunniste"/>
            <w:rPr>
              <w:sz w:val="12"/>
            </w:rPr>
          </w:pPr>
        </w:p>
      </w:tc>
      <w:tc>
        <w:tcPr>
          <w:tcW w:w="748" w:type="dxa"/>
        </w:tcPr>
        <w:p w:rsidR="00A60D8D" w:rsidRPr="0048319D" w:rsidRDefault="00A60D8D">
          <w:pPr>
            <w:pStyle w:val="Alatunniste"/>
            <w:rPr>
              <w:sz w:val="12"/>
            </w:rPr>
          </w:pPr>
        </w:p>
      </w:tc>
      <w:tc>
        <w:tcPr>
          <w:tcW w:w="1701" w:type="dxa"/>
        </w:tcPr>
        <w:p w:rsidR="00A60D8D" w:rsidRPr="0048319D" w:rsidRDefault="00A60D8D">
          <w:pPr>
            <w:pStyle w:val="Alatunniste"/>
            <w:rPr>
              <w:sz w:val="12"/>
            </w:rPr>
          </w:pPr>
        </w:p>
      </w:tc>
      <w:tc>
        <w:tcPr>
          <w:tcW w:w="2268" w:type="dxa"/>
        </w:tcPr>
        <w:p w:rsidR="00A60D8D" w:rsidRPr="0048319D" w:rsidRDefault="00A60D8D">
          <w:pPr>
            <w:pStyle w:val="Alatunniste"/>
            <w:rPr>
              <w:sz w:val="12"/>
            </w:rPr>
          </w:pPr>
        </w:p>
      </w:tc>
    </w:tr>
    <w:tr w:rsidR="00A60D8D" w:rsidRPr="0048319D" w:rsidTr="00EB53BB">
      <w:trPr>
        <w:cantSplit/>
        <w:trHeight w:hRule="exact" w:val="227"/>
      </w:trPr>
      <w:tc>
        <w:tcPr>
          <w:tcW w:w="2835" w:type="dxa"/>
        </w:tcPr>
        <w:p w:rsidR="00A60D8D" w:rsidRPr="00EB53BB" w:rsidRDefault="00A60D8D">
          <w:pPr>
            <w:pStyle w:val="Alatunniste"/>
            <w:rPr>
              <w:rFonts w:ascii="Arial" w:hAnsi="Arial" w:cs="Arial"/>
              <w:sz w:val="16"/>
              <w:szCs w:val="16"/>
            </w:rPr>
          </w:pPr>
        </w:p>
      </w:tc>
      <w:tc>
        <w:tcPr>
          <w:tcW w:w="1701" w:type="dxa"/>
        </w:tcPr>
        <w:p w:rsidR="00A60D8D" w:rsidRPr="00EB53BB" w:rsidRDefault="00A60D8D">
          <w:pPr>
            <w:pStyle w:val="Alatunniste"/>
            <w:rPr>
              <w:rFonts w:ascii="Arial" w:hAnsi="Arial" w:cs="Arial"/>
              <w:sz w:val="16"/>
              <w:szCs w:val="16"/>
            </w:rPr>
          </w:pPr>
        </w:p>
      </w:tc>
      <w:tc>
        <w:tcPr>
          <w:tcW w:w="1418" w:type="dxa"/>
          <w:gridSpan w:val="3"/>
        </w:tcPr>
        <w:p w:rsidR="00A60D8D" w:rsidRPr="00EB53BB" w:rsidRDefault="00A60D8D">
          <w:pPr>
            <w:pStyle w:val="Alatunniste"/>
            <w:rPr>
              <w:rFonts w:ascii="Arial" w:hAnsi="Arial" w:cs="Arial"/>
              <w:sz w:val="16"/>
              <w:szCs w:val="16"/>
            </w:rPr>
          </w:pPr>
        </w:p>
      </w:tc>
      <w:tc>
        <w:tcPr>
          <w:tcW w:w="1701" w:type="dxa"/>
        </w:tcPr>
        <w:p w:rsidR="00A60D8D" w:rsidRPr="00EB53BB" w:rsidRDefault="00A60D8D">
          <w:pPr>
            <w:pStyle w:val="Alatunniste"/>
            <w:rPr>
              <w:rFonts w:ascii="Arial" w:hAnsi="Arial" w:cs="Arial"/>
              <w:sz w:val="16"/>
              <w:szCs w:val="16"/>
            </w:rPr>
          </w:pPr>
        </w:p>
      </w:tc>
      <w:tc>
        <w:tcPr>
          <w:tcW w:w="2268" w:type="dxa"/>
        </w:tcPr>
        <w:p w:rsidR="00A60D8D" w:rsidRPr="00EB53BB" w:rsidRDefault="00A60D8D">
          <w:pPr>
            <w:pStyle w:val="Alatunniste"/>
            <w:rPr>
              <w:rFonts w:ascii="Arial" w:hAnsi="Arial" w:cs="Arial"/>
              <w:sz w:val="16"/>
              <w:szCs w:val="16"/>
            </w:rPr>
          </w:pPr>
        </w:p>
      </w:tc>
    </w:tr>
    <w:tr w:rsidR="00A60D8D" w:rsidRPr="0048319D" w:rsidTr="00EB53BB">
      <w:trPr>
        <w:cantSplit/>
        <w:trHeight w:hRule="exact" w:val="227"/>
      </w:trPr>
      <w:tc>
        <w:tcPr>
          <w:tcW w:w="2835" w:type="dxa"/>
        </w:tcPr>
        <w:p w:rsidR="00A60D8D" w:rsidRPr="00EB53BB" w:rsidRDefault="00A60D8D">
          <w:pPr>
            <w:pStyle w:val="Alatunniste"/>
            <w:rPr>
              <w:rFonts w:ascii="Arial" w:hAnsi="Arial" w:cs="Arial"/>
              <w:sz w:val="16"/>
              <w:szCs w:val="16"/>
            </w:rPr>
          </w:pPr>
        </w:p>
      </w:tc>
      <w:tc>
        <w:tcPr>
          <w:tcW w:w="1701" w:type="dxa"/>
        </w:tcPr>
        <w:p w:rsidR="00A60D8D" w:rsidRPr="00EB53BB" w:rsidRDefault="00A60D8D">
          <w:pPr>
            <w:pStyle w:val="Alatunniste"/>
            <w:rPr>
              <w:rFonts w:ascii="Arial" w:hAnsi="Arial" w:cs="Arial"/>
              <w:sz w:val="16"/>
              <w:szCs w:val="16"/>
            </w:rPr>
          </w:pPr>
        </w:p>
      </w:tc>
      <w:tc>
        <w:tcPr>
          <w:tcW w:w="1418" w:type="dxa"/>
          <w:gridSpan w:val="3"/>
        </w:tcPr>
        <w:p w:rsidR="00A60D8D" w:rsidRPr="00EB53BB" w:rsidRDefault="00A60D8D">
          <w:pPr>
            <w:pStyle w:val="Alatunniste"/>
            <w:rPr>
              <w:rFonts w:ascii="Arial" w:hAnsi="Arial" w:cs="Arial"/>
              <w:sz w:val="16"/>
              <w:szCs w:val="16"/>
            </w:rPr>
          </w:pPr>
        </w:p>
      </w:tc>
      <w:tc>
        <w:tcPr>
          <w:tcW w:w="1701" w:type="dxa"/>
        </w:tcPr>
        <w:p w:rsidR="00A60D8D" w:rsidRPr="00EB53BB" w:rsidRDefault="00A60D8D">
          <w:pPr>
            <w:pStyle w:val="Alatunniste"/>
            <w:rPr>
              <w:rFonts w:ascii="Arial" w:hAnsi="Arial" w:cs="Arial"/>
              <w:sz w:val="16"/>
              <w:szCs w:val="16"/>
            </w:rPr>
          </w:pPr>
        </w:p>
      </w:tc>
      <w:tc>
        <w:tcPr>
          <w:tcW w:w="2268" w:type="dxa"/>
        </w:tcPr>
        <w:p w:rsidR="00A60D8D" w:rsidRPr="00EB53BB" w:rsidRDefault="00A60D8D">
          <w:pPr>
            <w:pStyle w:val="Alatunniste"/>
            <w:rPr>
              <w:rFonts w:ascii="Arial" w:hAnsi="Arial" w:cs="Arial"/>
              <w:sz w:val="16"/>
              <w:szCs w:val="16"/>
            </w:rPr>
          </w:pPr>
        </w:p>
      </w:tc>
    </w:tr>
  </w:tbl>
  <w:p w:rsidR="00A60D8D" w:rsidRDefault="00A60D8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1956"/>
      <w:gridCol w:w="1957"/>
      <w:gridCol w:w="1143"/>
      <w:gridCol w:w="75"/>
      <w:gridCol w:w="738"/>
      <w:gridCol w:w="2097"/>
      <w:gridCol w:w="1957"/>
    </w:tblGrid>
    <w:tr w:rsidR="00A60D8D" w:rsidRPr="00661727" w:rsidTr="00FD6A10">
      <w:trPr>
        <w:cantSplit/>
        <w:trHeight w:val="360"/>
      </w:trPr>
      <w:tc>
        <w:tcPr>
          <w:tcW w:w="5130" w:type="dxa"/>
          <w:gridSpan w:val="3"/>
          <w:vAlign w:val="bottom"/>
        </w:tcPr>
        <w:p w:rsidR="00A60D8D" w:rsidRDefault="00A60D8D" w:rsidP="00FD6A10">
          <w:pPr>
            <w:pStyle w:val="akptiedostopolku"/>
            <w:rPr>
              <w:rFonts w:cs="Arial"/>
            </w:rPr>
          </w:pPr>
        </w:p>
        <w:p w:rsidR="00FD6A10" w:rsidRPr="005F5B39" w:rsidRDefault="00FD6A10" w:rsidP="00FD6A10">
          <w:pPr>
            <w:pStyle w:val="akptiedostopolku"/>
            <w:rPr>
              <w:rFonts w:cs="Arial"/>
            </w:rPr>
          </w:pPr>
        </w:p>
      </w:tc>
      <w:tc>
        <w:tcPr>
          <w:tcW w:w="76" w:type="dxa"/>
        </w:tcPr>
        <w:p w:rsidR="00A60D8D" w:rsidRPr="00661727" w:rsidRDefault="00A60D8D">
          <w:pPr>
            <w:pStyle w:val="Alatunniste"/>
            <w:rPr>
              <w:rFonts w:ascii="Arial" w:hAnsi="Arial" w:cs="Arial"/>
              <w:sz w:val="12"/>
              <w:lang w:val="sv-SE"/>
            </w:rPr>
          </w:pPr>
        </w:p>
      </w:tc>
      <w:tc>
        <w:tcPr>
          <w:tcW w:w="464" w:type="dxa"/>
        </w:tcPr>
        <w:p w:rsidR="00A60D8D" w:rsidRPr="00661727" w:rsidRDefault="00A60D8D">
          <w:pPr>
            <w:pStyle w:val="Alatunniste"/>
            <w:rPr>
              <w:rFonts w:ascii="Arial" w:hAnsi="Arial" w:cs="Arial"/>
              <w:sz w:val="12"/>
              <w:lang w:val="sv-SE"/>
            </w:rPr>
          </w:pPr>
        </w:p>
      </w:tc>
      <w:tc>
        <w:tcPr>
          <w:tcW w:w="2127" w:type="dxa"/>
        </w:tcPr>
        <w:p w:rsidR="00A60D8D" w:rsidRPr="005F5B39" w:rsidRDefault="00A60D8D">
          <w:pPr>
            <w:pStyle w:val="Alatunniste"/>
            <w:rPr>
              <w:rFonts w:ascii="Arial" w:hAnsi="Arial" w:cs="Arial"/>
              <w:sz w:val="16"/>
              <w:szCs w:val="16"/>
              <w:lang w:val="sv-SE"/>
            </w:rPr>
          </w:pPr>
        </w:p>
      </w:tc>
      <w:tc>
        <w:tcPr>
          <w:tcW w:w="1985" w:type="dxa"/>
        </w:tcPr>
        <w:p w:rsidR="00A60D8D" w:rsidRPr="005F5B39" w:rsidRDefault="00A60D8D">
          <w:pPr>
            <w:pStyle w:val="Alatunniste"/>
            <w:rPr>
              <w:rFonts w:ascii="Arial" w:hAnsi="Arial" w:cs="Arial"/>
              <w:sz w:val="16"/>
              <w:szCs w:val="16"/>
              <w:lang w:val="sv-SE"/>
            </w:rPr>
          </w:pPr>
        </w:p>
      </w:tc>
    </w:tr>
    <w:tr w:rsidR="00A60D8D" w:rsidRPr="00661727" w:rsidTr="00FD6A10">
      <w:trPr>
        <w:cantSplit/>
        <w:trHeight w:hRule="exact" w:val="227"/>
      </w:trPr>
      <w:tc>
        <w:tcPr>
          <w:tcW w:w="1985" w:type="dxa"/>
          <w:shd w:val="clear" w:color="auto" w:fill="auto"/>
          <w:tcMar>
            <w:left w:w="0" w:type="dxa"/>
            <w:right w:w="0"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gridSpan w:val="3"/>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r>
    <w:tr w:rsidR="00A60D8D" w:rsidRPr="00661727" w:rsidTr="00FD6A10">
      <w:trPr>
        <w:cantSplit/>
        <w:trHeight w:hRule="exact" w:val="284"/>
      </w:trPr>
      <w:tc>
        <w:tcPr>
          <w:tcW w:w="1985" w:type="dxa"/>
          <w:shd w:val="clear" w:color="auto" w:fill="auto"/>
          <w:tcMar>
            <w:left w:w="0" w:type="dxa"/>
            <w:right w:w="0"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gridSpan w:val="3"/>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b/>
              <w:sz w:val="16"/>
              <w:szCs w:val="16"/>
              <w:lang w:val="sv-SE"/>
            </w:rPr>
          </w:pPr>
        </w:p>
      </w:tc>
    </w:tr>
    <w:tr w:rsidR="00A60D8D" w:rsidRPr="00661727" w:rsidTr="00FD6A10">
      <w:trPr>
        <w:cantSplit/>
        <w:trHeight w:hRule="exact" w:val="227"/>
      </w:trPr>
      <w:tc>
        <w:tcPr>
          <w:tcW w:w="1985" w:type="dxa"/>
          <w:shd w:val="clear" w:color="auto" w:fill="auto"/>
          <w:tcMar>
            <w:left w:w="0" w:type="dxa"/>
            <w:right w:w="0" w:type="dxa"/>
          </w:tcMar>
        </w:tcPr>
        <w:p w:rsidR="00A60D8D" w:rsidRPr="005F5B39" w:rsidRDefault="00A60D8D">
          <w:pPr>
            <w:pStyle w:val="Alatunniste"/>
            <w:rPr>
              <w:rFonts w:ascii="Arial" w:hAnsi="Arial" w:cs="Arial"/>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gridSpan w:val="3"/>
          <w:shd w:val="clear" w:color="auto" w:fill="auto"/>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shd w:val="clear" w:color="auto" w:fill="auto"/>
          <w:tcMar>
            <w:left w:w="57" w:type="dxa"/>
            <w:right w:w="57" w:type="dxa"/>
          </w:tcMar>
        </w:tcPr>
        <w:p w:rsidR="00A60D8D" w:rsidRPr="005F5B39" w:rsidRDefault="00A60D8D">
          <w:pPr>
            <w:pStyle w:val="Alatunniste"/>
            <w:rPr>
              <w:rFonts w:ascii="Arial" w:hAnsi="Arial" w:cs="Arial"/>
              <w:sz w:val="16"/>
              <w:szCs w:val="16"/>
              <w:lang w:val="sv-SE"/>
            </w:rPr>
          </w:pPr>
        </w:p>
      </w:tc>
    </w:tr>
    <w:tr w:rsidR="00A60D8D" w:rsidRPr="00661727" w:rsidTr="00EB53BB">
      <w:trPr>
        <w:cantSplit/>
        <w:trHeight w:hRule="exact" w:val="227"/>
      </w:trPr>
      <w:tc>
        <w:tcPr>
          <w:tcW w:w="1985" w:type="dxa"/>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gridSpan w:val="3"/>
          <w:tcBorders>
            <w:left w:val="nil"/>
          </w:tcBorders>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r>
    <w:tr w:rsidR="00A60D8D" w:rsidRPr="00661727" w:rsidTr="00EB53BB">
      <w:trPr>
        <w:cantSplit/>
        <w:trHeight w:hRule="exact" w:val="227"/>
      </w:trPr>
      <w:tc>
        <w:tcPr>
          <w:tcW w:w="1985" w:type="dxa"/>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gridSpan w:val="3"/>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r>
    <w:tr w:rsidR="00A60D8D" w:rsidRPr="00661727" w:rsidTr="00EB53BB">
      <w:trPr>
        <w:cantSplit/>
        <w:trHeight w:hRule="exact" w:val="227"/>
      </w:trPr>
      <w:tc>
        <w:tcPr>
          <w:tcW w:w="1985" w:type="dxa"/>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gridSpan w:val="3"/>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c>
        <w:tcPr>
          <w:tcW w:w="1985" w:type="dxa"/>
          <w:tcMar>
            <w:left w:w="57" w:type="dxa"/>
            <w:right w:w="57" w:type="dxa"/>
          </w:tcMar>
        </w:tcPr>
        <w:p w:rsidR="00A60D8D" w:rsidRPr="005F5B39" w:rsidRDefault="00A60D8D">
          <w:pPr>
            <w:pStyle w:val="Alatunniste"/>
            <w:rPr>
              <w:rFonts w:ascii="Arial" w:hAnsi="Arial" w:cs="Arial"/>
              <w:sz w:val="16"/>
              <w:szCs w:val="16"/>
              <w:lang w:val="sv-SE"/>
            </w:rPr>
          </w:pPr>
        </w:p>
      </w:tc>
    </w:tr>
  </w:tbl>
  <w:p w:rsidR="00A60D8D" w:rsidRPr="009B04E6" w:rsidRDefault="00A60D8D">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77" w:rsidRDefault="00F73A77">
      <w:r>
        <w:separator/>
      </w:r>
    </w:p>
  </w:footnote>
  <w:footnote w:type="continuationSeparator" w:id="0">
    <w:p w:rsidR="00F73A77" w:rsidRDefault="00F7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A60D8D" w:rsidRPr="0048319D">
      <w:trPr>
        <w:cantSplit/>
        <w:trHeight w:hRule="exact" w:val="20"/>
      </w:trPr>
      <w:tc>
        <w:tcPr>
          <w:tcW w:w="5216" w:type="dxa"/>
        </w:tcPr>
        <w:p w:rsidR="00A60D8D" w:rsidRPr="0048319D" w:rsidRDefault="00A60D8D" w:rsidP="00AD52CB">
          <w:pPr>
            <w:pStyle w:val="akpylatunniste"/>
          </w:pPr>
        </w:p>
      </w:tc>
      <w:tc>
        <w:tcPr>
          <w:tcW w:w="56" w:type="dxa"/>
        </w:tcPr>
        <w:p w:rsidR="00A60D8D" w:rsidRPr="0048319D" w:rsidRDefault="00A60D8D" w:rsidP="00AD52CB">
          <w:pPr>
            <w:pStyle w:val="akpylatunniste"/>
          </w:pPr>
        </w:p>
      </w:tc>
      <w:tc>
        <w:tcPr>
          <w:tcW w:w="2608" w:type="dxa"/>
        </w:tcPr>
        <w:p w:rsidR="00A60D8D" w:rsidRPr="0048319D" w:rsidRDefault="00A60D8D" w:rsidP="00AD52CB">
          <w:pPr>
            <w:pStyle w:val="akpylatunniste"/>
          </w:pPr>
        </w:p>
      </w:tc>
      <w:tc>
        <w:tcPr>
          <w:tcW w:w="1805" w:type="dxa"/>
          <w:gridSpan w:val="2"/>
        </w:tcPr>
        <w:p w:rsidR="00A60D8D" w:rsidRPr="0048319D" w:rsidRDefault="00A60D8D" w:rsidP="00AD52CB">
          <w:pPr>
            <w:pStyle w:val="akpylatunniste"/>
          </w:pPr>
          <w:r w:rsidRPr="0048319D">
            <w:rPr>
              <w:rStyle w:val="akptunnus"/>
            </w:rPr>
            <w:t xml:space="preserve">  </w:t>
          </w:r>
        </w:p>
      </w:tc>
      <w:tc>
        <w:tcPr>
          <w:tcW w:w="663" w:type="dxa"/>
        </w:tcPr>
        <w:p w:rsidR="00A60D8D" w:rsidRPr="0048319D" w:rsidRDefault="00A60D8D" w:rsidP="00AD52CB">
          <w:pPr>
            <w:pStyle w:val="akpylatunniste"/>
          </w:pPr>
        </w:p>
      </w:tc>
    </w:tr>
    <w:tr w:rsidR="00A60D8D" w:rsidRPr="0048319D">
      <w:trPr>
        <w:cantSplit/>
        <w:trHeight w:val="280"/>
      </w:trPr>
      <w:tc>
        <w:tcPr>
          <w:tcW w:w="5216" w:type="dxa"/>
          <w:vMerge w:val="restart"/>
          <w:vAlign w:val="center"/>
        </w:tcPr>
        <w:p w:rsidR="00A60D8D" w:rsidRPr="0048319D" w:rsidRDefault="00A60D8D" w:rsidP="00AD52CB">
          <w:pPr>
            <w:pStyle w:val="akpylatunniste"/>
          </w:pPr>
        </w:p>
      </w:tc>
      <w:tc>
        <w:tcPr>
          <w:tcW w:w="56" w:type="dxa"/>
        </w:tcPr>
        <w:p w:rsidR="00A60D8D" w:rsidRPr="0048319D" w:rsidRDefault="00A60D8D" w:rsidP="00AD52CB">
          <w:pPr>
            <w:pStyle w:val="akpylatunniste"/>
          </w:pPr>
        </w:p>
      </w:tc>
      <w:tc>
        <w:tcPr>
          <w:tcW w:w="2608" w:type="dxa"/>
        </w:tcPr>
        <w:p w:rsidR="00A60D8D" w:rsidRPr="0048319D" w:rsidRDefault="00A60D8D" w:rsidP="00AD52CB">
          <w:pPr>
            <w:pStyle w:val="akpylatunniste"/>
          </w:pPr>
        </w:p>
      </w:tc>
      <w:tc>
        <w:tcPr>
          <w:tcW w:w="1304" w:type="dxa"/>
        </w:tcPr>
        <w:p w:rsidR="00A60D8D" w:rsidRPr="0048319D" w:rsidRDefault="00A60D8D" w:rsidP="00AD52CB">
          <w:pPr>
            <w:pStyle w:val="akpylatunniste"/>
          </w:pPr>
        </w:p>
      </w:tc>
      <w:tc>
        <w:tcPr>
          <w:tcW w:w="1164" w:type="dxa"/>
          <w:gridSpan w:val="2"/>
        </w:tcPr>
        <w:p w:rsidR="00A60D8D" w:rsidRPr="0048319D" w:rsidRDefault="00A60D8D" w:rsidP="00AD52CB">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0D3254">
            <w:rPr>
              <w:rStyle w:val="Sivunumero"/>
            </w:rPr>
            <w:t>7</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0D3254">
            <w:rPr>
              <w:rStyle w:val="Sivunumero"/>
            </w:rPr>
            <w:t>7</w:t>
          </w:r>
          <w:r w:rsidRPr="0048319D">
            <w:rPr>
              <w:rStyle w:val="Sivunumero"/>
              <w:noProof w:val="0"/>
            </w:rPr>
            <w:fldChar w:fldCharType="end"/>
          </w:r>
          <w:r w:rsidRPr="0048319D">
            <w:rPr>
              <w:rStyle w:val="Sivunumero"/>
              <w:noProof w:val="0"/>
            </w:rPr>
            <w:t>)</w:t>
          </w:r>
        </w:p>
      </w:tc>
    </w:tr>
    <w:tr w:rsidR="00A60D8D" w:rsidRPr="0048319D">
      <w:trPr>
        <w:cantSplit/>
        <w:trHeight w:val="230"/>
      </w:trPr>
      <w:tc>
        <w:tcPr>
          <w:tcW w:w="5216" w:type="dxa"/>
          <w:vMerge/>
        </w:tcPr>
        <w:p w:rsidR="00A60D8D" w:rsidRPr="0048319D" w:rsidRDefault="00A60D8D" w:rsidP="00AD52CB">
          <w:pPr>
            <w:pStyle w:val="akpylatunniste"/>
          </w:pPr>
        </w:p>
      </w:tc>
      <w:tc>
        <w:tcPr>
          <w:tcW w:w="56" w:type="dxa"/>
        </w:tcPr>
        <w:p w:rsidR="00A60D8D" w:rsidRPr="0048319D" w:rsidRDefault="00A60D8D" w:rsidP="00AD52CB">
          <w:pPr>
            <w:pStyle w:val="akpylatunniste"/>
          </w:pPr>
        </w:p>
      </w:tc>
      <w:tc>
        <w:tcPr>
          <w:tcW w:w="2608" w:type="dxa"/>
        </w:tcPr>
        <w:p w:rsidR="00A60D8D" w:rsidRPr="0048319D" w:rsidRDefault="00A60D8D" w:rsidP="00AD52CB">
          <w:pPr>
            <w:pStyle w:val="akpylatunniste"/>
          </w:pPr>
        </w:p>
      </w:tc>
      <w:tc>
        <w:tcPr>
          <w:tcW w:w="1304" w:type="dxa"/>
        </w:tcPr>
        <w:p w:rsidR="00A60D8D" w:rsidRPr="0048319D" w:rsidRDefault="00A60D8D" w:rsidP="00AD52CB">
          <w:pPr>
            <w:pStyle w:val="akpylatunniste"/>
          </w:pPr>
        </w:p>
      </w:tc>
      <w:tc>
        <w:tcPr>
          <w:tcW w:w="1164" w:type="dxa"/>
          <w:gridSpan w:val="2"/>
        </w:tcPr>
        <w:p w:rsidR="00A60D8D" w:rsidRPr="0048319D" w:rsidRDefault="00A60D8D" w:rsidP="00AD52CB">
          <w:pPr>
            <w:pStyle w:val="akpylatunniste"/>
          </w:pPr>
        </w:p>
      </w:tc>
    </w:tr>
  </w:tbl>
  <w:p w:rsidR="00A60D8D" w:rsidRDefault="00A60D8D">
    <w:pPr>
      <w:pStyle w:val="Yltunniste"/>
    </w:pPr>
  </w:p>
  <w:p w:rsidR="00A60D8D" w:rsidRDefault="00A60D8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Look w:val="04A0" w:firstRow="1" w:lastRow="0" w:firstColumn="1" w:lastColumn="0" w:noHBand="0" w:noVBand="1"/>
    </w:tblPr>
    <w:tblGrid>
      <w:gridCol w:w="5245"/>
      <w:gridCol w:w="2410"/>
      <w:gridCol w:w="1276"/>
      <w:gridCol w:w="992"/>
      <w:gridCol w:w="283"/>
    </w:tblGrid>
    <w:tr w:rsidR="006A00B3" w:rsidTr="009270B6">
      <w:trPr>
        <w:trHeight w:hRule="exact" w:val="57"/>
      </w:trPr>
      <w:tc>
        <w:tcPr>
          <w:tcW w:w="5245" w:type="dxa"/>
          <w:tcMar>
            <w:left w:w="0" w:type="dxa"/>
            <w:right w:w="0" w:type="dxa"/>
          </w:tcMar>
        </w:tcPr>
        <w:p w:rsidR="006A00B3" w:rsidRDefault="006A00B3" w:rsidP="006A00B3">
          <w:pPr>
            <w:pStyle w:val="akpylatunniste"/>
          </w:pPr>
        </w:p>
      </w:tc>
      <w:tc>
        <w:tcPr>
          <w:tcW w:w="2410" w:type="dxa"/>
          <w:tcMar>
            <w:left w:w="0" w:type="dxa"/>
            <w:right w:w="0" w:type="dxa"/>
          </w:tcMar>
        </w:tcPr>
        <w:p w:rsidR="006A00B3" w:rsidRDefault="006A00B3" w:rsidP="006A00B3">
          <w:pPr>
            <w:pStyle w:val="akpylatunniste"/>
          </w:pPr>
        </w:p>
      </w:tc>
      <w:tc>
        <w:tcPr>
          <w:tcW w:w="1276" w:type="dxa"/>
          <w:tcMar>
            <w:left w:w="0" w:type="dxa"/>
            <w:right w:w="0" w:type="dxa"/>
          </w:tcMar>
        </w:tcPr>
        <w:p w:rsidR="006A00B3" w:rsidRDefault="006A00B3" w:rsidP="006A00B3">
          <w:pPr>
            <w:pStyle w:val="akpylatunniste"/>
          </w:pPr>
        </w:p>
      </w:tc>
      <w:tc>
        <w:tcPr>
          <w:tcW w:w="1275" w:type="dxa"/>
          <w:gridSpan w:val="2"/>
          <w:tcMar>
            <w:left w:w="0" w:type="dxa"/>
            <w:right w:w="0" w:type="dxa"/>
          </w:tcMar>
        </w:tcPr>
        <w:p w:rsidR="006A00B3" w:rsidRDefault="006A00B3" w:rsidP="006A00B3">
          <w:pPr>
            <w:pStyle w:val="akpylatunniste"/>
          </w:pPr>
        </w:p>
      </w:tc>
    </w:tr>
    <w:tr w:rsidR="006A00B3" w:rsidTr="009270B6">
      <w:trPr>
        <w:trHeight w:hRule="exact" w:val="936"/>
      </w:trPr>
      <w:tc>
        <w:tcPr>
          <w:tcW w:w="5245" w:type="dxa"/>
          <w:vMerge w:val="restart"/>
          <w:tcMar>
            <w:left w:w="0" w:type="dxa"/>
            <w:right w:w="0" w:type="dxa"/>
          </w:tcMar>
        </w:tcPr>
        <w:p w:rsidR="006A00B3" w:rsidRPr="00FD6A10" w:rsidRDefault="000C7FE9" w:rsidP="006A00B3">
          <w:pPr>
            <w:pStyle w:val="akpylatunniste"/>
            <w:rPr>
              <w:rFonts w:cs="Arial"/>
            </w:rPr>
          </w:pPr>
          <w:r w:rsidRPr="00563F93">
            <w:rPr>
              <w:lang w:eastAsia="fi-FI"/>
            </w:rPr>
            <w:drawing>
              <wp:inline distT="0" distB="0" distL="0" distR="0">
                <wp:extent cx="2289810" cy="540385"/>
                <wp:effectExtent l="0" t="0" r="0" b="0"/>
                <wp:docPr id="1" name="Picture 4" descr="OM_sf_swe_cmyk_u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_sf_swe_cmyk_up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540385"/>
                        </a:xfrm>
                        <a:prstGeom prst="rect">
                          <a:avLst/>
                        </a:prstGeom>
                        <a:noFill/>
                        <a:ln>
                          <a:noFill/>
                        </a:ln>
                      </pic:spPr>
                    </pic:pic>
                  </a:graphicData>
                </a:graphic>
              </wp:inline>
            </w:drawing>
          </w:r>
        </w:p>
      </w:tc>
      <w:tc>
        <w:tcPr>
          <w:tcW w:w="2410" w:type="dxa"/>
          <w:tcMar>
            <w:left w:w="0" w:type="dxa"/>
            <w:right w:w="0" w:type="dxa"/>
          </w:tcMar>
        </w:tcPr>
        <w:p w:rsidR="006A00B3" w:rsidRDefault="006A00B3" w:rsidP="006A00B3">
          <w:pPr>
            <w:pStyle w:val="akpylatunniste"/>
          </w:pPr>
        </w:p>
      </w:tc>
      <w:tc>
        <w:tcPr>
          <w:tcW w:w="1276" w:type="dxa"/>
          <w:tcMar>
            <w:left w:w="0" w:type="dxa"/>
            <w:right w:w="0" w:type="dxa"/>
          </w:tcMar>
        </w:tcPr>
        <w:p w:rsidR="006A00B3" w:rsidRDefault="006A00B3" w:rsidP="00FD6A10">
          <w:pPr>
            <w:pStyle w:val="akpylatunniste"/>
          </w:pPr>
        </w:p>
      </w:tc>
      <w:tc>
        <w:tcPr>
          <w:tcW w:w="1275" w:type="dxa"/>
          <w:gridSpan w:val="2"/>
          <w:tcMar>
            <w:left w:w="0" w:type="dxa"/>
            <w:right w:w="0" w:type="dxa"/>
          </w:tcMar>
        </w:tcPr>
        <w:p w:rsidR="006A00B3" w:rsidRDefault="00FD6A10" w:rsidP="00FD6A10">
          <w:pPr>
            <w:pStyle w:val="akpylatunniste"/>
          </w:pPr>
          <w:r>
            <w:rPr>
              <w:rStyle w:val="akptunniste"/>
            </w:rPr>
            <w:t xml:space="preserve"> </w:t>
          </w:r>
        </w:p>
      </w:tc>
    </w:tr>
    <w:tr w:rsidR="006A00B3" w:rsidTr="009270B6">
      <w:trPr>
        <w:trHeight w:val="369"/>
      </w:trPr>
      <w:tc>
        <w:tcPr>
          <w:tcW w:w="0" w:type="auto"/>
          <w:vMerge/>
          <w:tcMar>
            <w:left w:w="0" w:type="dxa"/>
            <w:right w:w="0" w:type="dxa"/>
          </w:tcMar>
          <w:vAlign w:val="center"/>
          <w:hideMark/>
        </w:tcPr>
        <w:p w:rsidR="006A00B3" w:rsidRDefault="006A00B3" w:rsidP="006A00B3">
          <w:pPr>
            <w:rPr>
              <w:rFonts w:ascii="Arial" w:hAnsi="Arial"/>
              <w:noProof/>
              <w:sz w:val="22"/>
              <w:szCs w:val="22"/>
            </w:rPr>
          </w:pPr>
        </w:p>
      </w:tc>
      <w:tc>
        <w:tcPr>
          <w:tcW w:w="2410" w:type="dxa"/>
          <w:tcMar>
            <w:left w:w="0" w:type="dxa"/>
            <w:right w:w="0" w:type="dxa"/>
          </w:tcMar>
          <w:vAlign w:val="center"/>
        </w:tcPr>
        <w:p w:rsidR="006A00B3" w:rsidRDefault="006A00B3" w:rsidP="006A00B3">
          <w:pPr>
            <w:pStyle w:val="akpylatunniste"/>
          </w:pPr>
        </w:p>
      </w:tc>
      <w:tc>
        <w:tcPr>
          <w:tcW w:w="1276" w:type="dxa"/>
          <w:tcMar>
            <w:left w:w="0" w:type="dxa"/>
            <w:right w:w="0" w:type="dxa"/>
          </w:tcMar>
          <w:vAlign w:val="center"/>
        </w:tcPr>
        <w:p w:rsidR="006A00B3" w:rsidRDefault="006A00B3" w:rsidP="00FD6A10">
          <w:pPr>
            <w:pStyle w:val="akpylatunniste"/>
          </w:pPr>
        </w:p>
      </w:tc>
      <w:tc>
        <w:tcPr>
          <w:tcW w:w="1275" w:type="dxa"/>
          <w:gridSpan w:val="2"/>
          <w:tcMar>
            <w:left w:w="0" w:type="dxa"/>
            <w:right w:w="0" w:type="dxa"/>
          </w:tcMar>
          <w:vAlign w:val="center"/>
        </w:tcPr>
        <w:p w:rsidR="006A00B3" w:rsidRDefault="006A00B3" w:rsidP="006A00B3">
          <w:pPr>
            <w:pStyle w:val="akpylatunniste"/>
          </w:pPr>
        </w:p>
      </w:tc>
    </w:tr>
    <w:tr w:rsidR="006A00B3" w:rsidTr="009270B6">
      <w:trPr>
        <w:trHeight w:val="369"/>
      </w:trPr>
      <w:tc>
        <w:tcPr>
          <w:tcW w:w="5245" w:type="dxa"/>
          <w:tcMar>
            <w:left w:w="0" w:type="dxa"/>
            <w:right w:w="0" w:type="dxa"/>
          </w:tcMar>
          <w:vAlign w:val="center"/>
        </w:tcPr>
        <w:p w:rsidR="006A00B3" w:rsidRPr="00FD6A10" w:rsidRDefault="00FD6A10" w:rsidP="006A00B3">
          <w:pPr>
            <w:pStyle w:val="akpylatunniste"/>
            <w:rPr>
              <w:b/>
            </w:rPr>
          </w:pPr>
          <w:r>
            <w:rPr>
              <w:b/>
            </w:rPr>
            <w:t>Demokratia- ja julkisoikeusosasto</w:t>
          </w:r>
        </w:p>
      </w:tc>
      <w:tc>
        <w:tcPr>
          <w:tcW w:w="2410" w:type="dxa"/>
          <w:tcMar>
            <w:left w:w="0" w:type="dxa"/>
            <w:right w:w="0" w:type="dxa"/>
          </w:tcMar>
          <w:vAlign w:val="center"/>
        </w:tcPr>
        <w:p w:rsidR="006A00B3" w:rsidRPr="00FD6A10" w:rsidRDefault="00FD6A10" w:rsidP="00FD6A10">
          <w:pPr>
            <w:pStyle w:val="akpylatunniste"/>
          </w:pPr>
          <w:r>
            <w:rPr>
              <w:rStyle w:val="akpatyyppi"/>
            </w:rPr>
            <w:t>Lausuntotiivistelmä</w:t>
          </w:r>
        </w:p>
      </w:tc>
      <w:tc>
        <w:tcPr>
          <w:tcW w:w="2268" w:type="dxa"/>
          <w:gridSpan w:val="2"/>
          <w:tcMar>
            <w:left w:w="0" w:type="dxa"/>
            <w:right w:w="0" w:type="dxa"/>
          </w:tcMar>
          <w:vAlign w:val="center"/>
        </w:tcPr>
        <w:p w:rsidR="006A00B3" w:rsidRDefault="00FD6A10" w:rsidP="006A00B3">
          <w:pPr>
            <w:pStyle w:val="akpylatunniste"/>
          </w:pPr>
          <w:r>
            <w:t xml:space="preserve"> </w:t>
          </w:r>
        </w:p>
      </w:tc>
      <w:tc>
        <w:tcPr>
          <w:tcW w:w="283" w:type="dxa"/>
          <w:tcMar>
            <w:left w:w="0" w:type="dxa"/>
            <w:right w:w="0" w:type="dxa"/>
          </w:tcMar>
          <w:vAlign w:val="center"/>
        </w:tcPr>
        <w:p w:rsidR="006A00B3" w:rsidRDefault="006A00B3" w:rsidP="006A00B3">
          <w:pPr>
            <w:pStyle w:val="akpylatunniste"/>
          </w:pPr>
        </w:p>
      </w:tc>
    </w:tr>
    <w:tr w:rsidR="006A00B3" w:rsidTr="009270B6">
      <w:trPr>
        <w:trHeight w:val="369"/>
      </w:trPr>
      <w:tc>
        <w:tcPr>
          <w:tcW w:w="5245" w:type="dxa"/>
          <w:tcMar>
            <w:left w:w="0" w:type="dxa"/>
            <w:right w:w="0" w:type="dxa"/>
          </w:tcMar>
          <w:vAlign w:val="center"/>
        </w:tcPr>
        <w:p w:rsidR="006A00B3" w:rsidRPr="00FD6A10" w:rsidRDefault="00FD6A10" w:rsidP="00FD6A10">
          <w:pPr>
            <w:pStyle w:val="akpyksikko"/>
            <w:rPr>
              <w:b/>
            </w:rPr>
          </w:pPr>
          <w:r>
            <w:rPr>
              <w:b/>
            </w:rPr>
            <w:t>Julkisoikeus</w:t>
          </w:r>
          <w:r w:rsidR="00D43C82">
            <w:rPr>
              <w:b/>
            </w:rPr>
            <w:t>yksikkö</w:t>
          </w:r>
        </w:p>
      </w:tc>
      <w:tc>
        <w:tcPr>
          <w:tcW w:w="2410" w:type="dxa"/>
          <w:tcMar>
            <w:left w:w="0" w:type="dxa"/>
            <w:right w:w="0" w:type="dxa"/>
          </w:tcMar>
          <w:vAlign w:val="center"/>
        </w:tcPr>
        <w:p w:rsidR="006A00B3" w:rsidRPr="00CA15B7" w:rsidRDefault="00FD6A10" w:rsidP="006A00B3">
          <w:pPr>
            <w:pStyle w:val="akpylatunniste"/>
          </w:pPr>
          <w:r>
            <w:t xml:space="preserve"> </w:t>
          </w:r>
        </w:p>
      </w:tc>
      <w:tc>
        <w:tcPr>
          <w:tcW w:w="2268" w:type="dxa"/>
          <w:gridSpan w:val="2"/>
          <w:tcMar>
            <w:left w:w="0" w:type="dxa"/>
            <w:right w:w="0" w:type="dxa"/>
          </w:tcMar>
          <w:vAlign w:val="center"/>
        </w:tcPr>
        <w:p w:rsidR="006A00B3" w:rsidRDefault="006A00B3" w:rsidP="006A00B3">
          <w:pPr>
            <w:pStyle w:val="akpylatunniste"/>
          </w:pPr>
        </w:p>
      </w:tc>
      <w:tc>
        <w:tcPr>
          <w:tcW w:w="283" w:type="dxa"/>
          <w:tcMar>
            <w:left w:w="0" w:type="dxa"/>
            <w:right w:w="0" w:type="dxa"/>
          </w:tcMar>
          <w:vAlign w:val="center"/>
        </w:tcPr>
        <w:p w:rsidR="006A00B3" w:rsidRDefault="006A00B3" w:rsidP="006A00B3">
          <w:pPr>
            <w:pStyle w:val="akpylatunniste"/>
          </w:pPr>
        </w:p>
      </w:tc>
    </w:tr>
    <w:tr w:rsidR="006A00B3" w:rsidTr="009270B6">
      <w:trPr>
        <w:trHeight w:val="369"/>
      </w:trPr>
      <w:tc>
        <w:tcPr>
          <w:tcW w:w="5245" w:type="dxa"/>
          <w:tcMar>
            <w:left w:w="0" w:type="dxa"/>
            <w:right w:w="0" w:type="dxa"/>
          </w:tcMar>
          <w:vAlign w:val="center"/>
        </w:tcPr>
        <w:p w:rsidR="006A00B3" w:rsidRDefault="00FD6A10" w:rsidP="00FD6A10">
          <w:pPr>
            <w:pStyle w:val="akpylatunniste"/>
          </w:pPr>
          <w:r>
            <w:rPr>
              <w:rStyle w:val="akplaatija"/>
            </w:rPr>
            <w:t xml:space="preserve"> </w:t>
          </w:r>
        </w:p>
      </w:tc>
      <w:tc>
        <w:tcPr>
          <w:tcW w:w="2410" w:type="dxa"/>
          <w:tcMar>
            <w:left w:w="0" w:type="dxa"/>
            <w:right w:w="0" w:type="dxa"/>
          </w:tcMar>
          <w:vAlign w:val="center"/>
        </w:tcPr>
        <w:p w:rsidR="006A00B3" w:rsidRDefault="00D43C82" w:rsidP="006A00B3">
          <w:pPr>
            <w:pStyle w:val="akpylatunniste"/>
          </w:pPr>
          <w:r>
            <w:rPr>
              <w:rStyle w:val="akppaivays"/>
            </w:rPr>
            <w:t>5</w:t>
          </w:r>
          <w:r w:rsidR="00FD6A10">
            <w:rPr>
              <w:rStyle w:val="akppaivays"/>
            </w:rPr>
            <w:t>.2.2020</w:t>
          </w:r>
        </w:p>
      </w:tc>
      <w:tc>
        <w:tcPr>
          <w:tcW w:w="2268" w:type="dxa"/>
          <w:gridSpan w:val="2"/>
          <w:tcMar>
            <w:left w:w="0" w:type="dxa"/>
            <w:right w:w="0" w:type="dxa"/>
          </w:tcMar>
          <w:vAlign w:val="center"/>
        </w:tcPr>
        <w:p w:rsidR="006A00B3" w:rsidRDefault="006A00B3" w:rsidP="006A00B3">
          <w:pPr>
            <w:pStyle w:val="akpylatunniste"/>
          </w:pPr>
        </w:p>
      </w:tc>
      <w:tc>
        <w:tcPr>
          <w:tcW w:w="283" w:type="dxa"/>
          <w:tcMar>
            <w:left w:w="0" w:type="dxa"/>
            <w:right w:w="0" w:type="dxa"/>
          </w:tcMar>
          <w:vAlign w:val="center"/>
        </w:tcPr>
        <w:p w:rsidR="006A00B3" w:rsidRDefault="006A00B3" w:rsidP="006A00B3">
          <w:pPr>
            <w:pStyle w:val="akpylatunniste"/>
          </w:pPr>
        </w:p>
      </w:tc>
    </w:tr>
  </w:tbl>
  <w:p w:rsidR="00A60D8D" w:rsidRDefault="00A60D8D">
    <w:pPr>
      <w:pStyle w:val="Yltunniste"/>
    </w:pPr>
  </w:p>
  <w:p w:rsidR="00A60D8D" w:rsidRDefault="00A60D8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15:restartNumberingAfterBreak="0">
    <w:nsid w:val="01001410"/>
    <w:multiLevelType w:val="hybridMultilevel"/>
    <w:tmpl w:val="555AE5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3" w15:restartNumberingAfterBreak="0">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4" w15:restartNumberingAfterBreak="0">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5" w15:restartNumberingAfterBreak="0">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6" w15:restartNumberingAfterBreak="0">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15:restartNumberingAfterBreak="0">
    <w:nsid w:val="4DFE49F8"/>
    <w:multiLevelType w:val="hybridMultilevel"/>
    <w:tmpl w:val="DAFEBBC0"/>
    <w:lvl w:ilvl="0" w:tplc="3AEA724E">
      <w:start w:val="1"/>
      <w:numFmt w:val="bullet"/>
      <w:pStyle w:val="Luettelooikeusministerio"/>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4"/>
  </w:num>
  <w:num w:numId="2">
    <w:abstractNumId w:val="3"/>
  </w:num>
  <w:num w:numId="3">
    <w:abstractNumId w:val="8"/>
  </w:num>
  <w:num w:numId="4">
    <w:abstractNumId w:val="2"/>
  </w:num>
  <w:num w:numId="5">
    <w:abstractNumId w:val="6"/>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10"/>
    <w:rsid w:val="000103EA"/>
    <w:rsid w:val="000105AB"/>
    <w:rsid w:val="00012EC7"/>
    <w:rsid w:val="000137DA"/>
    <w:rsid w:val="00026BEC"/>
    <w:rsid w:val="000306FF"/>
    <w:rsid w:val="0003277B"/>
    <w:rsid w:val="000358D2"/>
    <w:rsid w:val="00035C48"/>
    <w:rsid w:val="000419C5"/>
    <w:rsid w:val="00042F66"/>
    <w:rsid w:val="0004308F"/>
    <w:rsid w:val="00045602"/>
    <w:rsid w:val="00053C23"/>
    <w:rsid w:val="00053CD9"/>
    <w:rsid w:val="000576AA"/>
    <w:rsid w:val="00057F55"/>
    <w:rsid w:val="000618A4"/>
    <w:rsid w:val="00063A52"/>
    <w:rsid w:val="00064AD4"/>
    <w:rsid w:val="0006660B"/>
    <w:rsid w:val="000674E7"/>
    <w:rsid w:val="0007151C"/>
    <w:rsid w:val="0008094E"/>
    <w:rsid w:val="00081C6A"/>
    <w:rsid w:val="00084A49"/>
    <w:rsid w:val="00086985"/>
    <w:rsid w:val="00090AD0"/>
    <w:rsid w:val="00096C88"/>
    <w:rsid w:val="000A04FB"/>
    <w:rsid w:val="000A2229"/>
    <w:rsid w:val="000A65C7"/>
    <w:rsid w:val="000B3CF9"/>
    <w:rsid w:val="000B44F9"/>
    <w:rsid w:val="000B6E76"/>
    <w:rsid w:val="000B7460"/>
    <w:rsid w:val="000C0234"/>
    <w:rsid w:val="000C48DA"/>
    <w:rsid w:val="000C7F3C"/>
    <w:rsid w:val="000C7FE9"/>
    <w:rsid w:val="000D1871"/>
    <w:rsid w:val="000D3254"/>
    <w:rsid w:val="000D3725"/>
    <w:rsid w:val="000D3A1E"/>
    <w:rsid w:val="000D4252"/>
    <w:rsid w:val="000D4961"/>
    <w:rsid w:val="000E1FAB"/>
    <w:rsid w:val="000E4DDC"/>
    <w:rsid w:val="000E7DA1"/>
    <w:rsid w:val="000F6F05"/>
    <w:rsid w:val="00102B71"/>
    <w:rsid w:val="001031FE"/>
    <w:rsid w:val="00103367"/>
    <w:rsid w:val="001060CE"/>
    <w:rsid w:val="001107BE"/>
    <w:rsid w:val="00111590"/>
    <w:rsid w:val="00123F09"/>
    <w:rsid w:val="001240E3"/>
    <w:rsid w:val="00124528"/>
    <w:rsid w:val="0013762E"/>
    <w:rsid w:val="00143CC8"/>
    <w:rsid w:val="00145CEF"/>
    <w:rsid w:val="00151DB3"/>
    <w:rsid w:val="0015510E"/>
    <w:rsid w:val="001627E8"/>
    <w:rsid w:val="0016490F"/>
    <w:rsid w:val="0017385E"/>
    <w:rsid w:val="0018063E"/>
    <w:rsid w:val="00181A6F"/>
    <w:rsid w:val="00186AD1"/>
    <w:rsid w:val="0019087C"/>
    <w:rsid w:val="0019220C"/>
    <w:rsid w:val="00192F8D"/>
    <w:rsid w:val="00195C17"/>
    <w:rsid w:val="00196E84"/>
    <w:rsid w:val="001A16EF"/>
    <w:rsid w:val="001A4995"/>
    <w:rsid w:val="001C1B5E"/>
    <w:rsid w:val="001C4553"/>
    <w:rsid w:val="001C5B92"/>
    <w:rsid w:val="001C75E3"/>
    <w:rsid w:val="001D02B3"/>
    <w:rsid w:val="001D3368"/>
    <w:rsid w:val="001D60CA"/>
    <w:rsid w:val="001D6795"/>
    <w:rsid w:val="001D679B"/>
    <w:rsid w:val="001E798D"/>
    <w:rsid w:val="001E7E54"/>
    <w:rsid w:val="001F3280"/>
    <w:rsid w:val="001F50B1"/>
    <w:rsid w:val="00202DD7"/>
    <w:rsid w:val="00203F9E"/>
    <w:rsid w:val="00212836"/>
    <w:rsid w:val="00220BF5"/>
    <w:rsid w:val="00226FA5"/>
    <w:rsid w:val="00232F56"/>
    <w:rsid w:val="00235D01"/>
    <w:rsid w:val="00236E93"/>
    <w:rsid w:val="0024248C"/>
    <w:rsid w:val="002465C1"/>
    <w:rsid w:val="00246A9A"/>
    <w:rsid w:val="00250AAC"/>
    <w:rsid w:val="00250BC8"/>
    <w:rsid w:val="00256963"/>
    <w:rsid w:val="0026784D"/>
    <w:rsid w:val="0027294E"/>
    <w:rsid w:val="00273116"/>
    <w:rsid w:val="00273C54"/>
    <w:rsid w:val="00275BAA"/>
    <w:rsid w:val="00285B02"/>
    <w:rsid w:val="00286811"/>
    <w:rsid w:val="00292824"/>
    <w:rsid w:val="0029318E"/>
    <w:rsid w:val="002933B3"/>
    <w:rsid w:val="00294566"/>
    <w:rsid w:val="002962BC"/>
    <w:rsid w:val="002965A8"/>
    <w:rsid w:val="002A3274"/>
    <w:rsid w:val="002A39CB"/>
    <w:rsid w:val="002A4C74"/>
    <w:rsid w:val="002A74F8"/>
    <w:rsid w:val="002A766A"/>
    <w:rsid w:val="002B1406"/>
    <w:rsid w:val="002B5319"/>
    <w:rsid w:val="002B5677"/>
    <w:rsid w:val="002B6185"/>
    <w:rsid w:val="002B75A1"/>
    <w:rsid w:val="002D1B14"/>
    <w:rsid w:val="002D44AE"/>
    <w:rsid w:val="002E0672"/>
    <w:rsid w:val="002E2490"/>
    <w:rsid w:val="002F152B"/>
    <w:rsid w:val="002F30B8"/>
    <w:rsid w:val="002F519A"/>
    <w:rsid w:val="002F7343"/>
    <w:rsid w:val="0030059D"/>
    <w:rsid w:val="003023CB"/>
    <w:rsid w:val="003025A0"/>
    <w:rsid w:val="00302B29"/>
    <w:rsid w:val="0030477B"/>
    <w:rsid w:val="00311224"/>
    <w:rsid w:val="00311C09"/>
    <w:rsid w:val="00320834"/>
    <w:rsid w:val="00332E1F"/>
    <w:rsid w:val="00332E4D"/>
    <w:rsid w:val="00333F8D"/>
    <w:rsid w:val="00336FB7"/>
    <w:rsid w:val="00343C94"/>
    <w:rsid w:val="00346B5F"/>
    <w:rsid w:val="00347BD9"/>
    <w:rsid w:val="003509F5"/>
    <w:rsid w:val="003521D7"/>
    <w:rsid w:val="00353BE5"/>
    <w:rsid w:val="0035730C"/>
    <w:rsid w:val="00360D71"/>
    <w:rsid w:val="00361C1C"/>
    <w:rsid w:val="00366CF3"/>
    <w:rsid w:val="003671BA"/>
    <w:rsid w:val="0037214B"/>
    <w:rsid w:val="003737D2"/>
    <w:rsid w:val="00377171"/>
    <w:rsid w:val="00377BFC"/>
    <w:rsid w:val="00377E10"/>
    <w:rsid w:val="00386E57"/>
    <w:rsid w:val="00394B36"/>
    <w:rsid w:val="00394D2A"/>
    <w:rsid w:val="00394D4B"/>
    <w:rsid w:val="00396839"/>
    <w:rsid w:val="003A572B"/>
    <w:rsid w:val="003A7DD3"/>
    <w:rsid w:val="003B2856"/>
    <w:rsid w:val="003C7C28"/>
    <w:rsid w:val="003D16BD"/>
    <w:rsid w:val="003E35C6"/>
    <w:rsid w:val="003E47A4"/>
    <w:rsid w:val="003E611E"/>
    <w:rsid w:val="003E6937"/>
    <w:rsid w:val="003F0AEF"/>
    <w:rsid w:val="003F2843"/>
    <w:rsid w:val="003F3458"/>
    <w:rsid w:val="003F3A6C"/>
    <w:rsid w:val="003F571B"/>
    <w:rsid w:val="003F61D9"/>
    <w:rsid w:val="004023C3"/>
    <w:rsid w:val="00410BD7"/>
    <w:rsid w:val="00413D92"/>
    <w:rsid w:val="0041446C"/>
    <w:rsid w:val="00415964"/>
    <w:rsid w:val="00415B6C"/>
    <w:rsid w:val="00417382"/>
    <w:rsid w:val="00421709"/>
    <w:rsid w:val="004235A1"/>
    <w:rsid w:val="004241A5"/>
    <w:rsid w:val="0042494B"/>
    <w:rsid w:val="00432218"/>
    <w:rsid w:val="004363F2"/>
    <w:rsid w:val="00441D89"/>
    <w:rsid w:val="0044670A"/>
    <w:rsid w:val="00450E93"/>
    <w:rsid w:val="0045504D"/>
    <w:rsid w:val="00457571"/>
    <w:rsid w:val="004611FF"/>
    <w:rsid w:val="00463C8E"/>
    <w:rsid w:val="00472085"/>
    <w:rsid w:val="004721B2"/>
    <w:rsid w:val="00472F06"/>
    <w:rsid w:val="0047568F"/>
    <w:rsid w:val="004757F6"/>
    <w:rsid w:val="00476DCA"/>
    <w:rsid w:val="00477F9E"/>
    <w:rsid w:val="00481035"/>
    <w:rsid w:val="00481319"/>
    <w:rsid w:val="0048319D"/>
    <w:rsid w:val="00483C2E"/>
    <w:rsid w:val="0049044B"/>
    <w:rsid w:val="00491171"/>
    <w:rsid w:val="004917D2"/>
    <w:rsid w:val="00492A83"/>
    <w:rsid w:val="00493A8B"/>
    <w:rsid w:val="004A0F92"/>
    <w:rsid w:val="004A72DA"/>
    <w:rsid w:val="004B05F8"/>
    <w:rsid w:val="004B0C7B"/>
    <w:rsid w:val="004B4BE9"/>
    <w:rsid w:val="004B6100"/>
    <w:rsid w:val="004B7279"/>
    <w:rsid w:val="004C0D40"/>
    <w:rsid w:val="004C47C4"/>
    <w:rsid w:val="004C5DA5"/>
    <w:rsid w:val="004C6883"/>
    <w:rsid w:val="004D0304"/>
    <w:rsid w:val="004D3ED2"/>
    <w:rsid w:val="004E04B3"/>
    <w:rsid w:val="004E4717"/>
    <w:rsid w:val="004F5C8E"/>
    <w:rsid w:val="004F61DD"/>
    <w:rsid w:val="004F7350"/>
    <w:rsid w:val="005003CC"/>
    <w:rsid w:val="00501D4C"/>
    <w:rsid w:val="005051DE"/>
    <w:rsid w:val="00510AA0"/>
    <w:rsid w:val="0051176D"/>
    <w:rsid w:val="005117F6"/>
    <w:rsid w:val="0051420C"/>
    <w:rsid w:val="00515F40"/>
    <w:rsid w:val="00520980"/>
    <w:rsid w:val="00522E93"/>
    <w:rsid w:val="00524AFE"/>
    <w:rsid w:val="005268C7"/>
    <w:rsid w:val="005328AB"/>
    <w:rsid w:val="00534C75"/>
    <w:rsid w:val="00537379"/>
    <w:rsid w:val="00537B82"/>
    <w:rsid w:val="00541832"/>
    <w:rsid w:val="00542DCE"/>
    <w:rsid w:val="00543747"/>
    <w:rsid w:val="005452C8"/>
    <w:rsid w:val="00550B8A"/>
    <w:rsid w:val="00552FC6"/>
    <w:rsid w:val="0055342B"/>
    <w:rsid w:val="00554B56"/>
    <w:rsid w:val="00557300"/>
    <w:rsid w:val="00561AD8"/>
    <w:rsid w:val="00562A2B"/>
    <w:rsid w:val="00562F86"/>
    <w:rsid w:val="00564E43"/>
    <w:rsid w:val="00570D2D"/>
    <w:rsid w:val="00572579"/>
    <w:rsid w:val="00572E6D"/>
    <w:rsid w:val="00573FAB"/>
    <w:rsid w:val="00574A58"/>
    <w:rsid w:val="00575C0E"/>
    <w:rsid w:val="00581F16"/>
    <w:rsid w:val="00583D06"/>
    <w:rsid w:val="00586BB9"/>
    <w:rsid w:val="00590195"/>
    <w:rsid w:val="00592D7C"/>
    <w:rsid w:val="005944AE"/>
    <w:rsid w:val="005959F1"/>
    <w:rsid w:val="00596678"/>
    <w:rsid w:val="005A0532"/>
    <w:rsid w:val="005A1D73"/>
    <w:rsid w:val="005A3202"/>
    <w:rsid w:val="005A7F1D"/>
    <w:rsid w:val="005B0194"/>
    <w:rsid w:val="005C13A3"/>
    <w:rsid w:val="005C2E38"/>
    <w:rsid w:val="005C38D9"/>
    <w:rsid w:val="005C463C"/>
    <w:rsid w:val="005E1AA3"/>
    <w:rsid w:val="005E76F5"/>
    <w:rsid w:val="005F17E1"/>
    <w:rsid w:val="005F19BC"/>
    <w:rsid w:val="005F4128"/>
    <w:rsid w:val="005F5537"/>
    <w:rsid w:val="005F5B39"/>
    <w:rsid w:val="00603BFC"/>
    <w:rsid w:val="00613AE4"/>
    <w:rsid w:val="00616F08"/>
    <w:rsid w:val="0062012B"/>
    <w:rsid w:val="00621DC3"/>
    <w:rsid w:val="00621EDD"/>
    <w:rsid w:val="006236B1"/>
    <w:rsid w:val="00625AF8"/>
    <w:rsid w:val="00626985"/>
    <w:rsid w:val="00630003"/>
    <w:rsid w:val="00635D9F"/>
    <w:rsid w:val="00636A61"/>
    <w:rsid w:val="00637912"/>
    <w:rsid w:val="0064008B"/>
    <w:rsid w:val="00644DA4"/>
    <w:rsid w:val="00650DAC"/>
    <w:rsid w:val="0065209B"/>
    <w:rsid w:val="00661727"/>
    <w:rsid w:val="00662A04"/>
    <w:rsid w:val="006715AA"/>
    <w:rsid w:val="00672122"/>
    <w:rsid w:val="006742FB"/>
    <w:rsid w:val="00675972"/>
    <w:rsid w:val="00676842"/>
    <w:rsid w:val="00686305"/>
    <w:rsid w:val="006874CC"/>
    <w:rsid w:val="00687FF9"/>
    <w:rsid w:val="00693BE2"/>
    <w:rsid w:val="006965EC"/>
    <w:rsid w:val="00696750"/>
    <w:rsid w:val="006A00B3"/>
    <w:rsid w:val="006A0397"/>
    <w:rsid w:val="006A3491"/>
    <w:rsid w:val="006A6E18"/>
    <w:rsid w:val="006A7127"/>
    <w:rsid w:val="006B1CC4"/>
    <w:rsid w:val="006B53AA"/>
    <w:rsid w:val="006C2740"/>
    <w:rsid w:val="006D751D"/>
    <w:rsid w:val="006D7622"/>
    <w:rsid w:val="006E0973"/>
    <w:rsid w:val="006E09DA"/>
    <w:rsid w:val="006E1F4F"/>
    <w:rsid w:val="006F5C49"/>
    <w:rsid w:val="006F5E76"/>
    <w:rsid w:val="006F7119"/>
    <w:rsid w:val="006F7E1F"/>
    <w:rsid w:val="0070160F"/>
    <w:rsid w:val="00702ACB"/>
    <w:rsid w:val="00703F98"/>
    <w:rsid w:val="0070721A"/>
    <w:rsid w:val="007111DC"/>
    <w:rsid w:val="00713416"/>
    <w:rsid w:val="00715B14"/>
    <w:rsid w:val="00716EE5"/>
    <w:rsid w:val="00722459"/>
    <w:rsid w:val="00726155"/>
    <w:rsid w:val="00735580"/>
    <w:rsid w:val="00736249"/>
    <w:rsid w:val="00737CAC"/>
    <w:rsid w:val="00741E40"/>
    <w:rsid w:val="007442F1"/>
    <w:rsid w:val="007459EF"/>
    <w:rsid w:val="00746A03"/>
    <w:rsid w:val="007631CB"/>
    <w:rsid w:val="007645D1"/>
    <w:rsid w:val="0076520F"/>
    <w:rsid w:val="007677DE"/>
    <w:rsid w:val="00771038"/>
    <w:rsid w:val="00774A2B"/>
    <w:rsid w:val="0078041C"/>
    <w:rsid w:val="0078430E"/>
    <w:rsid w:val="00786DAC"/>
    <w:rsid w:val="007A0C10"/>
    <w:rsid w:val="007A6CE0"/>
    <w:rsid w:val="007B12B6"/>
    <w:rsid w:val="007B4E19"/>
    <w:rsid w:val="007B5BFB"/>
    <w:rsid w:val="007B65B0"/>
    <w:rsid w:val="007C085A"/>
    <w:rsid w:val="007C2CFE"/>
    <w:rsid w:val="007C4129"/>
    <w:rsid w:val="007C50C2"/>
    <w:rsid w:val="007C5288"/>
    <w:rsid w:val="007C57E2"/>
    <w:rsid w:val="007C5814"/>
    <w:rsid w:val="007C6BED"/>
    <w:rsid w:val="007D0F6A"/>
    <w:rsid w:val="007D2013"/>
    <w:rsid w:val="007D6635"/>
    <w:rsid w:val="007E4E23"/>
    <w:rsid w:val="007E4F71"/>
    <w:rsid w:val="007E6EE4"/>
    <w:rsid w:val="007E74CC"/>
    <w:rsid w:val="007F01D4"/>
    <w:rsid w:val="007F49A7"/>
    <w:rsid w:val="007F4C2F"/>
    <w:rsid w:val="00801AC5"/>
    <w:rsid w:val="008024C5"/>
    <w:rsid w:val="00804D3C"/>
    <w:rsid w:val="0080534D"/>
    <w:rsid w:val="0080745C"/>
    <w:rsid w:val="00815EB3"/>
    <w:rsid w:val="00822B5F"/>
    <w:rsid w:val="00834160"/>
    <w:rsid w:val="0084045F"/>
    <w:rsid w:val="00845053"/>
    <w:rsid w:val="0084598F"/>
    <w:rsid w:val="0085101E"/>
    <w:rsid w:val="00853C03"/>
    <w:rsid w:val="00854ADA"/>
    <w:rsid w:val="00857414"/>
    <w:rsid w:val="00860ECB"/>
    <w:rsid w:val="0087266A"/>
    <w:rsid w:val="008738E6"/>
    <w:rsid w:val="00875A5B"/>
    <w:rsid w:val="00880D7D"/>
    <w:rsid w:val="00885278"/>
    <w:rsid w:val="00885817"/>
    <w:rsid w:val="00890447"/>
    <w:rsid w:val="0089327D"/>
    <w:rsid w:val="008940D6"/>
    <w:rsid w:val="00894C4F"/>
    <w:rsid w:val="00894D6C"/>
    <w:rsid w:val="008A346D"/>
    <w:rsid w:val="008A5D81"/>
    <w:rsid w:val="008A5F0E"/>
    <w:rsid w:val="008B6D76"/>
    <w:rsid w:val="008C0794"/>
    <w:rsid w:val="008C189C"/>
    <w:rsid w:val="008C2BED"/>
    <w:rsid w:val="008C3E55"/>
    <w:rsid w:val="008D0169"/>
    <w:rsid w:val="008D33EF"/>
    <w:rsid w:val="008D4A08"/>
    <w:rsid w:val="008D65E0"/>
    <w:rsid w:val="008D77EF"/>
    <w:rsid w:val="008E0422"/>
    <w:rsid w:val="008E1283"/>
    <w:rsid w:val="008E3342"/>
    <w:rsid w:val="008E4D6F"/>
    <w:rsid w:val="008E6F40"/>
    <w:rsid w:val="008F1DCA"/>
    <w:rsid w:val="008F491C"/>
    <w:rsid w:val="008F4AEB"/>
    <w:rsid w:val="008F69BF"/>
    <w:rsid w:val="00911D0E"/>
    <w:rsid w:val="009164C8"/>
    <w:rsid w:val="00917EAD"/>
    <w:rsid w:val="00922CF8"/>
    <w:rsid w:val="009237F5"/>
    <w:rsid w:val="00924B2A"/>
    <w:rsid w:val="00926123"/>
    <w:rsid w:val="009270B6"/>
    <w:rsid w:val="00932219"/>
    <w:rsid w:val="0093410E"/>
    <w:rsid w:val="00942D59"/>
    <w:rsid w:val="009434EB"/>
    <w:rsid w:val="00943F34"/>
    <w:rsid w:val="00945F79"/>
    <w:rsid w:val="009471CC"/>
    <w:rsid w:val="00950AA9"/>
    <w:rsid w:val="00960C4E"/>
    <w:rsid w:val="009644D4"/>
    <w:rsid w:val="009667F9"/>
    <w:rsid w:val="00992877"/>
    <w:rsid w:val="00994102"/>
    <w:rsid w:val="00995601"/>
    <w:rsid w:val="009A27B9"/>
    <w:rsid w:val="009A4A2B"/>
    <w:rsid w:val="009A4F7A"/>
    <w:rsid w:val="009A7733"/>
    <w:rsid w:val="009B04E6"/>
    <w:rsid w:val="009B2915"/>
    <w:rsid w:val="009B2A3E"/>
    <w:rsid w:val="009C06B3"/>
    <w:rsid w:val="009C62B9"/>
    <w:rsid w:val="009C698D"/>
    <w:rsid w:val="009D00A8"/>
    <w:rsid w:val="009E60EA"/>
    <w:rsid w:val="009E6EEE"/>
    <w:rsid w:val="00A00BAD"/>
    <w:rsid w:val="00A0136D"/>
    <w:rsid w:val="00A02446"/>
    <w:rsid w:val="00A0344C"/>
    <w:rsid w:val="00A04943"/>
    <w:rsid w:val="00A05680"/>
    <w:rsid w:val="00A063F8"/>
    <w:rsid w:val="00A10B8F"/>
    <w:rsid w:val="00A17828"/>
    <w:rsid w:val="00A25A76"/>
    <w:rsid w:val="00A25AF4"/>
    <w:rsid w:val="00A36E0D"/>
    <w:rsid w:val="00A401C7"/>
    <w:rsid w:val="00A40A4F"/>
    <w:rsid w:val="00A4442A"/>
    <w:rsid w:val="00A52C5C"/>
    <w:rsid w:val="00A52E6C"/>
    <w:rsid w:val="00A53D3B"/>
    <w:rsid w:val="00A557FD"/>
    <w:rsid w:val="00A55C07"/>
    <w:rsid w:val="00A60D8D"/>
    <w:rsid w:val="00A641C2"/>
    <w:rsid w:val="00A70EA8"/>
    <w:rsid w:val="00A72816"/>
    <w:rsid w:val="00A73975"/>
    <w:rsid w:val="00A8063A"/>
    <w:rsid w:val="00A82011"/>
    <w:rsid w:val="00A86597"/>
    <w:rsid w:val="00A8784C"/>
    <w:rsid w:val="00A907F8"/>
    <w:rsid w:val="00A9657D"/>
    <w:rsid w:val="00AA2D7C"/>
    <w:rsid w:val="00AA4A89"/>
    <w:rsid w:val="00AA5DED"/>
    <w:rsid w:val="00AA5ED9"/>
    <w:rsid w:val="00AA7E93"/>
    <w:rsid w:val="00AB5DB5"/>
    <w:rsid w:val="00AD52CB"/>
    <w:rsid w:val="00AE23B4"/>
    <w:rsid w:val="00AE59C0"/>
    <w:rsid w:val="00AF0CCB"/>
    <w:rsid w:val="00AF2D45"/>
    <w:rsid w:val="00AF3334"/>
    <w:rsid w:val="00B0091E"/>
    <w:rsid w:val="00B03BD3"/>
    <w:rsid w:val="00B04D2A"/>
    <w:rsid w:val="00B056BA"/>
    <w:rsid w:val="00B0693C"/>
    <w:rsid w:val="00B07FC9"/>
    <w:rsid w:val="00B1329F"/>
    <w:rsid w:val="00B1533C"/>
    <w:rsid w:val="00B15A2E"/>
    <w:rsid w:val="00B24556"/>
    <w:rsid w:val="00B24DA5"/>
    <w:rsid w:val="00B26C89"/>
    <w:rsid w:val="00B34FF8"/>
    <w:rsid w:val="00B37BF8"/>
    <w:rsid w:val="00B412F6"/>
    <w:rsid w:val="00B4160F"/>
    <w:rsid w:val="00B502A6"/>
    <w:rsid w:val="00B57688"/>
    <w:rsid w:val="00B61E47"/>
    <w:rsid w:val="00B67D31"/>
    <w:rsid w:val="00B702E4"/>
    <w:rsid w:val="00B70D63"/>
    <w:rsid w:val="00B76C2F"/>
    <w:rsid w:val="00B76CF4"/>
    <w:rsid w:val="00B9197D"/>
    <w:rsid w:val="00BA004B"/>
    <w:rsid w:val="00BA09B4"/>
    <w:rsid w:val="00BA3C65"/>
    <w:rsid w:val="00BA56D8"/>
    <w:rsid w:val="00BA57AE"/>
    <w:rsid w:val="00BA7766"/>
    <w:rsid w:val="00BB0A35"/>
    <w:rsid w:val="00BB7875"/>
    <w:rsid w:val="00BC358F"/>
    <w:rsid w:val="00BD2B84"/>
    <w:rsid w:val="00BD634C"/>
    <w:rsid w:val="00BE287E"/>
    <w:rsid w:val="00BE592B"/>
    <w:rsid w:val="00BF585F"/>
    <w:rsid w:val="00BF7147"/>
    <w:rsid w:val="00BF7971"/>
    <w:rsid w:val="00BF7EE5"/>
    <w:rsid w:val="00C14819"/>
    <w:rsid w:val="00C16FDE"/>
    <w:rsid w:val="00C219EE"/>
    <w:rsid w:val="00C23534"/>
    <w:rsid w:val="00C30ED4"/>
    <w:rsid w:val="00C337E8"/>
    <w:rsid w:val="00C36873"/>
    <w:rsid w:val="00C439A8"/>
    <w:rsid w:val="00C513DC"/>
    <w:rsid w:val="00C56344"/>
    <w:rsid w:val="00C56544"/>
    <w:rsid w:val="00C56B3F"/>
    <w:rsid w:val="00C64FC9"/>
    <w:rsid w:val="00C71CB6"/>
    <w:rsid w:val="00C8363A"/>
    <w:rsid w:val="00C83CA6"/>
    <w:rsid w:val="00C8497D"/>
    <w:rsid w:val="00C8708E"/>
    <w:rsid w:val="00C92DA0"/>
    <w:rsid w:val="00C95F03"/>
    <w:rsid w:val="00C9639E"/>
    <w:rsid w:val="00C97829"/>
    <w:rsid w:val="00CA15B7"/>
    <w:rsid w:val="00CA20ED"/>
    <w:rsid w:val="00CA7F99"/>
    <w:rsid w:val="00CB0760"/>
    <w:rsid w:val="00CB1EAB"/>
    <w:rsid w:val="00CB2C7B"/>
    <w:rsid w:val="00CB380D"/>
    <w:rsid w:val="00CB7DB4"/>
    <w:rsid w:val="00CC17FA"/>
    <w:rsid w:val="00CC2D99"/>
    <w:rsid w:val="00CC424A"/>
    <w:rsid w:val="00CC74DD"/>
    <w:rsid w:val="00CD0172"/>
    <w:rsid w:val="00CD2313"/>
    <w:rsid w:val="00CD6719"/>
    <w:rsid w:val="00CE0DA4"/>
    <w:rsid w:val="00CE1940"/>
    <w:rsid w:val="00CF0948"/>
    <w:rsid w:val="00CF14EF"/>
    <w:rsid w:val="00CF4711"/>
    <w:rsid w:val="00CF68DA"/>
    <w:rsid w:val="00CF76BF"/>
    <w:rsid w:val="00D015D3"/>
    <w:rsid w:val="00D046BF"/>
    <w:rsid w:val="00D05BDD"/>
    <w:rsid w:val="00D06661"/>
    <w:rsid w:val="00D173BA"/>
    <w:rsid w:val="00D26D27"/>
    <w:rsid w:val="00D31D00"/>
    <w:rsid w:val="00D37267"/>
    <w:rsid w:val="00D43C82"/>
    <w:rsid w:val="00D45669"/>
    <w:rsid w:val="00D45F14"/>
    <w:rsid w:val="00D477D2"/>
    <w:rsid w:val="00D52006"/>
    <w:rsid w:val="00D52293"/>
    <w:rsid w:val="00D52C95"/>
    <w:rsid w:val="00D5595C"/>
    <w:rsid w:val="00D60531"/>
    <w:rsid w:val="00D60D90"/>
    <w:rsid w:val="00D62CE2"/>
    <w:rsid w:val="00D62FDF"/>
    <w:rsid w:val="00D63129"/>
    <w:rsid w:val="00D63441"/>
    <w:rsid w:val="00D6357C"/>
    <w:rsid w:val="00D638ED"/>
    <w:rsid w:val="00D64F1F"/>
    <w:rsid w:val="00D72114"/>
    <w:rsid w:val="00D771DB"/>
    <w:rsid w:val="00D772E6"/>
    <w:rsid w:val="00D832F8"/>
    <w:rsid w:val="00D853F1"/>
    <w:rsid w:val="00D868F7"/>
    <w:rsid w:val="00D87657"/>
    <w:rsid w:val="00D8779F"/>
    <w:rsid w:val="00D91DAC"/>
    <w:rsid w:val="00D95DDA"/>
    <w:rsid w:val="00D9624F"/>
    <w:rsid w:val="00DA0B00"/>
    <w:rsid w:val="00DA40B9"/>
    <w:rsid w:val="00DA514E"/>
    <w:rsid w:val="00DA79CB"/>
    <w:rsid w:val="00DB0FF7"/>
    <w:rsid w:val="00DB2ABB"/>
    <w:rsid w:val="00DB4895"/>
    <w:rsid w:val="00DB611D"/>
    <w:rsid w:val="00DC0E80"/>
    <w:rsid w:val="00DC1626"/>
    <w:rsid w:val="00DC34F7"/>
    <w:rsid w:val="00DC38A5"/>
    <w:rsid w:val="00DC47E8"/>
    <w:rsid w:val="00DC5075"/>
    <w:rsid w:val="00DC55DD"/>
    <w:rsid w:val="00DD0535"/>
    <w:rsid w:val="00DD4BE3"/>
    <w:rsid w:val="00DD7806"/>
    <w:rsid w:val="00DD7C2B"/>
    <w:rsid w:val="00DF5E29"/>
    <w:rsid w:val="00E020D3"/>
    <w:rsid w:val="00E02F37"/>
    <w:rsid w:val="00E140FD"/>
    <w:rsid w:val="00E177C7"/>
    <w:rsid w:val="00E21093"/>
    <w:rsid w:val="00E23D6E"/>
    <w:rsid w:val="00E242A0"/>
    <w:rsid w:val="00E30342"/>
    <w:rsid w:val="00E3536E"/>
    <w:rsid w:val="00E37EF7"/>
    <w:rsid w:val="00E447BA"/>
    <w:rsid w:val="00E4597F"/>
    <w:rsid w:val="00E45D67"/>
    <w:rsid w:val="00E5339A"/>
    <w:rsid w:val="00E5375D"/>
    <w:rsid w:val="00E558A8"/>
    <w:rsid w:val="00E601D3"/>
    <w:rsid w:val="00E73024"/>
    <w:rsid w:val="00E75CC4"/>
    <w:rsid w:val="00E77F90"/>
    <w:rsid w:val="00E80504"/>
    <w:rsid w:val="00E81409"/>
    <w:rsid w:val="00E93278"/>
    <w:rsid w:val="00E94AFF"/>
    <w:rsid w:val="00E9526F"/>
    <w:rsid w:val="00EA0538"/>
    <w:rsid w:val="00EA0E82"/>
    <w:rsid w:val="00EA205E"/>
    <w:rsid w:val="00EA20B1"/>
    <w:rsid w:val="00EA22DC"/>
    <w:rsid w:val="00EA23C7"/>
    <w:rsid w:val="00EA3959"/>
    <w:rsid w:val="00EA4337"/>
    <w:rsid w:val="00EA74B5"/>
    <w:rsid w:val="00EB1545"/>
    <w:rsid w:val="00EB229A"/>
    <w:rsid w:val="00EB3799"/>
    <w:rsid w:val="00EB3C42"/>
    <w:rsid w:val="00EB41B2"/>
    <w:rsid w:val="00EB4699"/>
    <w:rsid w:val="00EB53BB"/>
    <w:rsid w:val="00EB6759"/>
    <w:rsid w:val="00EC1593"/>
    <w:rsid w:val="00EC2A2D"/>
    <w:rsid w:val="00EC4E61"/>
    <w:rsid w:val="00ED1A96"/>
    <w:rsid w:val="00ED2067"/>
    <w:rsid w:val="00ED3C9B"/>
    <w:rsid w:val="00ED3E96"/>
    <w:rsid w:val="00EE0E76"/>
    <w:rsid w:val="00EE2F72"/>
    <w:rsid w:val="00EE67E2"/>
    <w:rsid w:val="00EF1362"/>
    <w:rsid w:val="00F01A80"/>
    <w:rsid w:val="00F01CA6"/>
    <w:rsid w:val="00F07E37"/>
    <w:rsid w:val="00F07EE3"/>
    <w:rsid w:val="00F10DFB"/>
    <w:rsid w:val="00F121BB"/>
    <w:rsid w:val="00F12F81"/>
    <w:rsid w:val="00F1560D"/>
    <w:rsid w:val="00F169EF"/>
    <w:rsid w:val="00F20C32"/>
    <w:rsid w:val="00F30F66"/>
    <w:rsid w:val="00F418EB"/>
    <w:rsid w:val="00F42E5E"/>
    <w:rsid w:val="00F43567"/>
    <w:rsid w:val="00F45B87"/>
    <w:rsid w:val="00F529D8"/>
    <w:rsid w:val="00F6382D"/>
    <w:rsid w:val="00F71FFD"/>
    <w:rsid w:val="00F73A77"/>
    <w:rsid w:val="00F809CF"/>
    <w:rsid w:val="00F81875"/>
    <w:rsid w:val="00F8229B"/>
    <w:rsid w:val="00F84FE7"/>
    <w:rsid w:val="00F85096"/>
    <w:rsid w:val="00F862B0"/>
    <w:rsid w:val="00F9227A"/>
    <w:rsid w:val="00F93F92"/>
    <w:rsid w:val="00F946EE"/>
    <w:rsid w:val="00FA1F7D"/>
    <w:rsid w:val="00FA2549"/>
    <w:rsid w:val="00FA4942"/>
    <w:rsid w:val="00FA6A38"/>
    <w:rsid w:val="00FB1D96"/>
    <w:rsid w:val="00FB3200"/>
    <w:rsid w:val="00FB4E6B"/>
    <w:rsid w:val="00FC2C4A"/>
    <w:rsid w:val="00FC2E79"/>
    <w:rsid w:val="00FC3616"/>
    <w:rsid w:val="00FC4927"/>
    <w:rsid w:val="00FC57CC"/>
    <w:rsid w:val="00FC6197"/>
    <w:rsid w:val="00FD0500"/>
    <w:rsid w:val="00FD4675"/>
    <w:rsid w:val="00FD6A10"/>
    <w:rsid w:val="00FE5CD1"/>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377EE2A"/>
  <w15:chartTrackingRefBased/>
  <w15:docId w15:val="{6DB35C6C-F082-4427-8D4D-F40C3DAD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6"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header" w:uiPriority="0"/>
    <w:lsdException w:name="footer" w:uiPriority="0"/>
    <w:lsdException w:name="caption" w:semiHidden="1" w:uiPriority="0" w:unhideWhenUsed="1" w:qFormat="1"/>
    <w:lsdException w:name="line number" w:uiPriority="0"/>
    <w:lsdException w:name="page number" w:uiPriority="0"/>
    <w:lsdException w:name="Title" w:qFormat="1"/>
    <w:lsdException w:name="Default Paragraph Font" w:uiPriority="0"/>
    <w:lsdException w:name="Subtitle" w:qFormat="1"/>
    <w:lsdException w:name="Strong" w:qFormat="1"/>
    <w:lsdException w:name="Emphasis" w:qFormat="1"/>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7"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7" w:qFormat="1"/>
    <w:lsdException w:name="Subtle Reference" w:uiPriority="7" w:qFormat="1"/>
    <w:lsdException w:name="Intense Reference" w:uiPriority="7" w:qFormat="1"/>
    <w:lsdException w:name="Book Title" w:uiPriority="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6"/>
    <w:qFormat/>
    <w:rsid w:val="00AA2D7C"/>
    <w:rPr>
      <w:rFonts w:ascii="Calibri" w:hAnsi="Calibri"/>
      <w:lang w:eastAsia="en-US"/>
    </w:rPr>
  </w:style>
  <w:style w:type="paragraph" w:styleId="Otsikko1">
    <w:name w:val="heading 1"/>
    <w:basedOn w:val="Normaali"/>
    <w:next w:val="Normaali"/>
    <w:uiPriority w:val="6"/>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uiPriority w:val="6"/>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uiPriority w:val="6"/>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uiPriority w:val="6"/>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uiPriority w:val="6"/>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uiPriority w:val="6"/>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uiPriority w:val="6"/>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uiPriority w:val="6"/>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uiPriority w:val="6"/>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6"/>
    <w:rsid w:val="00B4160F"/>
    <w:pPr>
      <w:tabs>
        <w:tab w:val="center" w:pos="4819"/>
        <w:tab w:val="right" w:pos="9638"/>
      </w:tabs>
    </w:pPr>
  </w:style>
  <w:style w:type="paragraph" w:styleId="Alatunniste">
    <w:name w:val="footer"/>
    <w:basedOn w:val="Normaali"/>
    <w:uiPriority w:val="6"/>
    <w:rsid w:val="00B4160F"/>
    <w:pPr>
      <w:tabs>
        <w:tab w:val="center" w:pos="4819"/>
        <w:tab w:val="right" w:pos="9638"/>
      </w:tabs>
    </w:pPr>
  </w:style>
  <w:style w:type="paragraph" w:customStyle="1" w:styleId="akpylatunniste">
    <w:name w:val="akpylatunniste"/>
    <w:basedOn w:val="Normaali"/>
    <w:autoRedefine/>
    <w:uiPriority w:val="6"/>
    <w:rsid w:val="00AD52CB"/>
    <w:pPr>
      <w:tabs>
        <w:tab w:val="left" w:pos="1304"/>
        <w:tab w:val="left" w:pos="2608"/>
        <w:tab w:val="left" w:pos="3912"/>
        <w:tab w:val="left" w:pos="5216"/>
        <w:tab w:val="left" w:pos="6521"/>
        <w:tab w:val="left" w:pos="7825"/>
        <w:tab w:val="left" w:pos="9129"/>
      </w:tabs>
      <w:ind w:right="72"/>
    </w:pPr>
    <w:rPr>
      <w:rFonts w:ascii="Arial" w:hAnsi="Arial"/>
      <w:noProof/>
      <w:sz w:val="22"/>
      <w:szCs w:val="22"/>
    </w:rPr>
  </w:style>
  <w:style w:type="paragraph" w:customStyle="1" w:styleId="akpalatunniste">
    <w:name w:val="akpalatunniste"/>
    <w:basedOn w:val="Normaali"/>
    <w:autoRedefine/>
    <w:uiPriority w:val="6"/>
    <w:rsid w:val="00BE592B"/>
    <w:pPr>
      <w:tabs>
        <w:tab w:val="left" w:pos="1304"/>
        <w:tab w:val="left" w:pos="2608"/>
        <w:tab w:val="left" w:pos="3912"/>
        <w:tab w:val="left" w:pos="5216"/>
        <w:tab w:val="left" w:pos="6521"/>
        <w:tab w:val="left" w:pos="7825"/>
        <w:tab w:val="left" w:pos="9129"/>
      </w:tabs>
    </w:pPr>
    <w:rPr>
      <w:rFonts w:ascii="Arial" w:hAnsi="Arial"/>
      <w:sz w:val="22"/>
    </w:rPr>
  </w:style>
  <w:style w:type="paragraph" w:customStyle="1" w:styleId="akpesityslista">
    <w:name w:val="akpesityslista"/>
    <w:autoRedefine/>
    <w:uiPriority w:val="6"/>
    <w:rsid w:val="00BE592B"/>
    <w:pPr>
      <w:numPr>
        <w:numId w:val="1"/>
      </w:numPr>
      <w:tabs>
        <w:tab w:val="left" w:pos="1304"/>
        <w:tab w:val="left" w:pos="2608"/>
        <w:tab w:val="left" w:pos="3912"/>
        <w:tab w:val="left" w:pos="5216"/>
        <w:tab w:val="left" w:pos="6521"/>
        <w:tab w:val="left" w:pos="7768"/>
        <w:tab w:val="left" w:pos="9072"/>
      </w:tabs>
      <w:spacing w:before="120"/>
      <w:ind w:left="2608" w:hanging="1304"/>
    </w:pPr>
    <w:rPr>
      <w:rFonts w:ascii="Arial" w:hAnsi="Arial"/>
      <w:noProof/>
      <w:sz w:val="22"/>
      <w:lang w:val="en-GB" w:eastAsia="en-US"/>
    </w:rPr>
  </w:style>
  <w:style w:type="paragraph" w:customStyle="1" w:styleId="akpnormaali">
    <w:name w:val="akpnormaali"/>
    <w:basedOn w:val="Normaali"/>
    <w:uiPriority w:val="6"/>
    <w:rsid w:val="00BE592B"/>
    <w:pPr>
      <w:tabs>
        <w:tab w:val="left" w:pos="1304"/>
        <w:tab w:val="left" w:pos="2608"/>
        <w:tab w:val="left" w:pos="3912"/>
        <w:tab w:val="left" w:pos="5216"/>
        <w:tab w:val="left" w:pos="6521"/>
        <w:tab w:val="left" w:pos="7825"/>
        <w:tab w:val="left" w:pos="9129"/>
      </w:tabs>
      <w:ind w:left="2608"/>
    </w:pPr>
    <w:rPr>
      <w:rFonts w:ascii="Arial" w:hAnsi="Arial"/>
      <w:sz w:val="22"/>
    </w:rPr>
  </w:style>
  <w:style w:type="paragraph" w:customStyle="1" w:styleId="akppoytakirja">
    <w:name w:val="akppoytakirja"/>
    <w:uiPriority w:val="6"/>
    <w:rsid w:val="00BE592B"/>
    <w:pPr>
      <w:numPr>
        <w:numId w:val="2"/>
      </w:numPr>
      <w:tabs>
        <w:tab w:val="left" w:pos="1304"/>
        <w:tab w:val="left" w:pos="2608"/>
        <w:tab w:val="left" w:pos="3912"/>
        <w:tab w:val="left" w:pos="5216"/>
        <w:tab w:val="left" w:pos="6521"/>
        <w:tab w:val="left" w:pos="7825"/>
      </w:tabs>
      <w:spacing w:before="120"/>
      <w:ind w:left="340" w:hanging="340"/>
    </w:pPr>
    <w:rPr>
      <w:rFonts w:ascii="Arial" w:hAnsi="Arial"/>
      <w:noProof/>
      <w:sz w:val="22"/>
      <w:lang w:val="en-GB" w:eastAsia="en-US"/>
    </w:rPr>
  </w:style>
  <w:style w:type="character" w:styleId="Sivunumero">
    <w:name w:val="page number"/>
    <w:basedOn w:val="Kappaleenoletusfontti"/>
    <w:uiPriority w:val="6"/>
  </w:style>
  <w:style w:type="character" w:styleId="Rivinumero">
    <w:name w:val="line number"/>
    <w:basedOn w:val="Kappaleenoletusfontti"/>
    <w:uiPriority w:val="6"/>
  </w:style>
  <w:style w:type="paragraph" w:customStyle="1" w:styleId="akpallekirjoittaja1">
    <w:name w:val="akpallekirjoittaja1"/>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uiPriority w:val="6"/>
    <w:rsid w:val="0019220C"/>
    <w:pPr>
      <w:spacing w:after="600" w:line="259" w:lineRule="auto"/>
    </w:pPr>
    <w:rPr>
      <w:rFonts w:ascii="Arial" w:hAnsi="Arial"/>
      <w:b/>
      <w:noProof/>
      <w:color w:val="000000"/>
      <w:sz w:val="32"/>
      <w:lang w:val="en-GB" w:eastAsia="en-US"/>
    </w:rPr>
  </w:style>
  <w:style w:type="paragraph" w:customStyle="1" w:styleId="akpperus">
    <w:name w:val="akpperus"/>
    <w:uiPriority w:val="6"/>
    <w:rsid w:val="00BE592B"/>
    <w:pPr>
      <w:tabs>
        <w:tab w:val="left" w:pos="1276"/>
        <w:tab w:val="left" w:pos="2552"/>
        <w:tab w:val="left" w:pos="3969"/>
        <w:tab w:val="left" w:pos="5245"/>
        <w:tab w:val="left" w:pos="6521"/>
        <w:tab w:val="left" w:pos="7797"/>
        <w:tab w:val="left" w:pos="9072"/>
      </w:tabs>
    </w:pPr>
    <w:rPr>
      <w:rFonts w:ascii="Arial" w:hAnsi="Arial"/>
      <w:sz w:val="22"/>
      <w:lang w:eastAsia="en-US"/>
    </w:rPr>
  </w:style>
  <w:style w:type="paragraph" w:customStyle="1" w:styleId="akpnimike1">
    <w:name w:val="akpnimike1"/>
    <w:basedOn w:val="akpperus"/>
    <w:autoRedefine/>
    <w:uiPriority w:val="6"/>
    <w:rsid w:val="00BE592B"/>
  </w:style>
  <w:style w:type="paragraph" w:customStyle="1" w:styleId="akpnimike2">
    <w:name w:val="akpnimike2"/>
    <w:basedOn w:val="akpperus"/>
    <w:autoRedefine/>
    <w:uiPriority w:val="6"/>
    <w:rsid w:val="00BE592B"/>
  </w:style>
  <w:style w:type="paragraph" w:customStyle="1" w:styleId="akpviite">
    <w:name w:val="akpviite"/>
    <w:next w:val="akpperus"/>
    <w:uiPriority w:val="6"/>
    <w:rsid w:val="00BE592B"/>
    <w:rPr>
      <w:rFonts w:ascii="Arial" w:hAnsi="Arial"/>
      <w:noProof/>
      <w:color w:val="000000"/>
      <w:sz w:val="22"/>
      <w:lang w:val="en-GB" w:eastAsia="en-US"/>
    </w:rPr>
  </w:style>
  <w:style w:type="paragraph" w:customStyle="1" w:styleId="akptiedostopolku">
    <w:name w:val="akptiedostopolku"/>
    <w:uiPriority w:val="6"/>
    <w:rsid w:val="00BE592B"/>
    <w:rPr>
      <w:rFonts w:ascii="Arial" w:hAnsi="Arial"/>
      <w:noProof/>
      <w:color w:val="000000"/>
      <w:sz w:val="16"/>
      <w:lang w:val="en-GB" w:eastAsia="en-US"/>
    </w:rPr>
  </w:style>
  <w:style w:type="paragraph" w:styleId="Vakiosisennys">
    <w:name w:val="Normal Indent"/>
    <w:basedOn w:val="Normaali"/>
    <w:uiPriority w:val="6"/>
    <w:pPr>
      <w:ind w:left="720"/>
    </w:pPr>
  </w:style>
  <w:style w:type="paragraph" w:customStyle="1" w:styleId="akppoytakirja2">
    <w:name w:val="akppoytakirja2"/>
    <w:basedOn w:val="akppoytakirja"/>
    <w:autoRedefine/>
    <w:uiPriority w:val="6"/>
    <w:pPr>
      <w:numPr>
        <w:numId w:val="0"/>
      </w:numPr>
      <w:ind w:left="2665" w:hanging="1361"/>
    </w:pPr>
  </w:style>
  <w:style w:type="paragraph" w:customStyle="1" w:styleId="akpotsikko1">
    <w:name w:val="akpotsikko1"/>
    <w:uiPriority w:val="6"/>
    <w:rsid w:val="00BE592B"/>
    <w:rPr>
      <w:rFonts w:ascii="Arial" w:hAnsi="Arial"/>
      <w:noProof/>
      <w:sz w:val="22"/>
      <w:lang w:val="en-GB" w:eastAsia="en-US"/>
    </w:rPr>
  </w:style>
  <w:style w:type="paragraph" w:customStyle="1" w:styleId="akpleipa1">
    <w:name w:val="akpleipa1"/>
    <w:autoRedefine/>
    <w:uiPriority w:val="6"/>
    <w:rsid w:val="00BE592B"/>
    <w:pPr>
      <w:ind w:left="2608"/>
    </w:pPr>
    <w:rPr>
      <w:rFonts w:ascii="Arial" w:hAnsi="Arial"/>
      <w:noProof/>
      <w:sz w:val="22"/>
      <w:lang w:val="en-GB" w:eastAsia="en-US"/>
    </w:rPr>
  </w:style>
  <w:style w:type="paragraph" w:customStyle="1" w:styleId="akpasiakirjat">
    <w:name w:val="akpasiakirjat"/>
    <w:autoRedefine/>
    <w:uiPriority w:val="6"/>
    <w:rsid w:val="00BE592B"/>
    <w:pPr>
      <w:numPr>
        <w:numId w:val="3"/>
      </w:numPr>
      <w:ind w:left="2948"/>
    </w:pPr>
    <w:rPr>
      <w:rFonts w:ascii="Arial" w:hAnsi="Arial"/>
      <w:noProof/>
      <w:sz w:val="22"/>
      <w:lang w:val="en-GB" w:eastAsia="en-US"/>
    </w:rPr>
  </w:style>
  <w:style w:type="character" w:customStyle="1" w:styleId="akptunnus">
    <w:name w:val="akptunnus"/>
    <w:uiPriority w:val="6"/>
    <w:rsid w:val="00BE592B"/>
    <w:rPr>
      <w:rFonts w:ascii="Arial" w:hAnsi="Arial"/>
      <w:color w:val="000000"/>
      <w:sz w:val="22"/>
    </w:rPr>
  </w:style>
  <w:style w:type="paragraph" w:customStyle="1" w:styleId="logoe">
    <w:name w:val="logoe"/>
    <w:uiPriority w:val="6"/>
    <w:rPr>
      <w:noProof/>
      <w:sz w:val="24"/>
      <w:lang w:val="en-GB" w:eastAsia="en-US"/>
    </w:rPr>
  </w:style>
  <w:style w:type="character" w:customStyle="1" w:styleId="akptelekopio">
    <w:name w:val="akptelekopio"/>
    <w:uiPriority w:val="6"/>
    <w:rsid w:val="00BE592B"/>
    <w:rPr>
      <w:rFonts w:ascii="Arial" w:hAnsi="Arial"/>
      <w:b/>
      <w:sz w:val="22"/>
    </w:rPr>
  </w:style>
  <w:style w:type="character" w:customStyle="1" w:styleId="akpasiaots">
    <w:name w:val="akpasiaots"/>
    <w:uiPriority w:val="6"/>
    <w:rsid w:val="0019220C"/>
    <w:rPr>
      <w:rFonts w:ascii="Arial" w:hAnsi="Arial"/>
      <w:b/>
      <w:sz w:val="32"/>
    </w:rPr>
  </w:style>
  <w:style w:type="character" w:customStyle="1" w:styleId="akpviiteots">
    <w:name w:val="akpviiteots"/>
    <w:uiPriority w:val="6"/>
    <w:rsid w:val="00BE592B"/>
    <w:rPr>
      <w:rFonts w:ascii="Arial" w:hAnsi="Arial"/>
      <w:sz w:val="22"/>
    </w:rPr>
  </w:style>
  <w:style w:type="paragraph" w:customStyle="1" w:styleId="AKPriippuva">
    <w:name w:val="AKP riippuva"/>
    <w:basedOn w:val="Normaali"/>
    <w:uiPriority w:val="6"/>
    <w:rsid w:val="0019220C"/>
    <w:pPr>
      <w:spacing w:after="240"/>
      <w:ind w:left="2608" w:hanging="2608"/>
    </w:pPr>
    <w:rPr>
      <w:rFonts w:ascii="Arial" w:hAnsi="Arial"/>
      <w:sz w:val="22"/>
    </w:rPr>
  </w:style>
  <w:style w:type="paragraph" w:customStyle="1" w:styleId="AKPlista">
    <w:name w:val="AKP lista"/>
    <w:basedOn w:val="Normaali"/>
    <w:uiPriority w:val="6"/>
    <w:rsid w:val="00BE592B"/>
    <w:pPr>
      <w:numPr>
        <w:numId w:val="4"/>
      </w:numPr>
      <w:ind w:left="2948"/>
    </w:pPr>
    <w:rPr>
      <w:rFonts w:ascii="Arial" w:hAnsi="Arial"/>
      <w:sz w:val="22"/>
    </w:rPr>
  </w:style>
  <w:style w:type="paragraph" w:customStyle="1" w:styleId="akpasia2">
    <w:name w:val="akpasia2"/>
    <w:uiPriority w:val="6"/>
    <w:rsid w:val="0019220C"/>
    <w:pPr>
      <w:ind w:left="2608" w:hanging="2608"/>
    </w:pPr>
    <w:rPr>
      <w:rFonts w:ascii="Arial" w:hAnsi="Arial"/>
      <w:b/>
      <w:noProof/>
      <w:color w:val="000000"/>
      <w:sz w:val="32"/>
      <w:lang w:val="en-GB" w:eastAsia="en-US"/>
    </w:rPr>
  </w:style>
  <w:style w:type="character" w:customStyle="1" w:styleId="akpallekirjoittaja1c">
    <w:name w:val="akpallekirjoittaja1c"/>
    <w:uiPriority w:val="6"/>
    <w:rsid w:val="00BE592B"/>
    <w:rPr>
      <w:rFonts w:ascii="Arial" w:hAnsi="Arial"/>
      <w:sz w:val="22"/>
    </w:rPr>
  </w:style>
  <w:style w:type="paragraph" w:customStyle="1" w:styleId="AKPleipteksti">
    <w:name w:val="AKP leipäteksti"/>
    <w:uiPriority w:val="6"/>
    <w:rsid w:val="00B0091E"/>
    <w:pPr>
      <w:spacing w:line="360" w:lineRule="auto"/>
      <w:ind w:left="2608"/>
    </w:pPr>
    <w:rPr>
      <w:rFonts w:ascii="Arial" w:hAnsi="Arial"/>
      <w:sz w:val="22"/>
      <w:lang w:eastAsia="en-US"/>
    </w:rPr>
  </w:style>
  <w:style w:type="character" w:customStyle="1" w:styleId="akppaivays">
    <w:name w:val="akppaivays"/>
    <w:uiPriority w:val="6"/>
    <w:rsid w:val="00BE592B"/>
    <w:rPr>
      <w:rFonts w:ascii="Arial" w:hAnsi="Arial"/>
      <w:color w:val="000000"/>
      <w:sz w:val="22"/>
    </w:rPr>
  </w:style>
  <w:style w:type="character" w:customStyle="1" w:styleId="akptunniste">
    <w:name w:val="akptunniste"/>
    <w:uiPriority w:val="6"/>
    <w:rsid w:val="00BE592B"/>
    <w:rPr>
      <w:rFonts w:ascii="Arial" w:hAnsi="Arial"/>
      <w:color w:val="000000"/>
      <w:sz w:val="22"/>
    </w:rPr>
  </w:style>
  <w:style w:type="character" w:customStyle="1" w:styleId="akpatyyppi">
    <w:name w:val="akpatyyppi"/>
    <w:uiPriority w:val="6"/>
    <w:rsid w:val="007C2CFE"/>
    <w:rPr>
      <w:rFonts w:ascii="Arial" w:hAnsi="Arial"/>
      <w:b/>
      <w:color w:val="000000"/>
      <w:sz w:val="22"/>
    </w:rPr>
  </w:style>
  <w:style w:type="paragraph" w:customStyle="1" w:styleId="AKPnormaali0">
    <w:name w:val="AKP normaali"/>
    <w:uiPriority w:val="6"/>
    <w:rsid w:val="00EB3C42"/>
    <w:rPr>
      <w:rFonts w:ascii="Arial" w:hAnsi="Arial"/>
      <w:sz w:val="22"/>
      <w:lang w:eastAsia="en-US"/>
    </w:rPr>
  </w:style>
  <w:style w:type="paragraph" w:customStyle="1" w:styleId="akpasia3">
    <w:name w:val="akpasia3"/>
    <w:basedOn w:val="akpperus"/>
    <w:uiPriority w:val="6"/>
    <w:rsid w:val="0019220C"/>
    <w:pPr>
      <w:spacing w:after="600" w:line="259" w:lineRule="auto"/>
    </w:pPr>
    <w:rPr>
      <w:b/>
      <w:color w:val="000000"/>
      <w:sz w:val="32"/>
    </w:rPr>
  </w:style>
  <w:style w:type="paragraph" w:customStyle="1" w:styleId="AKPesityslista0">
    <w:name w:val="AKP esityslista"/>
    <w:uiPriority w:val="6"/>
    <w:rsid w:val="00AD52CB"/>
    <w:pPr>
      <w:numPr>
        <w:numId w:val="5"/>
      </w:numPr>
      <w:spacing w:after="240" w:line="360" w:lineRule="auto"/>
      <w:ind w:left="2608" w:hanging="1304"/>
    </w:pPr>
    <w:rPr>
      <w:rFonts w:ascii="Arial" w:hAnsi="Arial"/>
      <w:noProof/>
      <w:sz w:val="22"/>
      <w:lang w:val="en-GB" w:eastAsia="en-US"/>
    </w:rPr>
  </w:style>
  <w:style w:type="paragraph" w:customStyle="1" w:styleId="AKPpytkirja">
    <w:name w:val="AKP pöytäkirja"/>
    <w:basedOn w:val="AKPnormaali0"/>
    <w:next w:val="AKPleipteksti"/>
    <w:uiPriority w:val="6"/>
    <w:rsid w:val="00B4160F"/>
    <w:pPr>
      <w:numPr>
        <w:numId w:val="6"/>
      </w:numPr>
      <w:spacing w:before="240" w:after="240"/>
    </w:pPr>
  </w:style>
  <w:style w:type="paragraph" w:customStyle="1" w:styleId="AKPotsikko">
    <w:name w:val="AKP otsikko"/>
    <w:next w:val="AKPleipteksti"/>
    <w:uiPriority w:val="6"/>
    <w:rsid w:val="00BE592B"/>
    <w:pPr>
      <w:spacing w:after="240"/>
    </w:pPr>
    <w:rPr>
      <w:rFonts w:ascii="Arial" w:hAnsi="Arial"/>
      <w:b/>
      <w:noProof/>
      <w:sz w:val="22"/>
      <w:lang w:val="en-GB" w:eastAsia="en-US"/>
    </w:rPr>
  </w:style>
  <w:style w:type="paragraph" w:customStyle="1" w:styleId="AKPvliotsikko">
    <w:name w:val="AKP väliotsikko"/>
    <w:next w:val="AKPleipteksti"/>
    <w:uiPriority w:val="6"/>
    <w:rsid w:val="00BE592B"/>
    <w:pPr>
      <w:ind w:left="1304"/>
    </w:pPr>
    <w:rPr>
      <w:rFonts w:ascii="Arial" w:hAnsi="Arial"/>
      <w:noProof/>
      <w:sz w:val="22"/>
      <w:lang w:val="en-GB" w:eastAsia="en-US"/>
    </w:rPr>
  </w:style>
  <w:style w:type="paragraph" w:customStyle="1" w:styleId="AKPalatunniste0">
    <w:name w:val="AKP alatunniste"/>
    <w:uiPriority w:val="6"/>
    <w:rsid w:val="00BE592B"/>
    <w:rPr>
      <w:rFonts w:ascii="Arial" w:hAnsi="Arial"/>
      <w:noProof/>
      <w:sz w:val="16"/>
      <w:lang w:val="en-GB" w:eastAsia="en-US"/>
    </w:rPr>
  </w:style>
  <w:style w:type="paragraph" w:customStyle="1" w:styleId="AKPliite">
    <w:name w:val="AKP liite"/>
    <w:uiPriority w:val="6"/>
    <w:rsid w:val="00BE592B"/>
    <w:pPr>
      <w:ind w:left="2608" w:hanging="2608"/>
    </w:pPr>
    <w:rPr>
      <w:rFonts w:ascii="Arial" w:hAnsi="Arial"/>
      <w:noProof/>
      <w:sz w:val="22"/>
      <w:lang w:val="en-GB" w:eastAsia="en-US"/>
    </w:rPr>
  </w:style>
  <w:style w:type="paragraph" w:customStyle="1" w:styleId="AKPriippuva2">
    <w:name w:val="AKP riippuva2"/>
    <w:uiPriority w:val="6"/>
    <w:rsid w:val="00EB3C42"/>
    <w:pPr>
      <w:ind w:left="2608" w:hanging="2608"/>
    </w:pPr>
    <w:rPr>
      <w:rFonts w:ascii="Arial" w:hAnsi="Arial"/>
      <w:noProof/>
      <w:sz w:val="22"/>
      <w:lang w:val="en-GB" w:eastAsia="en-US"/>
    </w:rPr>
  </w:style>
  <w:style w:type="paragraph" w:customStyle="1" w:styleId="akpyksikko">
    <w:name w:val="akpyksikko"/>
    <w:uiPriority w:val="6"/>
    <w:rsid w:val="00BE592B"/>
    <w:rPr>
      <w:rFonts w:ascii="Arial" w:hAnsi="Arial"/>
      <w:noProof/>
      <w:color w:val="000000"/>
      <w:sz w:val="22"/>
      <w:lang w:val="en-GB" w:eastAsia="en-US"/>
    </w:rPr>
  </w:style>
  <w:style w:type="character" w:customStyle="1" w:styleId="akpnimi">
    <w:name w:val="akpnimi"/>
    <w:uiPriority w:val="6"/>
    <w:rsid w:val="00BE592B"/>
    <w:rPr>
      <w:rFonts w:ascii="Arial" w:hAnsi="Arial"/>
      <w:spacing w:val="20"/>
      <w:w w:val="100"/>
      <w:sz w:val="22"/>
    </w:rPr>
  </w:style>
  <w:style w:type="character" w:customStyle="1" w:styleId="allekirjoittaja2c">
    <w:name w:val="allekirjoittaja2c"/>
    <w:uiPriority w:val="6"/>
    <w:rsid w:val="00BE592B"/>
    <w:rPr>
      <w:rFonts w:ascii="Arial" w:hAnsi="Arial"/>
      <w:sz w:val="22"/>
    </w:rPr>
  </w:style>
  <w:style w:type="character" w:customStyle="1" w:styleId="akpallekirjoittaja2c">
    <w:name w:val="akpallekirjoittaja2c"/>
    <w:uiPriority w:val="6"/>
    <w:rsid w:val="00BE592B"/>
    <w:rPr>
      <w:rFonts w:ascii="Arial" w:hAnsi="Arial"/>
      <w:sz w:val="22"/>
    </w:rPr>
  </w:style>
  <w:style w:type="paragraph" w:customStyle="1" w:styleId="AKPosallistujat">
    <w:name w:val="AKP osallistujat"/>
    <w:basedOn w:val="AKPnormaali0"/>
    <w:uiPriority w:val="6"/>
    <w:pPr>
      <w:ind w:left="2597" w:hanging="2597"/>
    </w:pPr>
  </w:style>
  <w:style w:type="paragraph" w:customStyle="1" w:styleId="akpesasia">
    <w:name w:val="akpesasia"/>
    <w:uiPriority w:val="6"/>
    <w:rsid w:val="00BE592B"/>
    <w:rPr>
      <w:rFonts w:ascii="Arial" w:hAnsi="Arial"/>
      <w:b/>
      <w:noProof/>
      <w:sz w:val="22"/>
      <w:lang w:val="en-GB" w:eastAsia="en-US"/>
    </w:rPr>
  </w:style>
  <w:style w:type="character" w:customStyle="1" w:styleId="akphanke">
    <w:name w:val="akphanke"/>
    <w:uiPriority w:val="6"/>
    <w:rsid w:val="00BE592B"/>
    <w:rPr>
      <w:rFonts w:ascii="Arial" w:hAnsi="Arial"/>
      <w:color w:val="000000"/>
      <w:sz w:val="22"/>
    </w:rPr>
  </w:style>
  <w:style w:type="character" w:customStyle="1" w:styleId="akplaatija">
    <w:name w:val="akplaatija"/>
    <w:uiPriority w:val="6"/>
    <w:rsid w:val="00BE592B"/>
    <w:rPr>
      <w:rFonts w:ascii="Arial" w:hAnsi="Arial"/>
      <w:color w:val="000000"/>
      <w:sz w:val="22"/>
    </w:rPr>
  </w:style>
  <w:style w:type="paragraph" w:customStyle="1" w:styleId="Otsikko1oikeusministerio">
    <w:name w:val="Otsikko 1 oikeusministerio"/>
    <w:basedOn w:val="Normaali"/>
    <w:next w:val="AKPleipteksti"/>
    <w:link w:val="Otsikko1oikeusministerioChar"/>
    <w:uiPriority w:val="2"/>
    <w:qFormat/>
    <w:rsid w:val="000C7FE9"/>
    <w:pPr>
      <w:spacing w:before="240" w:after="240" w:line="259" w:lineRule="auto"/>
    </w:pPr>
    <w:rPr>
      <w:rFonts w:ascii="Arial" w:eastAsia="Calibri" w:hAnsi="Arial" w:cs="Arial"/>
      <w:b/>
      <w:sz w:val="32"/>
      <w:szCs w:val="52"/>
    </w:rPr>
  </w:style>
  <w:style w:type="character" w:customStyle="1" w:styleId="Otsikko1oikeusministerioChar">
    <w:name w:val="Otsikko 1 oikeusministerio Char"/>
    <w:link w:val="Otsikko1oikeusministerio"/>
    <w:uiPriority w:val="2"/>
    <w:rsid w:val="000C7FE9"/>
    <w:rPr>
      <w:rFonts w:ascii="Arial" w:eastAsia="Calibri" w:hAnsi="Arial" w:cs="Arial"/>
      <w:b/>
      <w:sz w:val="32"/>
      <w:szCs w:val="52"/>
      <w:lang w:eastAsia="en-US"/>
    </w:rPr>
  </w:style>
  <w:style w:type="paragraph" w:customStyle="1" w:styleId="Otsikko2oikeusministerio">
    <w:name w:val="Otsikko 2 oikeusministerio"/>
    <w:basedOn w:val="Normaali"/>
    <w:next w:val="AKPleipteksti"/>
    <w:link w:val="Otsikko2oikeusministerioChar"/>
    <w:uiPriority w:val="3"/>
    <w:qFormat/>
    <w:rsid w:val="00415964"/>
    <w:pPr>
      <w:spacing w:before="520" w:after="400" w:line="259" w:lineRule="auto"/>
    </w:pPr>
    <w:rPr>
      <w:rFonts w:ascii="Arial" w:eastAsia="Calibri" w:hAnsi="Arial" w:cs="Arial"/>
      <w:b/>
      <w:sz w:val="28"/>
      <w:szCs w:val="36"/>
      <w:lang w:val="en-GB"/>
    </w:rPr>
  </w:style>
  <w:style w:type="character" w:customStyle="1" w:styleId="Otsikko2oikeusministerioChar">
    <w:name w:val="Otsikko 2 oikeusministerio Char"/>
    <w:link w:val="Otsikko2oikeusministerio"/>
    <w:uiPriority w:val="3"/>
    <w:rsid w:val="00415964"/>
    <w:rPr>
      <w:rFonts w:ascii="Arial" w:eastAsia="Calibri" w:hAnsi="Arial" w:cs="Arial"/>
      <w:b/>
      <w:sz w:val="28"/>
      <w:szCs w:val="36"/>
      <w:lang w:val="en-GB" w:eastAsia="en-US"/>
    </w:rPr>
  </w:style>
  <w:style w:type="paragraph" w:customStyle="1" w:styleId="Otsikko3oikeusministerio">
    <w:name w:val="Otsikko 3 oikeusministerio"/>
    <w:basedOn w:val="Normaali"/>
    <w:next w:val="AKPleipteksti"/>
    <w:link w:val="Otsikko3oikeusministerioChar"/>
    <w:uiPriority w:val="4"/>
    <w:qFormat/>
    <w:rsid w:val="00415964"/>
    <w:pPr>
      <w:spacing w:before="400" w:after="280" w:line="259" w:lineRule="auto"/>
    </w:pPr>
    <w:rPr>
      <w:rFonts w:ascii="Arial" w:eastAsia="Calibri" w:hAnsi="Arial" w:cs="Arial"/>
      <w:b/>
      <w:sz w:val="24"/>
      <w:szCs w:val="22"/>
    </w:rPr>
  </w:style>
  <w:style w:type="character" w:customStyle="1" w:styleId="Otsikko3oikeusministerioChar">
    <w:name w:val="Otsikko 3 oikeusministerio Char"/>
    <w:link w:val="Otsikko3oikeusministerio"/>
    <w:uiPriority w:val="4"/>
    <w:rsid w:val="00415964"/>
    <w:rPr>
      <w:rFonts w:ascii="Arial" w:eastAsia="Calibri" w:hAnsi="Arial" w:cs="Arial"/>
      <w:b/>
      <w:sz w:val="24"/>
      <w:szCs w:val="22"/>
      <w:lang w:eastAsia="en-US"/>
    </w:rPr>
  </w:style>
  <w:style w:type="paragraph" w:customStyle="1" w:styleId="Normaalioikeusministerio">
    <w:name w:val="Normaali oikeusministerio"/>
    <w:basedOn w:val="Normaali"/>
    <w:link w:val="NormaalioikeusministerioChar"/>
    <w:qFormat/>
    <w:rsid w:val="00FD6A10"/>
    <w:pPr>
      <w:spacing w:after="160" w:line="360" w:lineRule="auto"/>
    </w:pPr>
    <w:rPr>
      <w:rFonts w:ascii="Arial" w:eastAsia="Calibri" w:hAnsi="Arial" w:cs="Arial"/>
      <w:sz w:val="22"/>
      <w:szCs w:val="22"/>
    </w:rPr>
  </w:style>
  <w:style w:type="character" w:customStyle="1" w:styleId="NormaalioikeusministerioChar">
    <w:name w:val="Normaali oikeusministerio Char"/>
    <w:link w:val="Normaalioikeusministerio"/>
    <w:rsid w:val="00FD6A10"/>
    <w:rPr>
      <w:rFonts w:ascii="Arial" w:eastAsia="Calibri" w:hAnsi="Arial" w:cs="Arial"/>
      <w:sz w:val="22"/>
      <w:szCs w:val="22"/>
      <w:lang w:eastAsia="en-US"/>
    </w:rPr>
  </w:style>
  <w:style w:type="paragraph" w:customStyle="1" w:styleId="Viiteoikeusministerio">
    <w:name w:val="Viite oikeusministerio"/>
    <w:basedOn w:val="Normaali"/>
    <w:next w:val="AKPleipteksti"/>
    <w:link w:val="ViiteoikeusministerioChar"/>
    <w:uiPriority w:val="5"/>
    <w:qFormat/>
    <w:rsid w:val="00687FF9"/>
    <w:pPr>
      <w:spacing w:before="360" w:after="240" w:line="259" w:lineRule="auto"/>
    </w:pPr>
    <w:rPr>
      <w:rFonts w:ascii="Arial" w:eastAsia="Calibri" w:hAnsi="Arial" w:cs="Arial"/>
      <w:sz w:val="18"/>
      <w:szCs w:val="18"/>
    </w:rPr>
  </w:style>
  <w:style w:type="character" w:customStyle="1" w:styleId="ViiteoikeusministerioChar">
    <w:name w:val="Viite oikeusministerio Char"/>
    <w:link w:val="Viiteoikeusministerio"/>
    <w:uiPriority w:val="5"/>
    <w:rsid w:val="00A60D8D"/>
    <w:rPr>
      <w:rFonts w:ascii="Arial" w:eastAsia="Calibri" w:hAnsi="Arial" w:cs="Arial"/>
      <w:sz w:val="18"/>
      <w:szCs w:val="18"/>
      <w:lang w:eastAsia="en-US"/>
    </w:rPr>
  </w:style>
  <w:style w:type="paragraph" w:customStyle="1" w:styleId="Luettelooikeusministerio">
    <w:name w:val="Luettelo oikeusministerio"/>
    <w:basedOn w:val="Normaali"/>
    <w:link w:val="LuettelooikeusministerioChar"/>
    <w:uiPriority w:val="1"/>
    <w:qFormat/>
    <w:rsid w:val="00AA2D7C"/>
    <w:pPr>
      <w:numPr>
        <w:numId w:val="22"/>
      </w:numPr>
      <w:spacing w:line="360" w:lineRule="auto"/>
      <w:ind w:left="714" w:hanging="357"/>
    </w:pPr>
    <w:rPr>
      <w:rFonts w:ascii="Arial" w:eastAsia="Calibri" w:hAnsi="Arial" w:cs="Arial"/>
      <w:sz w:val="22"/>
      <w:szCs w:val="22"/>
      <w:lang w:val="en-GB"/>
    </w:rPr>
  </w:style>
  <w:style w:type="character" w:customStyle="1" w:styleId="LuettelooikeusministerioChar">
    <w:name w:val="Luettelo oikeusministerio Char"/>
    <w:link w:val="Luettelooikeusministerio"/>
    <w:uiPriority w:val="1"/>
    <w:rsid w:val="00AA2D7C"/>
    <w:rPr>
      <w:rFonts w:ascii="Arial" w:eastAsia="Calibri" w:hAnsi="Arial" w:cs="Arial"/>
      <w:sz w:val="22"/>
      <w:szCs w:val="22"/>
      <w:lang w:val="en-GB" w:eastAsia="en-US"/>
    </w:rPr>
  </w:style>
  <w:style w:type="character" w:styleId="Hyperlinkki">
    <w:name w:val="Hyperlink"/>
    <w:basedOn w:val="Kappaleenoletusfontti"/>
    <w:uiPriority w:val="6"/>
    <w:rsid w:val="00D43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ikeusministerio.fi/hanke?tunnus=OM015:00/20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34281\AppData\Roaming\Microsoft\Mallit\OM_asiakirja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289D-0965-4556-9F13-760E0649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OM_asiakirjapohja.dot</Template>
  <TotalTime>18</TotalTime>
  <Pages>7</Pages>
  <Words>2091</Words>
  <Characters>16944</Characters>
  <Application>Microsoft Office Word</Application>
  <DocSecurity>0</DocSecurity>
  <Lines>141</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lpstr>
    </vt:vector>
  </TitlesOfParts>
  <Company>tieto</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Vainio Niklas (OM)</dc:creator>
  <cp:keywords/>
  <cp:lastModifiedBy>Vainio Niklas (OM)</cp:lastModifiedBy>
  <cp:revision>3</cp:revision>
  <cp:lastPrinted>1999-01-13T15:25:00Z</cp:lastPrinted>
  <dcterms:created xsi:type="dcterms:W3CDTF">2020-02-03T14:29:00Z</dcterms:created>
  <dcterms:modified xsi:type="dcterms:W3CDTF">2020-02-05T09:45:00Z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Julkisoikeus</vt:lpwstr>
  </property>
  <property fmtid="{D5CDD505-2E9C-101B-9397-08002B2CF9AE}" pid="6" name="DC.X-DocumentType">
    <vt:lpwstr>Muistio</vt:lpwstr>
  </property>
  <property fmtid="{D5CDD505-2E9C-101B-9397-08002B2CF9AE}" pid="7" name="DC.Language">
    <vt:lpwstr>fi</vt:lpwstr>
  </property>
  <property fmtid="{D5CDD505-2E9C-101B-9397-08002B2CF9AE}" pid="8" name="DC.Date.Created">
    <vt:lpwstr>20200203</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LsN Niklas Vainio</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LsN Niklas Vainio</vt:lpwstr>
  </property>
  <property fmtid="{D5CDD505-2E9C-101B-9397-08002B2CF9AE}" pid="21" name="DC.Identifier.FilePath">
    <vt:lpwstr/>
  </property>
  <property fmtid="{D5CDD505-2E9C-101B-9397-08002B2CF9AE}" pid="22" name="DC.Title">
    <vt:lpwstr>Lausuntotiivistelmä</vt:lpwstr>
  </property>
</Properties>
</file>