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Default="009B230C" w:rsidP="00446E3A"/>
    <w:p w:rsidR="005E5AF4" w:rsidRDefault="005E5AF4" w:rsidP="005E5AF4">
      <w:pPr>
        <w:pStyle w:val="VMOtsikko1"/>
      </w:pPr>
      <w:r>
        <w:rPr>
          <w:shd w:val="clear" w:color="auto" w:fill="F8F8F8"/>
        </w:rPr>
        <w:t>Esteettömyysdirektiivin to</w:t>
      </w:r>
      <w:r w:rsidR="00CF478E">
        <w:rPr>
          <w:shd w:val="clear" w:color="auto" w:fill="F8F8F8"/>
        </w:rPr>
        <w:t>imeenpano</w:t>
      </w:r>
    </w:p>
    <w:p w:rsidR="005E5AF4" w:rsidRDefault="005E5AF4" w:rsidP="005E5AF4">
      <w:pPr>
        <w:ind w:left="1304"/>
        <w:jc w:val="both"/>
        <w:rPr>
          <w:rFonts w:ascii="Cambria" w:eastAsia="Times New Roman" w:hAnsi="Cambria" w:cs="Calibri"/>
          <w:bCs/>
          <w:color w:val="000000"/>
          <w:sz w:val="22"/>
          <w:szCs w:val="22"/>
        </w:rPr>
      </w:pPr>
      <w:r w:rsidRPr="00132DA2">
        <w:rPr>
          <w:rFonts w:ascii="Cambria" w:eastAsia="Times New Roman" w:hAnsi="Cambria" w:cs="Calibri"/>
          <w:bCs/>
          <w:color w:val="000000"/>
          <w:sz w:val="22"/>
          <w:szCs w:val="22"/>
        </w:rPr>
        <w:t xml:space="preserve">Pyydämme lausuntoa </w:t>
      </w:r>
      <w:hyperlink r:id="rId7" w:history="1">
        <w:r w:rsidRPr="00EE5359">
          <w:rPr>
            <w:rStyle w:val="Hyperlinkki"/>
            <w:rFonts w:ascii="Cambria" w:eastAsia="Times New Roman" w:hAnsi="Cambria" w:cs="Calibri"/>
            <w:bCs/>
            <w:sz w:val="22"/>
            <w:szCs w:val="22"/>
          </w:rPr>
          <w:t>esteettömyysdirektiivin</w:t>
        </w:r>
      </w:hyperlink>
      <w:r w:rsidRPr="00132DA2">
        <w:rPr>
          <w:rFonts w:ascii="Cambria" w:eastAsia="Times New Roman" w:hAnsi="Cambria" w:cs="Calibri"/>
          <w:bCs/>
          <w:color w:val="000000"/>
          <w:sz w:val="22"/>
          <w:szCs w:val="22"/>
        </w:rPr>
        <w:t xml:space="preserve"> kansallisen valmistelun tueksi. </w:t>
      </w:r>
    </w:p>
    <w:p w:rsidR="005E5AF4" w:rsidRDefault="005E5AF4" w:rsidP="005E5AF4">
      <w:pPr>
        <w:ind w:left="1304"/>
        <w:jc w:val="both"/>
        <w:rPr>
          <w:rFonts w:ascii="Cambria" w:eastAsia="Times New Roman" w:hAnsi="Cambria" w:cs="Calibri"/>
          <w:bCs/>
          <w:color w:val="000000"/>
          <w:sz w:val="22"/>
          <w:szCs w:val="22"/>
        </w:rPr>
      </w:pPr>
    </w:p>
    <w:p w:rsidR="005E5AF4" w:rsidRPr="00132DA2" w:rsidRDefault="005E5AF4" w:rsidP="005E5AF4">
      <w:pPr>
        <w:ind w:left="1304"/>
        <w:jc w:val="both"/>
        <w:rPr>
          <w:rFonts w:ascii="Cambria" w:eastAsia="Times New Roman" w:hAnsi="Cambria" w:cs="Calibri"/>
          <w:bCs/>
          <w:color w:val="000000"/>
          <w:sz w:val="22"/>
          <w:szCs w:val="22"/>
        </w:rPr>
      </w:pPr>
      <w:r w:rsidRPr="00132DA2">
        <w:rPr>
          <w:rFonts w:ascii="Cambria" w:eastAsia="Times New Roman" w:hAnsi="Cambria" w:cs="Calibri"/>
          <w:bCs/>
          <w:color w:val="000000"/>
          <w:sz w:val="22"/>
          <w:szCs w:val="22"/>
        </w:rPr>
        <w:t>Lausunnon tulee olla yhden A4:n mittainen. Lisäksi lausunnossa tulee kertoa, jos haluaa pitää puheenvuoron tilaisuudessa keskiviikkona 25.8. klo 13-15. Puheenvuoron tulee olla 2-3 minuutin mittainen.</w:t>
      </w:r>
    </w:p>
    <w:p w:rsidR="005E5AF4" w:rsidRPr="00132DA2" w:rsidRDefault="005E5AF4" w:rsidP="005E5AF4">
      <w:pPr>
        <w:ind w:left="1304"/>
        <w:jc w:val="both"/>
        <w:rPr>
          <w:rFonts w:ascii="Cambria" w:eastAsia="Times New Roman" w:hAnsi="Cambria" w:cs="Calibri"/>
          <w:bCs/>
          <w:color w:val="000000"/>
          <w:sz w:val="22"/>
          <w:szCs w:val="22"/>
        </w:rPr>
      </w:pPr>
    </w:p>
    <w:p w:rsidR="005E5AF4" w:rsidRDefault="005E5AF4" w:rsidP="005E5AF4">
      <w:pPr>
        <w:ind w:left="1304"/>
        <w:jc w:val="both"/>
        <w:rPr>
          <w:rFonts w:ascii="Cambria" w:eastAsia="Times New Roman" w:hAnsi="Cambria" w:cs="Calibri"/>
          <w:bCs/>
          <w:color w:val="000000"/>
          <w:sz w:val="22"/>
          <w:szCs w:val="22"/>
        </w:rPr>
      </w:pPr>
      <w:r w:rsidRPr="00132DA2">
        <w:rPr>
          <w:rFonts w:ascii="Cambria" w:eastAsia="Times New Roman" w:hAnsi="Cambria" w:cs="Calibri"/>
          <w:bCs/>
          <w:color w:val="000000"/>
          <w:sz w:val="22"/>
          <w:szCs w:val="22"/>
        </w:rPr>
        <w:t>Esteettömyysdirektiivi tulee saattaa osaksi kansallista lakia 28.6.2022</w:t>
      </w:r>
      <w:r>
        <w:rPr>
          <w:rFonts w:ascii="Cambria" w:eastAsia="Times New Roman" w:hAnsi="Cambria" w:cs="Calibri"/>
          <w:bCs/>
          <w:color w:val="000000"/>
          <w:sz w:val="22"/>
          <w:szCs w:val="22"/>
        </w:rPr>
        <w:t xml:space="preserve"> mennessä</w:t>
      </w:r>
      <w:r w:rsidRPr="00132DA2">
        <w:rPr>
          <w:rFonts w:ascii="Cambria" w:eastAsia="Times New Roman" w:hAnsi="Cambria" w:cs="Calibri"/>
          <w:bCs/>
          <w:color w:val="000000"/>
          <w:sz w:val="22"/>
          <w:szCs w:val="22"/>
        </w:rPr>
        <w:t>. Esteettömyysvaatimusten soveltaminen alkaa 28.6.2025. Lisäksi voi olla vielä erillisiä siirtymäaikoja aina vuoteen 2030 asti tai itsepalveluautomaattien osalta niiden käyttöiän loppuun (kuitenkin eni</w:t>
      </w:r>
      <w:r>
        <w:rPr>
          <w:rFonts w:ascii="Cambria" w:eastAsia="Times New Roman" w:hAnsi="Cambria" w:cs="Calibri"/>
          <w:bCs/>
          <w:color w:val="000000"/>
          <w:sz w:val="22"/>
          <w:szCs w:val="22"/>
        </w:rPr>
        <w:t>ntään 20 vuotta automaatin käyttöönotosta</w:t>
      </w:r>
      <w:r w:rsidRPr="00132DA2">
        <w:rPr>
          <w:rFonts w:ascii="Cambria" w:eastAsia="Times New Roman" w:hAnsi="Cambria" w:cs="Calibri"/>
          <w:bCs/>
          <w:color w:val="000000"/>
          <w:sz w:val="22"/>
          <w:szCs w:val="22"/>
        </w:rPr>
        <w:t>).</w:t>
      </w:r>
    </w:p>
    <w:p w:rsidR="005E5AF4" w:rsidRPr="00132DA2" w:rsidRDefault="005E5AF4" w:rsidP="005E5AF4">
      <w:pPr>
        <w:ind w:left="1304"/>
        <w:jc w:val="both"/>
        <w:rPr>
          <w:rFonts w:ascii="Cambria" w:eastAsia="Times New Roman" w:hAnsi="Cambria" w:cs="Calibri"/>
          <w:bCs/>
          <w:color w:val="000000"/>
          <w:sz w:val="22"/>
          <w:szCs w:val="22"/>
        </w:rPr>
      </w:pPr>
    </w:p>
    <w:p w:rsidR="005E5AF4" w:rsidRPr="00132DA2" w:rsidRDefault="005E5AF4" w:rsidP="005E5AF4">
      <w:pPr>
        <w:ind w:left="1304"/>
        <w:jc w:val="both"/>
        <w:rPr>
          <w:rFonts w:ascii="Cambria" w:eastAsia="Times New Roman" w:hAnsi="Cambria" w:cs="Calibri"/>
          <w:bCs/>
          <w:color w:val="000000"/>
          <w:sz w:val="22"/>
          <w:szCs w:val="22"/>
        </w:rPr>
      </w:pPr>
      <w:r w:rsidRPr="00132DA2">
        <w:rPr>
          <w:rFonts w:ascii="Cambria" w:eastAsia="Times New Roman" w:hAnsi="Cambria" w:cs="Calibri"/>
          <w:bCs/>
          <w:color w:val="000000"/>
          <w:sz w:val="22"/>
          <w:szCs w:val="22"/>
        </w:rPr>
        <w:t>Esteettömyysvaatimukset koskevat direktiivin mukaisia tuotteita ja palveluja. Kun esteettömyysdirektiivin soveltamisalaan kuuluva tuote tai palvelu tuodaan markkinoille 28.6.2025 jälkeen, tulee sen täyttää direktiivin mukaiset esteettömyysvaatimukset.</w:t>
      </w:r>
    </w:p>
    <w:p w:rsidR="005E5AF4" w:rsidRPr="00132DA2" w:rsidRDefault="005E5AF4" w:rsidP="005E5AF4">
      <w:pPr>
        <w:ind w:left="1304"/>
        <w:jc w:val="both"/>
        <w:rPr>
          <w:rFonts w:ascii="Cambria" w:eastAsia="Times New Roman" w:hAnsi="Cambria" w:cs="Calibri"/>
          <w:bCs/>
          <w:color w:val="000000"/>
          <w:sz w:val="22"/>
          <w:szCs w:val="22"/>
        </w:rPr>
      </w:pPr>
    </w:p>
    <w:p w:rsidR="005E5AF4" w:rsidRPr="00132DA2" w:rsidRDefault="005E5AF4" w:rsidP="005E5AF4">
      <w:pPr>
        <w:ind w:left="1304"/>
        <w:jc w:val="both"/>
        <w:rPr>
          <w:rFonts w:ascii="Cambria" w:eastAsia="Times New Roman" w:hAnsi="Cambria" w:cs="Calibri"/>
          <w:bCs/>
          <w:color w:val="000000"/>
          <w:sz w:val="22"/>
          <w:szCs w:val="22"/>
        </w:rPr>
      </w:pPr>
      <w:r w:rsidRPr="00EE5359">
        <w:rPr>
          <w:rFonts w:ascii="Cambria" w:eastAsia="Times New Roman" w:hAnsi="Cambria" w:cs="Calibri"/>
          <w:bCs/>
          <w:sz w:val="22"/>
          <w:szCs w:val="22"/>
        </w:rPr>
        <w:t>Esteettömyysdirektiivi</w:t>
      </w:r>
      <w:r w:rsidRPr="00132DA2">
        <w:rPr>
          <w:rFonts w:ascii="Cambria" w:eastAsia="Times New Roman" w:hAnsi="Cambria" w:cs="Calibri"/>
          <w:bCs/>
          <w:color w:val="000000"/>
          <w:sz w:val="22"/>
          <w:szCs w:val="22"/>
        </w:rPr>
        <w:t xml:space="preserve"> koskee sekä julkista että yksityistä sektoria. </w:t>
      </w:r>
    </w:p>
    <w:p w:rsidR="005E5AF4" w:rsidRPr="00132DA2" w:rsidRDefault="005E5AF4" w:rsidP="005E5AF4">
      <w:pPr>
        <w:ind w:left="1304"/>
        <w:jc w:val="both"/>
        <w:rPr>
          <w:rFonts w:ascii="Cambria" w:eastAsia="Times New Roman" w:hAnsi="Cambria" w:cs="Calibri"/>
          <w:bCs/>
          <w:color w:val="000000"/>
          <w:sz w:val="22"/>
          <w:szCs w:val="22"/>
        </w:rPr>
      </w:pPr>
    </w:p>
    <w:p w:rsidR="005E5AF4" w:rsidRPr="00132DA2" w:rsidRDefault="005E5AF4" w:rsidP="005E5AF4">
      <w:pPr>
        <w:ind w:left="1304"/>
        <w:jc w:val="both"/>
        <w:rPr>
          <w:rFonts w:ascii="Cambria" w:eastAsia="Times New Roman" w:hAnsi="Cambria" w:cs="Calibri"/>
          <w:bCs/>
          <w:color w:val="000000"/>
          <w:sz w:val="22"/>
          <w:szCs w:val="22"/>
        </w:rPr>
      </w:pPr>
      <w:r w:rsidRPr="00132DA2">
        <w:rPr>
          <w:rFonts w:ascii="Cambria" w:eastAsia="Times New Roman" w:hAnsi="Cambria" w:cs="Calibri"/>
          <w:bCs/>
          <w:color w:val="000000"/>
          <w:sz w:val="22"/>
          <w:szCs w:val="22"/>
        </w:rPr>
        <w:t xml:space="preserve">Itse esteettömyysvaatimukset on kerrottu direktiivin liitteessä I (yksi). Nämä vaatimukset vaihtelevat hiukan riippuen tuotteesta tai palvelusta. </w:t>
      </w:r>
    </w:p>
    <w:p w:rsidR="005E5AF4" w:rsidRPr="00132DA2" w:rsidRDefault="005E5AF4" w:rsidP="005E5AF4">
      <w:pPr>
        <w:ind w:left="1304"/>
        <w:jc w:val="both"/>
        <w:rPr>
          <w:rFonts w:ascii="Cambria" w:eastAsia="Times New Roman" w:hAnsi="Cambria" w:cs="Calibri"/>
          <w:bCs/>
          <w:color w:val="000000"/>
          <w:sz w:val="22"/>
          <w:szCs w:val="22"/>
        </w:rPr>
      </w:pPr>
    </w:p>
    <w:p w:rsidR="005E5AF4" w:rsidRPr="00132DA2" w:rsidRDefault="005E5AF4" w:rsidP="005E5AF4">
      <w:pPr>
        <w:ind w:left="1304"/>
        <w:jc w:val="both"/>
        <w:rPr>
          <w:rFonts w:ascii="Cambria" w:eastAsia="Times New Roman" w:hAnsi="Cambria" w:cs="Calibri"/>
          <w:bCs/>
          <w:color w:val="000000"/>
          <w:sz w:val="22"/>
          <w:szCs w:val="22"/>
        </w:rPr>
      </w:pPr>
      <w:r w:rsidRPr="00132DA2">
        <w:rPr>
          <w:rFonts w:ascii="Cambria" w:eastAsia="Times New Roman" w:hAnsi="Cambria" w:cs="Calibri"/>
          <w:bCs/>
          <w:color w:val="000000"/>
          <w:sz w:val="22"/>
          <w:szCs w:val="22"/>
        </w:rPr>
        <w:t xml:space="preserve">Rakennetun ympäristön osalta esteettömyysdirektiivi jättää harkintavaltaa jäsenvaltiolle. Näitä liitteen III (kolme) mukaisia vaatimuksia tulee noudattaa kokonaisuudessaan, jos jäsenvaltio päättää implementoida ne. </w:t>
      </w:r>
    </w:p>
    <w:p w:rsidR="005E5AF4" w:rsidRPr="00132DA2" w:rsidRDefault="005E5AF4" w:rsidP="005E5AF4">
      <w:pPr>
        <w:ind w:left="1304"/>
        <w:jc w:val="both"/>
        <w:rPr>
          <w:rFonts w:ascii="Cambria" w:eastAsia="Times New Roman" w:hAnsi="Cambria" w:cs="Calibri"/>
          <w:bCs/>
          <w:color w:val="000000"/>
          <w:sz w:val="22"/>
          <w:szCs w:val="22"/>
        </w:rPr>
      </w:pPr>
    </w:p>
    <w:p w:rsidR="005E5AF4" w:rsidRDefault="005E5AF4" w:rsidP="005E5AF4">
      <w:pPr>
        <w:ind w:left="1304"/>
        <w:jc w:val="both"/>
        <w:rPr>
          <w:rFonts w:ascii="Cambria" w:eastAsia="Times New Roman" w:hAnsi="Cambria" w:cs="Calibri"/>
          <w:bCs/>
          <w:color w:val="000000"/>
          <w:sz w:val="22"/>
          <w:szCs w:val="22"/>
        </w:rPr>
      </w:pPr>
      <w:r w:rsidRPr="00132DA2">
        <w:rPr>
          <w:rFonts w:ascii="Cambria" w:eastAsia="Times New Roman" w:hAnsi="Cambria" w:cs="Calibri"/>
          <w:bCs/>
          <w:color w:val="000000"/>
          <w:sz w:val="22"/>
          <w:szCs w:val="22"/>
        </w:rPr>
        <w:t xml:space="preserve">Suomessa </w:t>
      </w:r>
      <w:proofErr w:type="spellStart"/>
      <w:r w:rsidRPr="00132DA2">
        <w:rPr>
          <w:rFonts w:ascii="Cambria" w:eastAsia="Times New Roman" w:hAnsi="Cambria" w:cs="Calibri"/>
          <w:bCs/>
          <w:color w:val="000000"/>
          <w:sz w:val="22"/>
          <w:szCs w:val="22"/>
        </w:rPr>
        <w:t>STM:n</w:t>
      </w:r>
      <w:proofErr w:type="spellEnd"/>
      <w:r w:rsidRPr="00132DA2">
        <w:rPr>
          <w:rFonts w:ascii="Cambria" w:eastAsia="Times New Roman" w:hAnsi="Cambria" w:cs="Calibri"/>
          <w:bCs/>
          <w:color w:val="000000"/>
          <w:sz w:val="22"/>
          <w:szCs w:val="22"/>
        </w:rPr>
        <w:t xml:space="preserve"> koordinoima työryhmä on </w:t>
      </w:r>
      <w:r>
        <w:rPr>
          <w:rFonts w:ascii="Cambria" w:eastAsia="Times New Roman" w:hAnsi="Cambria" w:cs="Calibri"/>
          <w:bCs/>
          <w:color w:val="000000"/>
          <w:sz w:val="22"/>
          <w:szCs w:val="22"/>
        </w:rPr>
        <w:t xml:space="preserve">alustavasti </w:t>
      </w:r>
      <w:r w:rsidRPr="00132DA2">
        <w:rPr>
          <w:rFonts w:ascii="Cambria" w:eastAsia="Times New Roman" w:hAnsi="Cambria" w:cs="Calibri"/>
          <w:bCs/>
          <w:color w:val="000000"/>
          <w:sz w:val="22"/>
          <w:szCs w:val="22"/>
        </w:rPr>
        <w:t xml:space="preserve">päättänyt valmistella yhden uuden yleislain koskien tuotteiden ja </w:t>
      </w:r>
      <w:r>
        <w:rPr>
          <w:rFonts w:ascii="Cambria" w:eastAsia="Times New Roman" w:hAnsi="Cambria" w:cs="Calibri"/>
          <w:bCs/>
          <w:color w:val="000000"/>
          <w:sz w:val="22"/>
          <w:szCs w:val="22"/>
        </w:rPr>
        <w:t xml:space="preserve">mahdollisesti </w:t>
      </w:r>
      <w:r w:rsidRPr="00132DA2">
        <w:rPr>
          <w:rFonts w:ascii="Cambria" w:eastAsia="Times New Roman" w:hAnsi="Cambria" w:cs="Calibri"/>
          <w:bCs/>
          <w:color w:val="000000"/>
          <w:sz w:val="22"/>
          <w:szCs w:val="22"/>
        </w:rPr>
        <w:t>osan palveluita esteettömyysvaatimuksia. Tämän lisäksi kaikki esteettömyysdirektiivin mukaiset, digitaalisiksi palveluiksi, luokiteltavat palvelut tullaan implementoimaan lakiin digitaalisten palvelujen tarjoamisesta. Tämä edellä mainittu laki säätää nyt verkkosivustojen ja mobiilisovellusten saavutettavuudesta. Lisäksi muutoksia tulee</w:t>
      </w:r>
      <w:r>
        <w:rPr>
          <w:rFonts w:ascii="Cambria" w:eastAsia="Times New Roman" w:hAnsi="Cambria" w:cs="Calibri"/>
          <w:bCs/>
          <w:color w:val="000000"/>
          <w:sz w:val="22"/>
          <w:szCs w:val="22"/>
        </w:rPr>
        <w:t xml:space="preserve"> oletettavasti</w:t>
      </w:r>
      <w:r w:rsidRPr="00132DA2">
        <w:rPr>
          <w:rFonts w:ascii="Cambria" w:eastAsia="Times New Roman" w:hAnsi="Cambria" w:cs="Calibri"/>
          <w:bCs/>
          <w:color w:val="000000"/>
          <w:sz w:val="22"/>
          <w:szCs w:val="22"/>
        </w:rPr>
        <w:t xml:space="preserve"> myös osaan muita </w:t>
      </w:r>
      <w:r>
        <w:rPr>
          <w:rFonts w:ascii="Cambria" w:eastAsia="Times New Roman" w:hAnsi="Cambria" w:cs="Calibri"/>
          <w:bCs/>
          <w:color w:val="000000"/>
          <w:sz w:val="22"/>
          <w:szCs w:val="22"/>
        </w:rPr>
        <w:t xml:space="preserve">kansallisia </w:t>
      </w:r>
      <w:r w:rsidRPr="00132DA2">
        <w:rPr>
          <w:rFonts w:ascii="Cambria" w:eastAsia="Times New Roman" w:hAnsi="Cambria" w:cs="Calibri"/>
          <w:bCs/>
          <w:color w:val="000000"/>
          <w:sz w:val="22"/>
          <w:szCs w:val="22"/>
        </w:rPr>
        <w:t>lake</w:t>
      </w:r>
      <w:r>
        <w:rPr>
          <w:rFonts w:ascii="Cambria" w:eastAsia="Times New Roman" w:hAnsi="Cambria" w:cs="Calibri"/>
          <w:bCs/>
          <w:color w:val="000000"/>
          <w:sz w:val="22"/>
          <w:szCs w:val="22"/>
        </w:rPr>
        <w:t>ja, kuten markkinavalvontalakia ja lakia</w:t>
      </w:r>
      <w:r w:rsidRPr="00132DA2">
        <w:rPr>
          <w:rFonts w:ascii="Cambria" w:eastAsia="Times New Roman" w:hAnsi="Cambria" w:cs="Calibri"/>
          <w:bCs/>
          <w:color w:val="000000"/>
          <w:sz w:val="22"/>
          <w:szCs w:val="22"/>
        </w:rPr>
        <w:t xml:space="preserve"> säh</w:t>
      </w:r>
      <w:r>
        <w:rPr>
          <w:rFonts w:ascii="Cambria" w:eastAsia="Times New Roman" w:hAnsi="Cambria" w:cs="Calibri"/>
          <w:bCs/>
          <w:color w:val="000000"/>
          <w:sz w:val="22"/>
          <w:szCs w:val="22"/>
        </w:rPr>
        <w:t>köisen viestinnän palveluista.</w:t>
      </w:r>
    </w:p>
    <w:p w:rsidR="005E5AF4" w:rsidRDefault="005E5AF4" w:rsidP="005E5AF4">
      <w:pPr>
        <w:ind w:left="1304"/>
        <w:jc w:val="both"/>
        <w:rPr>
          <w:rFonts w:ascii="Cambria" w:eastAsia="Times New Roman" w:hAnsi="Cambria" w:cs="Calibri"/>
          <w:bCs/>
          <w:color w:val="000000"/>
          <w:sz w:val="22"/>
          <w:szCs w:val="22"/>
        </w:rPr>
      </w:pPr>
    </w:p>
    <w:p w:rsidR="005E5AF4" w:rsidRDefault="005E5AF4" w:rsidP="005E5AF4">
      <w:pPr>
        <w:ind w:left="1304"/>
        <w:jc w:val="both"/>
        <w:rPr>
          <w:rFonts w:ascii="Cambria" w:eastAsia="Times New Roman" w:hAnsi="Cambria" w:cs="Calibri"/>
          <w:bCs/>
          <w:color w:val="000000"/>
          <w:sz w:val="22"/>
          <w:szCs w:val="22"/>
        </w:rPr>
      </w:pPr>
      <w:r>
        <w:rPr>
          <w:rFonts w:ascii="Cambria" w:eastAsia="Times New Roman" w:hAnsi="Cambria" w:cs="Calibri"/>
          <w:bCs/>
          <w:color w:val="000000"/>
          <w:sz w:val="22"/>
          <w:szCs w:val="22"/>
        </w:rPr>
        <w:t>Valvon</w:t>
      </w:r>
      <w:r w:rsidR="001010ED">
        <w:rPr>
          <w:rFonts w:ascii="Cambria" w:eastAsia="Times New Roman" w:hAnsi="Cambria" w:cs="Calibri"/>
          <w:bCs/>
          <w:color w:val="000000"/>
          <w:sz w:val="22"/>
          <w:szCs w:val="22"/>
        </w:rPr>
        <w:t>nan osalta tehdään vielä selvitystyötä siitä, miten se järjestetään</w:t>
      </w:r>
      <w:r>
        <w:rPr>
          <w:rFonts w:ascii="Cambria" w:eastAsia="Times New Roman" w:hAnsi="Cambria" w:cs="Calibri"/>
          <w:bCs/>
          <w:color w:val="000000"/>
          <w:sz w:val="22"/>
          <w:szCs w:val="22"/>
        </w:rPr>
        <w:t xml:space="preserve">. Valvonta tulee olemaan sekä tuotteiden </w:t>
      </w:r>
      <w:proofErr w:type="gramStart"/>
      <w:r>
        <w:rPr>
          <w:rFonts w:ascii="Cambria" w:eastAsia="Times New Roman" w:hAnsi="Cambria" w:cs="Calibri"/>
          <w:bCs/>
          <w:color w:val="000000"/>
          <w:sz w:val="22"/>
          <w:szCs w:val="22"/>
        </w:rPr>
        <w:t>markkinavalvontaa</w:t>
      </w:r>
      <w:proofErr w:type="gramEnd"/>
      <w:r>
        <w:rPr>
          <w:rFonts w:ascii="Cambria" w:eastAsia="Times New Roman" w:hAnsi="Cambria" w:cs="Calibri"/>
          <w:bCs/>
          <w:color w:val="000000"/>
          <w:sz w:val="22"/>
          <w:szCs w:val="22"/>
        </w:rPr>
        <w:t xml:space="preserve"> et</w:t>
      </w:r>
      <w:r w:rsidR="001010ED">
        <w:rPr>
          <w:rFonts w:ascii="Cambria" w:eastAsia="Times New Roman" w:hAnsi="Cambria" w:cs="Calibri"/>
          <w:bCs/>
          <w:color w:val="000000"/>
          <w:sz w:val="22"/>
          <w:szCs w:val="22"/>
        </w:rPr>
        <w:t>tä palveluiden valvontaa. Esteettömyysvaatimukset ovat hiukan erilaiset tuotteille ja palveluille.</w:t>
      </w:r>
    </w:p>
    <w:p w:rsidR="001010ED" w:rsidRDefault="001010ED" w:rsidP="005E5AF4">
      <w:pPr>
        <w:ind w:left="1304"/>
        <w:jc w:val="both"/>
        <w:rPr>
          <w:rFonts w:ascii="Cambria" w:eastAsia="Times New Roman" w:hAnsi="Cambria" w:cs="Calibri"/>
          <w:bCs/>
          <w:color w:val="000000"/>
          <w:sz w:val="22"/>
          <w:szCs w:val="22"/>
        </w:rPr>
      </w:pPr>
    </w:p>
    <w:p w:rsidR="005E5AF4" w:rsidRPr="00132DA2" w:rsidRDefault="005E5AF4" w:rsidP="005E5AF4">
      <w:pPr>
        <w:ind w:left="1304"/>
        <w:jc w:val="both"/>
        <w:rPr>
          <w:rFonts w:ascii="Cambria" w:eastAsia="Times New Roman" w:hAnsi="Cambria" w:cs="Calibri"/>
          <w:bCs/>
          <w:color w:val="000000"/>
          <w:sz w:val="22"/>
          <w:szCs w:val="22"/>
        </w:rPr>
      </w:pPr>
      <w:r w:rsidRPr="00132DA2">
        <w:rPr>
          <w:rFonts w:ascii="Cambria" w:eastAsia="Times New Roman" w:hAnsi="Cambria" w:cs="Calibri"/>
          <w:bCs/>
          <w:color w:val="000000"/>
          <w:sz w:val="22"/>
          <w:szCs w:val="22"/>
        </w:rPr>
        <w:lastRenderedPageBreak/>
        <w:t xml:space="preserve">Saavutettavuus </w:t>
      </w:r>
      <w:r>
        <w:rPr>
          <w:rFonts w:ascii="Cambria" w:eastAsia="Times New Roman" w:hAnsi="Cambria" w:cs="Calibri"/>
          <w:bCs/>
          <w:color w:val="000000"/>
          <w:sz w:val="22"/>
          <w:szCs w:val="22"/>
        </w:rPr>
        <w:t>on</w:t>
      </w:r>
      <w:r w:rsidRPr="00132DA2">
        <w:rPr>
          <w:rFonts w:ascii="Cambria" w:eastAsia="Times New Roman" w:hAnsi="Cambria" w:cs="Calibri"/>
          <w:bCs/>
          <w:color w:val="000000"/>
          <w:sz w:val="22"/>
          <w:szCs w:val="22"/>
        </w:rPr>
        <w:t xml:space="preserve"> termi, joka viittaa digipalvelulain mukaisesti digitaalisten palveluiden esteettömyyteen. Esteettömyys taas koskee pääosin tuotteita ja niitä palveluita, joita ei voida laskea kuuluvaksi digitaalisten palvelujen määritelmän alle. </w:t>
      </w:r>
    </w:p>
    <w:p w:rsidR="005E5AF4" w:rsidRDefault="005E5AF4" w:rsidP="005E5AF4">
      <w:pPr>
        <w:ind w:left="1304"/>
        <w:jc w:val="both"/>
        <w:rPr>
          <w:rFonts w:ascii="Cambria" w:eastAsia="Times New Roman" w:hAnsi="Cambria" w:cs="Calibri"/>
          <w:b/>
          <w:bCs/>
          <w:color w:val="000000"/>
          <w:sz w:val="22"/>
          <w:szCs w:val="22"/>
        </w:rPr>
      </w:pPr>
    </w:p>
    <w:p w:rsidR="005E5AF4" w:rsidRDefault="005E5AF4" w:rsidP="005E5AF4">
      <w:pPr>
        <w:ind w:left="1304"/>
        <w:jc w:val="both"/>
        <w:rPr>
          <w:rFonts w:ascii="Cambria" w:eastAsia="Times New Roman" w:hAnsi="Cambria" w:cs="Calibri"/>
          <w:b/>
          <w:bCs/>
          <w:color w:val="000000"/>
          <w:sz w:val="22"/>
          <w:szCs w:val="22"/>
        </w:rPr>
      </w:pPr>
      <w:r>
        <w:rPr>
          <w:rFonts w:ascii="Cambria" w:eastAsia="Times New Roman" w:hAnsi="Cambria" w:cs="Calibri"/>
          <w:b/>
          <w:bCs/>
          <w:color w:val="000000"/>
          <w:sz w:val="22"/>
          <w:szCs w:val="22"/>
        </w:rPr>
        <w:t>Kysymykset:</w:t>
      </w:r>
    </w:p>
    <w:p w:rsidR="005E5AF4" w:rsidRPr="00FE4A76" w:rsidRDefault="005E5AF4" w:rsidP="005E5AF4">
      <w:pPr>
        <w:ind w:left="1304"/>
        <w:jc w:val="both"/>
        <w:rPr>
          <w:rFonts w:ascii="Cambria" w:eastAsia="Times New Roman" w:hAnsi="Cambria" w:cs="Calibri"/>
          <w:bCs/>
          <w:color w:val="000000"/>
          <w:sz w:val="22"/>
          <w:szCs w:val="22"/>
        </w:rPr>
      </w:pPr>
    </w:p>
    <w:p w:rsidR="005E5AF4" w:rsidRPr="00FE4A76" w:rsidRDefault="005E5AF4" w:rsidP="005E5AF4">
      <w:pPr>
        <w:ind w:left="1304"/>
        <w:jc w:val="both"/>
        <w:rPr>
          <w:rFonts w:ascii="Cambria" w:eastAsia="Times New Roman" w:hAnsi="Cambria" w:cs="Calibri"/>
          <w:color w:val="000000"/>
          <w:sz w:val="22"/>
          <w:szCs w:val="22"/>
        </w:rPr>
      </w:pPr>
      <w:r w:rsidRPr="00FE4A76">
        <w:rPr>
          <w:rFonts w:ascii="Cambria" w:eastAsia="Times New Roman" w:hAnsi="Cambria" w:cs="Calibri"/>
          <w:bCs/>
          <w:color w:val="000000"/>
          <w:sz w:val="22"/>
          <w:szCs w:val="22"/>
        </w:rPr>
        <w:t>Mitä odotuksia ja toiveita teillä on esteettömyysdirektiivin kansallisen toimeenpanon suhteen?</w:t>
      </w:r>
      <w:r w:rsidRPr="00FE4A76">
        <w:rPr>
          <w:rFonts w:ascii="Cambria" w:eastAsia="Times New Roman" w:hAnsi="Cambria" w:cs="Calibri"/>
          <w:color w:val="000000"/>
          <w:sz w:val="22"/>
          <w:szCs w:val="22"/>
        </w:rPr>
        <w:t xml:space="preserve"> </w:t>
      </w:r>
    </w:p>
    <w:p w:rsidR="005E5AF4" w:rsidRDefault="005E5AF4" w:rsidP="005E5AF4">
      <w:pPr>
        <w:ind w:left="1304"/>
        <w:jc w:val="both"/>
        <w:rPr>
          <w:rFonts w:ascii="Cambria" w:eastAsia="Times New Roman" w:hAnsi="Cambria" w:cs="Calibri"/>
          <w:color w:val="000000"/>
          <w:sz w:val="22"/>
          <w:szCs w:val="22"/>
        </w:rPr>
      </w:pPr>
    </w:p>
    <w:p w:rsidR="005E5AF4" w:rsidRDefault="005E5AF4" w:rsidP="005E5AF4">
      <w:pPr>
        <w:ind w:left="1304"/>
        <w:jc w:val="both"/>
        <w:rPr>
          <w:rFonts w:ascii="Cambria" w:eastAsia="Times New Roman" w:hAnsi="Cambria" w:cs="Calibri"/>
          <w:color w:val="000000"/>
          <w:sz w:val="22"/>
          <w:szCs w:val="22"/>
        </w:rPr>
      </w:pPr>
      <w:r>
        <w:rPr>
          <w:rFonts w:ascii="Cambria" w:eastAsia="Times New Roman" w:hAnsi="Cambria" w:cs="Calibri"/>
          <w:color w:val="000000"/>
          <w:sz w:val="22"/>
          <w:szCs w:val="22"/>
        </w:rPr>
        <w:t>Mikä on edustamallenne organisaatiolle tärkeää esteettömyysdirektiivin kansallisen toimeenpanon osalta?</w:t>
      </w:r>
    </w:p>
    <w:p w:rsidR="005E5AF4" w:rsidRDefault="005E5AF4" w:rsidP="005E5AF4">
      <w:pPr>
        <w:ind w:left="1304"/>
        <w:jc w:val="both"/>
        <w:rPr>
          <w:rFonts w:ascii="Cambria" w:eastAsia="Times New Roman" w:hAnsi="Cambria" w:cs="Calibri"/>
          <w:color w:val="000000"/>
          <w:sz w:val="22"/>
          <w:szCs w:val="22"/>
        </w:rPr>
      </w:pPr>
    </w:p>
    <w:p w:rsidR="005E5AF4" w:rsidRDefault="005E5AF4" w:rsidP="005E5AF4">
      <w:pPr>
        <w:ind w:left="1304"/>
        <w:jc w:val="both"/>
        <w:rPr>
          <w:rFonts w:ascii="Cambria" w:eastAsia="Times New Roman" w:hAnsi="Cambria" w:cs="Calibri"/>
          <w:color w:val="000000"/>
          <w:sz w:val="22"/>
          <w:szCs w:val="22"/>
        </w:rPr>
      </w:pPr>
      <w:r>
        <w:rPr>
          <w:rFonts w:ascii="Cambria" w:eastAsia="Times New Roman" w:hAnsi="Cambria" w:cs="Calibri"/>
          <w:color w:val="000000"/>
          <w:sz w:val="22"/>
          <w:szCs w:val="22"/>
        </w:rPr>
        <w:t>Miten tai minkälaisia oikeussuojakeinoja tuotteiden tai palveluiden käyttäjille tulisi olla?</w:t>
      </w:r>
    </w:p>
    <w:p w:rsidR="005E5AF4" w:rsidRDefault="005E5AF4" w:rsidP="005E5AF4">
      <w:pPr>
        <w:ind w:left="1304"/>
        <w:jc w:val="both"/>
        <w:rPr>
          <w:rFonts w:ascii="Cambria" w:eastAsia="Times New Roman" w:hAnsi="Cambria" w:cs="Calibri"/>
          <w:color w:val="000000"/>
          <w:sz w:val="22"/>
          <w:szCs w:val="22"/>
        </w:rPr>
      </w:pPr>
    </w:p>
    <w:p w:rsidR="005E5AF4" w:rsidRDefault="005E5AF4" w:rsidP="005E5AF4">
      <w:pPr>
        <w:ind w:left="1304"/>
        <w:jc w:val="both"/>
        <w:rPr>
          <w:rFonts w:ascii="Cambria" w:eastAsia="Times New Roman" w:hAnsi="Cambria" w:cs="Calibri"/>
          <w:color w:val="000000"/>
          <w:sz w:val="22"/>
          <w:szCs w:val="22"/>
        </w:rPr>
      </w:pPr>
      <w:r>
        <w:rPr>
          <w:rFonts w:ascii="Cambria" w:eastAsia="Times New Roman" w:hAnsi="Cambria" w:cs="Calibri"/>
          <w:color w:val="000000"/>
          <w:sz w:val="22"/>
          <w:szCs w:val="22"/>
        </w:rPr>
        <w:t>Mitä kustannuksia tai kerrannaisvaikutuksia olisi hyvä ottaa huomioon lainvalmistelussa?</w:t>
      </w:r>
    </w:p>
    <w:p w:rsidR="005E5AF4" w:rsidRDefault="005E5AF4" w:rsidP="005E5AF4">
      <w:pPr>
        <w:ind w:left="1304"/>
        <w:jc w:val="both"/>
        <w:rPr>
          <w:rFonts w:ascii="Cambria" w:eastAsia="Times New Roman" w:hAnsi="Cambria" w:cs="Calibri"/>
          <w:color w:val="000000"/>
          <w:sz w:val="22"/>
          <w:szCs w:val="22"/>
        </w:rPr>
      </w:pPr>
    </w:p>
    <w:p w:rsidR="005E5AF4" w:rsidRDefault="005E5AF4" w:rsidP="005E5AF4">
      <w:pPr>
        <w:ind w:left="1304"/>
        <w:jc w:val="both"/>
        <w:rPr>
          <w:rFonts w:ascii="Cambria" w:eastAsia="Times New Roman" w:hAnsi="Cambria" w:cs="Calibri"/>
          <w:color w:val="000000"/>
          <w:sz w:val="22"/>
          <w:szCs w:val="22"/>
        </w:rPr>
      </w:pPr>
      <w:r>
        <w:rPr>
          <w:rFonts w:ascii="Cambria" w:eastAsia="Times New Roman" w:hAnsi="Cambria" w:cs="Calibri"/>
          <w:color w:val="000000"/>
          <w:sz w:val="22"/>
          <w:szCs w:val="22"/>
        </w:rPr>
        <w:t xml:space="preserve">Lisätietoja, hankepäällikkö Emilia Ojala </w:t>
      </w:r>
      <w:hyperlink r:id="rId8" w:history="1">
        <w:r w:rsidRPr="00193CEA">
          <w:rPr>
            <w:rStyle w:val="Hyperlinkki"/>
            <w:rFonts w:ascii="Cambria" w:eastAsia="Times New Roman" w:hAnsi="Cambria" w:cs="Calibri"/>
            <w:sz w:val="22"/>
            <w:szCs w:val="22"/>
          </w:rPr>
          <w:t>emilia.ojala@stm.fi</w:t>
        </w:r>
      </w:hyperlink>
      <w:r>
        <w:rPr>
          <w:rFonts w:ascii="Cambria" w:eastAsia="Times New Roman" w:hAnsi="Cambria" w:cs="Calibri"/>
          <w:color w:val="000000"/>
          <w:sz w:val="22"/>
          <w:szCs w:val="22"/>
        </w:rPr>
        <w:t xml:space="preserve">, 02951 </w:t>
      </w:r>
      <w:r w:rsidRPr="00B17C17">
        <w:rPr>
          <w:rFonts w:ascii="Cambria" w:eastAsia="Times New Roman" w:hAnsi="Cambria" w:cs="Segoe UI"/>
          <w:noProof/>
          <w:color w:val="232323"/>
          <w:sz w:val="22"/>
          <w:szCs w:val="22"/>
        </w:rPr>
        <w:t>63418</w:t>
      </w:r>
    </w:p>
    <w:p w:rsidR="005E5AF4" w:rsidRDefault="005E5AF4" w:rsidP="005E5AF4">
      <w:pPr>
        <w:ind w:left="1304"/>
        <w:jc w:val="both"/>
        <w:rPr>
          <w:rFonts w:ascii="Cambria" w:eastAsia="Times New Roman" w:hAnsi="Cambria" w:cs="Calibri"/>
          <w:color w:val="000000"/>
          <w:sz w:val="22"/>
          <w:szCs w:val="22"/>
        </w:rPr>
      </w:pPr>
    </w:p>
    <w:p w:rsidR="00051F5E" w:rsidRDefault="005E5AF4" w:rsidP="005E5AF4">
      <w:pPr>
        <w:spacing w:line="480" w:lineRule="auto"/>
        <w:ind w:left="1304"/>
        <w:jc w:val="both"/>
        <w:rPr>
          <w:rFonts w:ascii="Cambria" w:eastAsia="Times New Roman" w:hAnsi="Cambria" w:cs="Calibri"/>
          <w:color w:val="000000"/>
          <w:sz w:val="22"/>
          <w:szCs w:val="22"/>
        </w:rPr>
      </w:pPr>
      <w:r>
        <w:rPr>
          <w:rFonts w:ascii="Cambria" w:eastAsia="Times New Roman" w:hAnsi="Cambria" w:cs="Calibri"/>
          <w:color w:val="000000"/>
          <w:sz w:val="22"/>
          <w:szCs w:val="22"/>
        </w:rPr>
        <w:t xml:space="preserve">Lausunnot pyydetään toimittamaan </w:t>
      </w:r>
      <w:r w:rsidR="001B4138">
        <w:rPr>
          <w:rFonts w:ascii="Cambria" w:eastAsia="Times New Roman" w:hAnsi="Cambria" w:cs="Calibri"/>
          <w:b/>
          <w:color w:val="000000"/>
          <w:sz w:val="22"/>
          <w:szCs w:val="22"/>
        </w:rPr>
        <w:t>torstaihin 19</w:t>
      </w:r>
      <w:bookmarkStart w:id="0" w:name="_GoBack"/>
      <w:bookmarkEnd w:id="0"/>
      <w:r w:rsidRPr="00B37499">
        <w:rPr>
          <w:rFonts w:ascii="Cambria" w:eastAsia="Times New Roman" w:hAnsi="Cambria" w:cs="Calibri"/>
          <w:b/>
          <w:color w:val="000000"/>
          <w:sz w:val="22"/>
          <w:szCs w:val="22"/>
        </w:rPr>
        <w:t>.8.2021</w:t>
      </w:r>
      <w:r>
        <w:rPr>
          <w:rFonts w:ascii="Cambria" w:eastAsia="Times New Roman" w:hAnsi="Cambria" w:cs="Calibri"/>
          <w:color w:val="000000"/>
          <w:sz w:val="22"/>
          <w:szCs w:val="22"/>
        </w:rPr>
        <w:t xml:space="preserve"> mennessä osoitteeseen </w:t>
      </w:r>
    </w:p>
    <w:p w:rsidR="005E5AF4" w:rsidRDefault="001B4138" w:rsidP="005E5AF4">
      <w:pPr>
        <w:spacing w:line="480" w:lineRule="auto"/>
        <w:ind w:left="1304"/>
        <w:jc w:val="both"/>
        <w:rPr>
          <w:rFonts w:ascii="Cambria" w:eastAsia="Times New Roman" w:hAnsi="Cambria" w:cs="Calibri"/>
          <w:color w:val="000000"/>
          <w:sz w:val="22"/>
          <w:szCs w:val="22"/>
        </w:rPr>
      </w:pPr>
      <w:hyperlink r:id="rId9" w:history="1">
        <w:r w:rsidR="005E5AF4" w:rsidRPr="009972C7">
          <w:rPr>
            <w:rStyle w:val="Hyperlinkki"/>
            <w:rFonts w:ascii="Cambria" w:eastAsia="Times New Roman" w:hAnsi="Cambria" w:cs="Calibri"/>
            <w:sz w:val="22"/>
            <w:szCs w:val="22"/>
          </w:rPr>
          <w:t>kirjaamo@stm.fi</w:t>
        </w:r>
      </w:hyperlink>
      <w:r w:rsidR="005E5AF4">
        <w:rPr>
          <w:rFonts w:ascii="Cambria" w:eastAsia="Times New Roman" w:hAnsi="Cambria" w:cs="Calibri"/>
          <w:color w:val="000000"/>
          <w:sz w:val="22"/>
          <w:szCs w:val="22"/>
        </w:rPr>
        <w:t xml:space="preserve"> </w:t>
      </w:r>
    </w:p>
    <w:p w:rsidR="006A5EE0" w:rsidRPr="0015467A" w:rsidRDefault="006A5EE0" w:rsidP="005E5AF4">
      <w:pPr>
        <w:spacing w:line="480" w:lineRule="auto"/>
        <w:ind w:left="1304"/>
        <w:jc w:val="both"/>
        <w:rPr>
          <w:rFonts w:ascii="Cambria" w:eastAsia="Times New Roman" w:hAnsi="Cambria" w:cs="Calibri"/>
          <w:color w:val="000000"/>
          <w:sz w:val="22"/>
          <w:szCs w:val="22"/>
        </w:rPr>
      </w:pPr>
      <w:r>
        <w:rPr>
          <w:rFonts w:ascii="Cambria" w:eastAsia="Times New Roman" w:hAnsi="Cambria" w:cs="Calibri"/>
          <w:color w:val="000000"/>
          <w:sz w:val="22"/>
          <w:szCs w:val="22"/>
        </w:rPr>
        <w:t xml:space="preserve">Lisätietoa: </w:t>
      </w:r>
      <w:hyperlink r:id="rId10" w:history="1">
        <w:r w:rsidRPr="008118F3">
          <w:rPr>
            <w:rStyle w:val="Hyperlinkki"/>
            <w:rFonts w:ascii="Cambria" w:eastAsia="Times New Roman" w:hAnsi="Cambria" w:cs="Calibri"/>
            <w:sz w:val="22"/>
            <w:szCs w:val="22"/>
          </w:rPr>
          <w:t>https://stm.fi/esteettomyysdirektiivi</w:t>
        </w:r>
      </w:hyperlink>
      <w:r>
        <w:rPr>
          <w:rFonts w:ascii="Cambria" w:eastAsia="Times New Roman" w:hAnsi="Cambria" w:cs="Calibri"/>
          <w:color w:val="000000"/>
          <w:sz w:val="22"/>
          <w:szCs w:val="22"/>
        </w:rPr>
        <w:t xml:space="preserve"> </w:t>
      </w:r>
    </w:p>
    <w:p w:rsidR="005E5AF4" w:rsidRPr="00562E6B" w:rsidRDefault="005E5AF4" w:rsidP="005E5AF4">
      <w:pPr>
        <w:ind w:left="3912"/>
      </w:pPr>
    </w:p>
    <w:sectPr w:rsidR="005E5AF4" w:rsidRPr="00562E6B" w:rsidSect="00562E6B">
      <w:headerReference w:type="default" r:id="rId11"/>
      <w:footerReference w:type="default" r:id="rId12"/>
      <w:headerReference w:type="first" r:id="rId13"/>
      <w:foot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1F" w:rsidRDefault="00EA3C1F" w:rsidP="008E0F4A">
      <w:r>
        <w:separator/>
      </w:r>
    </w:p>
  </w:endnote>
  <w:endnote w:type="continuationSeparator" w:id="0">
    <w:p w:rsidR="00EA3C1F" w:rsidRDefault="00EA3C1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FE" w:rsidRPr="008162FE" w:rsidRDefault="008162FE" w:rsidP="008162FE">
    <w:pPr>
      <w:pStyle w:val="Alatunniste"/>
      <w:tabs>
        <w:tab w:val="clear" w:pos="4819"/>
        <w:tab w:val="clear" w:pos="9638"/>
        <w:tab w:val="left" w:pos="2127"/>
        <w:tab w:val="left" w:pos="4253"/>
        <w:tab w:val="left" w:pos="6096"/>
        <w:tab w:val="left" w:pos="7938"/>
      </w:tabs>
      <w:rPr>
        <w:b/>
        <w:sz w:val="14"/>
        <w:szCs w:val="14"/>
      </w:rPr>
    </w:pPr>
    <w:r w:rsidRPr="008162FE">
      <w:rPr>
        <w:b/>
        <w:sz w:val="14"/>
        <w:szCs w:val="14"/>
      </w:rPr>
      <w:t>Postiosoite</w:t>
    </w:r>
    <w:r w:rsidRPr="008162FE">
      <w:rPr>
        <w:b/>
        <w:sz w:val="14"/>
        <w:szCs w:val="14"/>
      </w:rPr>
      <w:tab/>
      <w:t>Käyntiosoite</w:t>
    </w:r>
    <w:r w:rsidRPr="008162FE">
      <w:rPr>
        <w:b/>
        <w:sz w:val="14"/>
        <w:szCs w:val="14"/>
      </w:rPr>
      <w:tab/>
      <w:t>Puhelin</w:t>
    </w:r>
    <w:r w:rsidRPr="008162FE">
      <w:rPr>
        <w:b/>
        <w:sz w:val="14"/>
        <w:szCs w:val="14"/>
      </w:rPr>
      <w:tab/>
      <w:t>Faksi</w:t>
    </w:r>
    <w:r w:rsidRPr="008162FE">
      <w:rPr>
        <w:b/>
        <w:sz w:val="14"/>
        <w:szCs w:val="14"/>
      </w:rPr>
      <w:tab/>
      <w:t>s-posti, internet</w:t>
    </w:r>
  </w:p>
  <w:p w:rsidR="008162FE" w:rsidRPr="008162FE" w:rsidRDefault="008162FE" w:rsidP="008162FE">
    <w:pPr>
      <w:pStyle w:val="Alatunniste"/>
      <w:tabs>
        <w:tab w:val="clear" w:pos="4819"/>
        <w:tab w:val="clear" w:pos="9638"/>
        <w:tab w:val="left" w:pos="2127"/>
        <w:tab w:val="left" w:pos="4253"/>
        <w:tab w:val="left" w:pos="6096"/>
        <w:tab w:val="left" w:pos="7938"/>
      </w:tabs>
      <w:rPr>
        <w:b/>
        <w:sz w:val="14"/>
        <w:szCs w:val="14"/>
        <w:lang w:val="sv-SE"/>
      </w:rPr>
    </w:pPr>
    <w:r w:rsidRPr="008162FE">
      <w:rPr>
        <w:b/>
        <w:sz w:val="14"/>
        <w:szCs w:val="14"/>
        <w:lang w:val="sv-SE"/>
      </w:rPr>
      <w:t>Postadress</w:t>
    </w:r>
    <w:r w:rsidRPr="008162FE">
      <w:rPr>
        <w:b/>
        <w:sz w:val="14"/>
        <w:szCs w:val="14"/>
        <w:lang w:val="sv-SE"/>
      </w:rPr>
      <w:tab/>
      <w:t>Besöksadress</w:t>
    </w:r>
    <w:r w:rsidRPr="008162FE">
      <w:rPr>
        <w:b/>
        <w:sz w:val="14"/>
        <w:szCs w:val="14"/>
        <w:lang w:val="sv-SE"/>
      </w:rPr>
      <w:tab/>
      <w:t>Telefon</w:t>
    </w:r>
    <w:r w:rsidRPr="008162FE">
      <w:rPr>
        <w:b/>
        <w:sz w:val="14"/>
        <w:szCs w:val="14"/>
        <w:lang w:val="sv-SE"/>
      </w:rPr>
      <w:tab/>
      <w:t>Fax</w:t>
    </w:r>
    <w:r w:rsidRPr="008162FE">
      <w:rPr>
        <w:b/>
        <w:sz w:val="14"/>
        <w:szCs w:val="14"/>
        <w:lang w:val="sv-SE"/>
      </w:rPr>
      <w:tab/>
      <w:t>e-post, internet</w:t>
    </w:r>
  </w:p>
  <w:p w:rsidR="008162FE" w:rsidRPr="008162FE" w:rsidRDefault="008162FE" w:rsidP="008162FE">
    <w:pPr>
      <w:pStyle w:val="Alatunniste"/>
      <w:tabs>
        <w:tab w:val="clear" w:pos="4819"/>
        <w:tab w:val="clear" w:pos="9638"/>
        <w:tab w:val="left" w:pos="2127"/>
        <w:tab w:val="left" w:pos="4253"/>
        <w:tab w:val="left" w:pos="6096"/>
        <w:tab w:val="left" w:pos="7938"/>
      </w:tabs>
      <w:rPr>
        <w:b/>
        <w:sz w:val="14"/>
        <w:szCs w:val="14"/>
        <w:lang w:val="en-US"/>
      </w:rPr>
    </w:pPr>
    <w:r w:rsidRPr="008162FE">
      <w:rPr>
        <w:b/>
        <w:sz w:val="14"/>
        <w:szCs w:val="14"/>
        <w:lang w:val="en-US"/>
      </w:rPr>
      <w:t>Postal Address</w:t>
    </w:r>
    <w:r w:rsidRPr="008162FE">
      <w:rPr>
        <w:b/>
        <w:sz w:val="14"/>
        <w:szCs w:val="14"/>
        <w:lang w:val="en-US"/>
      </w:rPr>
      <w:tab/>
      <w:t>Office</w:t>
    </w:r>
    <w:r w:rsidRPr="008162FE">
      <w:rPr>
        <w:b/>
        <w:sz w:val="14"/>
        <w:szCs w:val="14"/>
        <w:lang w:val="en-US"/>
      </w:rPr>
      <w:tab/>
      <w:t>Telephone</w:t>
    </w:r>
    <w:r w:rsidRPr="008162FE">
      <w:rPr>
        <w:b/>
        <w:sz w:val="14"/>
        <w:szCs w:val="14"/>
        <w:lang w:val="en-US"/>
      </w:rPr>
      <w:tab/>
      <w:t>Fax</w:t>
    </w:r>
    <w:r w:rsidRPr="008162FE">
      <w:rPr>
        <w:b/>
        <w:sz w:val="14"/>
        <w:szCs w:val="14"/>
        <w:lang w:val="en-US"/>
      </w:rPr>
      <w:tab/>
      <w:t>e-mail, internet</w:t>
    </w:r>
  </w:p>
  <w:p w:rsidR="008162FE" w:rsidRPr="00F80ED2" w:rsidRDefault="008162FE" w:rsidP="008162FE">
    <w:pPr>
      <w:pStyle w:val="Alatunniste"/>
      <w:tabs>
        <w:tab w:val="clear" w:pos="4819"/>
        <w:tab w:val="clear" w:pos="9638"/>
        <w:tab w:val="left" w:pos="2127"/>
        <w:tab w:val="left" w:pos="4253"/>
        <w:tab w:val="left" w:pos="6096"/>
        <w:tab w:val="left" w:pos="7938"/>
      </w:tabs>
      <w:rPr>
        <w:sz w:val="14"/>
        <w:szCs w:val="14"/>
        <w:lang w:val="en-US"/>
      </w:rPr>
    </w:pPr>
  </w:p>
  <w:p w:rsidR="008162FE" w:rsidRPr="008162FE" w:rsidRDefault="008162FE" w:rsidP="008162FE">
    <w:pPr>
      <w:pStyle w:val="Alatunniste"/>
      <w:tabs>
        <w:tab w:val="clear" w:pos="4819"/>
        <w:tab w:val="clear" w:pos="9638"/>
        <w:tab w:val="left" w:pos="2127"/>
        <w:tab w:val="left" w:pos="4253"/>
        <w:tab w:val="left" w:pos="6096"/>
        <w:tab w:val="left" w:pos="7938"/>
      </w:tabs>
      <w:rPr>
        <w:sz w:val="14"/>
        <w:szCs w:val="14"/>
      </w:rPr>
    </w:pPr>
    <w:proofErr w:type="spellStart"/>
    <w:r w:rsidRPr="008162FE">
      <w:rPr>
        <w:sz w:val="14"/>
        <w:szCs w:val="14"/>
      </w:rPr>
      <w:t>Sosiaali</w:t>
    </w:r>
    <w:proofErr w:type="spellEnd"/>
    <w:r w:rsidRPr="008162FE">
      <w:rPr>
        <w:sz w:val="14"/>
        <w:szCs w:val="14"/>
      </w:rPr>
      <w:t xml:space="preserve">- ja terveysministeriö </w:t>
    </w:r>
  </w:p>
  <w:p w:rsidR="008162FE" w:rsidRPr="008162FE" w:rsidRDefault="008162FE" w:rsidP="008162FE">
    <w:pPr>
      <w:pStyle w:val="Alatunniste"/>
      <w:tabs>
        <w:tab w:val="clear" w:pos="4819"/>
        <w:tab w:val="clear" w:pos="9638"/>
        <w:tab w:val="left" w:pos="2127"/>
        <w:tab w:val="left" w:pos="4253"/>
        <w:tab w:val="left" w:pos="6096"/>
        <w:tab w:val="left" w:pos="7938"/>
      </w:tabs>
      <w:rPr>
        <w:sz w:val="14"/>
        <w:szCs w:val="14"/>
      </w:rPr>
    </w:pPr>
    <w:r w:rsidRPr="008162FE">
      <w:rPr>
        <w:sz w:val="14"/>
        <w:szCs w:val="14"/>
      </w:rPr>
      <w:t>PL 33</w:t>
    </w:r>
    <w:r w:rsidRPr="008162FE">
      <w:rPr>
        <w:sz w:val="14"/>
        <w:szCs w:val="14"/>
      </w:rPr>
      <w:tab/>
      <w:t>Meritullinkatu 8</w:t>
    </w:r>
    <w:r w:rsidRPr="008162FE">
      <w:rPr>
        <w:sz w:val="14"/>
        <w:szCs w:val="14"/>
      </w:rPr>
      <w:tab/>
      <w:t>29 516 001</w:t>
    </w:r>
    <w:r w:rsidRPr="008162FE">
      <w:rPr>
        <w:sz w:val="14"/>
        <w:szCs w:val="14"/>
      </w:rPr>
      <w:tab/>
      <w:t>295 163 415</w:t>
    </w:r>
    <w:r w:rsidRPr="008162FE">
      <w:rPr>
        <w:sz w:val="14"/>
        <w:szCs w:val="14"/>
      </w:rPr>
      <w:tab/>
      <w:t>kirjaamo@stm.fi</w:t>
    </w:r>
    <w:r w:rsidRPr="008162FE">
      <w:rPr>
        <w:sz w:val="14"/>
        <w:szCs w:val="14"/>
      </w:rPr>
      <w:cr/>
      <w:t xml:space="preserve">00023 Valtioneuvosto </w:t>
    </w:r>
    <w:r w:rsidRPr="008162FE">
      <w:rPr>
        <w:sz w:val="14"/>
        <w:szCs w:val="14"/>
      </w:rPr>
      <w:tab/>
      <w:t>35 829 516 001</w:t>
    </w:r>
    <w:r w:rsidRPr="008162FE">
      <w:rPr>
        <w:sz w:val="14"/>
        <w:szCs w:val="14"/>
      </w:rPr>
      <w:tab/>
      <w:t>358 295 163 415</w:t>
    </w:r>
    <w:r w:rsidRPr="008162FE">
      <w:rPr>
        <w:sz w:val="14"/>
        <w:szCs w:val="14"/>
      </w:rPr>
      <w:tab/>
      <w:t>stm.fi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1F" w:rsidRDefault="00EA3C1F" w:rsidP="008E0F4A">
      <w:r>
        <w:separator/>
      </w:r>
    </w:p>
  </w:footnote>
  <w:footnote w:type="continuationSeparator" w:id="0">
    <w:p w:rsidR="00EA3C1F" w:rsidRDefault="00EA3C1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902399"/>
      <w:docPartObj>
        <w:docPartGallery w:val="Page Numbers (Top of Page)"/>
        <w:docPartUnique/>
      </w:docPartObj>
    </w:sdtPr>
    <w:sdtEndPr/>
    <w:sdtContent>
      <w:p w:rsidR="008E0F4A" w:rsidRPr="005E5AF4" w:rsidRDefault="00AE79F4" w:rsidP="005E5AF4">
        <w:pPr>
          <w:ind w:right="-143" w:firstLine="8789"/>
          <w:jc w:val="center"/>
          <w:rPr>
            <w:rFonts w:ascii="Times New Roman" w:hAnsi="Times New Roman" w:cs="Times New Roman"/>
            <w:sz w:val="24"/>
          </w:rPr>
        </w:pPr>
        <w:r w:rsidRPr="005E5AF4">
          <w:rPr>
            <w:rFonts w:ascii="Times New Roman" w:hAnsi="Times New Roman" w:cs="Times New Roman"/>
            <w:sz w:val="24"/>
          </w:rPr>
          <w:fldChar w:fldCharType="begin"/>
        </w:r>
        <w:r w:rsidRPr="005E5AF4">
          <w:rPr>
            <w:rFonts w:ascii="Times New Roman" w:hAnsi="Times New Roman" w:cs="Times New Roman"/>
            <w:sz w:val="24"/>
          </w:rPr>
          <w:instrText xml:space="preserve"> PAGE   \* MERGEFORMAT </w:instrText>
        </w:r>
        <w:r w:rsidRPr="005E5AF4">
          <w:rPr>
            <w:rFonts w:ascii="Times New Roman" w:hAnsi="Times New Roman" w:cs="Times New Roman"/>
            <w:sz w:val="24"/>
          </w:rPr>
          <w:fldChar w:fldCharType="separate"/>
        </w:r>
        <w:r w:rsidR="001B4138">
          <w:rPr>
            <w:rFonts w:ascii="Times New Roman" w:hAnsi="Times New Roman" w:cs="Times New Roman"/>
            <w:noProof/>
            <w:sz w:val="24"/>
          </w:rPr>
          <w:t>2</w:t>
        </w:r>
        <w:r w:rsidRPr="005E5AF4">
          <w:rPr>
            <w:rFonts w:ascii="Times New Roman" w:hAnsi="Times New Roman" w:cs="Times New Roman"/>
            <w:noProof/>
            <w:sz w:val="24"/>
          </w:rPr>
          <w:fldChar w:fldCharType="end"/>
        </w:r>
        <w:r w:rsidR="005E5AF4" w:rsidRPr="005E5AF4">
          <w:rPr>
            <w:rFonts w:ascii="Times New Roman" w:hAnsi="Times New Roman" w:cs="Times New Roman"/>
            <w:noProof/>
            <w:sz w:val="24"/>
          </w:rPr>
          <w:tab/>
        </w:r>
        <w:r w:rsidR="005E5AF4" w:rsidRPr="005E5AF4">
          <w:rPr>
            <w:rFonts w:ascii="Times New Roman" w:hAnsi="Times New Roman" w:cs="Times New Roman"/>
            <w:noProof/>
            <w:sz w:val="24"/>
          </w:rPr>
          <w:tab/>
        </w:r>
        <w:r w:rsidR="005E5AF4" w:rsidRPr="005E5AF4">
          <w:rPr>
            <w:rFonts w:ascii="Times New Roman" w:hAnsi="Times New Roman" w:cs="Times New Roman"/>
            <w:noProof/>
            <w:sz w:val="24"/>
          </w:rPr>
          <w:tab/>
        </w:r>
        <w:r w:rsidR="005E5AF4" w:rsidRPr="005E5AF4">
          <w:rPr>
            <w:rFonts w:ascii="Times New Roman" w:hAnsi="Times New Roman" w:cs="Times New Roman"/>
            <w:noProof/>
            <w:sz w:val="24"/>
          </w:rPr>
          <w:tab/>
          <w:t>2</w:t>
        </w:r>
        <w:r w:rsidR="005E5AF4" w:rsidRPr="005E5AF4">
          <w:rPr>
            <w:rFonts w:ascii="Times New Roman" w:hAnsi="Times New Roman" w:cs="Times New Roman"/>
            <w:sz w:val="24"/>
          </w:rPr>
          <w:t xml:space="preserve"> (2)</w:t>
        </w:r>
      </w:p>
      <w:p w:rsidR="00FA6ACE" w:rsidRPr="005E5AF4" w:rsidRDefault="00FA6ACE" w:rsidP="00562E6B">
        <w:pPr>
          <w:rPr>
            <w:rFonts w:ascii="Times New Roman" w:hAnsi="Times New Roman" w:cs="Times New Roman"/>
            <w:sz w:val="24"/>
          </w:rPr>
        </w:pPr>
      </w:p>
      <w:p w:rsidR="008E0F4A" w:rsidRPr="005E5AF4" w:rsidRDefault="001B4138" w:rsidP="00562E6B">
        <w:pPr>
          <w:rPr>
            <w:rFonts w:ascii="Times New Roman" w:hAnsi="Times New Roman" w:cs="Times New Roman"/>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FE" w:rsidRDefault="008162FE" w:rsidP="008162FE">
    <w:pPr>
      <w:pStyle w:val="Yltunniste"/>
      <w:tabs>
        <w:tab w:val="clear" w:pos="4819"/>
        <w:tab w:val="left" w:pos="5103"/>
      </w:tabs>
    </w:pPr>
    <w:r w:rsidRPr="00203B7F">
      <w:rPr>
        <w:rFonts w:ascii="Myriad Pro" w:hAnsi="Myriad Pro"/>
        <w:noProof/>
        <w:lang w:eastAsia="fi-FI"/>
      </w:rPr>
      <w:drawing>
        <wp:inline distT="0" distB="0" distL="0" distR="0">
          <wp:extent cx="1804670" cy="429260"/>
          <wp:effectExtent l="0" t="0" r="5080" b="8890"/>
          <wp:docPr id="5" name="Kuva 1" descr="Sosiaali- ja terveysminsiteriön logo" title="Sosiaali- ja terveys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670" cy="429260"/>
                  </a:xfrm>
                  <a:prstGeom prst="rect">
                    <a:avLst/>
                  </a:prstGeom>
                  <a:noFill/>
                  <a:ln>
                    <a:noFill/>
                  </a:ln>
                </pic:spPr>
              </pic:pic>
            </a:graphicData>
          </a:graphic>
        </wp:inline>
      </w:drawing>
    </w:r>
    <w:r w:rsidR="005E5AF4">
      <w:tab/>
    </w:r>
    <w:r w:rsidR="00437B43">
      <w:t>LAUSUNTOPYYNTÖ</w:t>
    </w:r>
    <w:r w:rsidR="005E5AF4">
      <w:tab/>
      <w:t>1(2</w:t>
    </w:r>
    <w:r>
      <w:t>)</w:t>
    </w:r>
    <w:r>
      <w:cr/>
    </w:r>
    <w:r>
      <w:tab/>
      <w:t>VN/</w:t>
    </w:r>
    <w:r w:rsidR="005E5AF4">
      <w:t>11443</w:t>
    </w:r>
    <w:r>
      <w:t>/2021</w:t>
    </w:r>
    <w:r>
      <w:tab/>
    </w:r>
  </w:p>
  <w:p w:rsidR="008162FE" w:rsidRDefault="008162FE" w:rsidP="008162FE">
    <w:pPr>
      <w:pStyle w:val="Yltunniste"/>
      <w:tabs>
        <w:tab w:val="clear" w:pos="4819"/>
        <w:tab w:val="left" w:pos="5103"/>
      </w:tabs>
    </w:pPr>
    <w:r>
      <w:t xml:space="preserve">  </w:t>
    </w:r>
  </w:p>
  <w:p w:rsidR="008162FE" w:rsidRDefault="008162FE" w:rsidP="008162FE">
    <w:pPr>
      <w:pStyle w:val="Yltunniste"/>
      <w:tabs>
        <w:tab w:val="clear" w:pos="4819"/>
        <w:tab w:val="left" w:pos="5103"/>
      </w:tabs>
    </w:pPr>
    <w:r>
      <w:tab/>
    </w:r>
    <w:r w:rsidR="00051F5E">
      <w:t>3</w:t>
    </w:r>
    <w:r>
      <w:t>.</w:t>
    </w:r>
    <w:r w:rsidR="005E5AF4">
      <w:t>8</w:t>
    </w:r>
    <w:r>
      <w:t>.2021</w:t>
    </w:r>
  </w:p>
  <w:p w:rsidR="008162FE" w:rsidRDefault="008162FE" w:rsidP="008162FE">
    <w:pPr>
      <w:pStyle w:val="Yltunniste"/>
    </w:pPr>
  </w:p>
  <w:p w:rsidR="00CB4C78" w:rsidRPr="008162FE" w:rsidRDefault="00CB4C78" w:rsidP="008162F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FE"/>
    <w:rsid w:val="00016E55"/>
    <w:rsid w:val="00020721"/>
    <w:rsid w:val="0003182E"/>
    <w:rsid w:val="00051F5E"/>
    <w:rsid w:val="00053D44"/>
    <w:rsid w:val="00063ECB"/>
    <w:rsid w:val="00075991"/>
    <w:rsid w:val="000B3024"/>
    <w:rsid w:val="000C272A"/>
    <w:rsid w:val="000D3235"/>
    <w:rsid w:val="001010ED"/>
    <w:rsid w:val="001431B7"/>
    <w:rsid w:val="00144D34"/>
    <w:rsid w:val="00147111"/>
    <w:rsid w:val="00155F3B"/>
    <w:rsid w:val="001776E9"/>
    <w:rsid w:val="001B078B"/>
    <w:rsid w:val="001B4138"/>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37B43"/>
    <w:rsid w:val="00446E3A"/>
    <w:rsid w:val="0047233E"/>
    <w:rsid w:val="00474F0D"/>
    <w:rsid w:val="00486BE8"/>
    <w:rsid w:val="004A196F"/>
    <w:rsid w:val="004C5212"/>
    <w:rsid w:val="004C6B33"/>
    <w:rsid w:val="005146D4"/>
    <w:rsid w:val="0051596E"/>
    <w:rsid w:val="005512A4"/>
    <w:rsid w:val="00562E6B"/>
    <w:rsid w:val="005834E9"/>
    <w:rsid w:val="0059671F"/>
    <w:rsid w:val="005E5AF4"/>
    <w:rsid w:val="006131C2"/>
    <w:rsid w:val="006A4A91"/>
    <w:rsid w:val="006A5EE0"/>
    <w:rsid w:val="006D40F8"/>
    <w:rsid w:val="006D6C2D"/>
    <w:rsid w:val="00722420"/>
    <w:rsid w:val="0076257D"/>
    <w:rsid w:val="007729CF"/>
    <w:rsid w:val="00783B52"/>
    <w:rsid w:val="00785D97"/>
    <w:rsid w:val="007A74D4"/>
    <w:rsid w:val="007B4560"/>
    <w:rsid w:val="007B4E42"/>
    <w:rsid w:val="007C2B22"/>
    <w:rsid w:val="00811D8D"/>
    <w:rsid w:val="008162FE"/>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E79F4"/>
    <w:rsid w:val="00AF2EBD"/>
    <w:rsid w:val="00AF3346"/>
    <w:rsid w:val="00B37499"/>
    <w:rsid w:val="00B42986"/>
    <w:rsid w:val="00BE4CA3"/>
    <w:rsid w:val="00BF06A8"/>
    <w:rsid w:val="00C21181"/>
    <w:rsid w:val="00CB4C78"/>
    <w:rsid w:val="00CD4A95"/>
    <w:rsid w:val="00CF478E"/>
    <w:rsid w:val="00D05785"/>
    <w:rsid w:val="00D25AD2"/>
    <w:rsid w:val="00D35E49"/>
    <w:rsid w:val="00D44B33"/>
    <w:rsid w:val="00D60C53"/>
    <w:rsid w:val="00D76D7A"/>
    <w:rsid w:val="00D87C57"/>
    <w:rsid w:val="00DE107F"/>
    <w:rsid w:val="00DE217C"/>
    <w:rsid w:val="00E07440"/>
    <w:rsid w:val="00E2160A"/>
    <w:rsid w:val="00E330A7"/>
    <w:rsid w:val="00E44094"/>
    <w:rsid w:val="00EA3C1F"/>
    <w:rsid w:val="00EE5359"/>
    <w:rsid w:val="00F63379"/>
    <w:rsid w:val="00F7177D"/>
    <w:rsid w:val="00F734F9"/>
    <w:rsid w:val="00F73B15"/>
    <w:rsid w:val="00F80ED2"/>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E94758"/>
  <w15:chartTrackingRefBased/>
  <w15:docId w15:val="{950007E0-76EF-4B14-AFA9-DAAD3E03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5AF4"/>
    <w:pPr>
      <w:spacing w:line="280" w:lineRule="exact"/>
      <w:ind w:left="2608"/>
    </w:pPr>
    <w:rPr>
      <w:rFonts w:ascii="Arial" w:eastAsiaTheme="minorEastAsia" w:hAnsi="Arial" w:cstheme="minorBidi"/>
      <w:sz w:val="18"/>
      <w:szCs w:val="24"/>
    </w:rPr>
  </w:style>
  <w:style w:type="paragraph" w:styleId="Otsikko1">
    <w:name w:val="heading 1"/>
    <w:basedOn w:val="Normaali"/>
    <w:next w:val="Normaali"/>
    <w:link w:val="Otsikko1Char"/>
    <w:uiPriority w:val="9"/>
    <w:rsid w:val="00722420"/>
    <w:pPr>
      <w:keepNext/>
      <w:keepLines/>
      <w:spacing w:before="480" w:line="240" w:lineRule="auto"/>
      <w:ind w:left="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spacing w:line="240" w:lineRule="auto"/>
      <w:ind w:left="0"/>
    </w:pPr>
    <w:rPr>
      <w:rFonts w:ascii="Times New Roman" w:eastAsia="Times New Roman" w:hAnsi="Times New Roman" w:cs="Times New Roman"/>
      <w:sz w:val="24"/>
      <w:szCs w:val="20"/>
      <w:lang w:eastAsia="en-US"/>
    </w:r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spacing w:line="240" w:lineRule="auto"/>
      <w:ind w:left="0"/>
    </w:pPr>
    <w:rPr>
      <w:rFonts w:ascii="Times New Roman" w:eastAsia="Times New Roman" w:hAnsi="Times New Roman" w:cs="Times New Roman"/>
      <w:sz w:val="24"/>
      <w:szCs w:val="20"/>
      <w:lang w:eastAsia="en-US"/>
    </w:r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5E5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a.ojala@stm.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ur-lex.europa.eu/legal-content/FI/TXT/PDF/?uri=CELEX:32019L0882&amp;from=F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m.fi/esteettomyysdirektiivi" TargetMode="External"/><Relationship Id="rId4" Type="http://schemas.openxmlformats.org/officeDocument/2006/relationships/webSettings" Target="webSettings.xml"/><Relationship Id="rId9" Type="http://schemas.openxmlformats.org/officeDocument/2006/relationships/hyperlink" Target="mailto:kirjaamo@stm.f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2902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Judén Tiina (STM)</dc:creator>
  <cp:keywords/>
  <dc:description/>
  <cp:lastModifiedBy>Ojala Emilia (STM)</cp:lastModifiedBy>
  <cp:revision>10</cp:revision>
  <dcterms:created xsi:type="dcterms:W3CDTF">2021-07-30T10:24:00Z</dcterms:created>
  <dcterms:modified xsi:type="dcterms:W3CDTF">2021-08-03T09:08:00Z</dcterms:modified>
</cp:coreProperties>
</file>