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03" w:rsidRDefault="0045664B" w:rsidP="00EA7E03">
      <w:pPr>
        <w:pStyle w:val="VMOtsikko1"/>
        <w:rPr>
          <w:shd w:val="clear" w:color="auto" w:fill="F8F8F8"/>
          <w:lang w:val="sv-SE"/>
        </w:rPr>
      </w:pPr>
      <w:r>
        <w:rPr>
          <w:shd w:val="clear" w:color="auto" w:fill="F8F8F8"/>
          <w:lang w:val="sv-SE"/>
        </w:rPr>
        <w:t>G</w:t>
      </w:r>
      <w:r w:rsidR="00EA7E03" w:rsidRPr="00EA7E03">
        <w:rPr>
          <w:shd w:val="clear" w:color="auto" w:fill="F8F8F8"/>
          <w:lang w:val="sv-SE"/>
        </w:rPr>
        <w:t>enomförandet av tillgänglighetsdirektivet</w:t>
      </w:r>
    </w:p>
    <w:p w:rsidR="00EA7E03" w:rsidRDefault="00EA7E03" w:rsidP="00EA7E03">
      <w:pPr>
        <w:ind w:left="1304"/>
        <w:jc w:val="both"/>
        <w:rPr>
          <w:rFonts w:ascii="Times New Roman" w:hAnsi="Times New Roman" w:cs="Times New Roman"/>
          <w:bCs/>
          <w:color w:val="000000"/>
          <w:sz w:val="24"/>
          <w:lang w:val="sv-SE"/>
        </w:rPr>
      </w:pPr>
      <w:r w:rsidRPr="00EA7E03">
        <w:rPr>
          <w:rFonts w:ascii="Times New Roman" w:hAnsi="Times New Roman" w:cs="Times New Roman"/>
          <w:bCs/>
          <w:color w:val="000000"/>
          <w:sz w:val="24"/>
          <w:lang w:val="sv-SE"/>
        </w:rPr>
        <w:t xml:space="preserve">Vi begär att få utlåtanden som stöd för den nationella beredning som </w:t>
      </w:r>
      <w:hyperlink r:id="rId7" w:history="1">
        <w:r w:rsidRPr="00637B78">
          <w:rPr>
            <w:rStyle w:val="Hyperlinkki"/>
            <w:rFonts w:ascii="Times New Roman" w:hAnsi="Times New Roman" w:cs="Times New Roman"/>
            <w:bCs/>
            <w:sz w:val="24"/>
            <w:lang w:val="sv-SE"/>
          </w:rPr>
          <w:t>tillgänglighetdirektivet</w:t>
        </w:r>
      </w:hyperlink>
      <w:r>
        <w:rPr>
          <w:rFonts w:ascii="Times New Roman" w:hAnsi="Times New Roman" w:cs="Times New Roman"/>
          <w:bCs/>
          <w:color w:val="000000"/>
          <w:sz w:val="24"/>
          <w:lang w:val="sv-SE"/>
        </w:rPr>
        <w:t xml:space="preserve"> förutsätter.</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Pr="00EA7E03" w:rsidRDefault="00EA7E03" w:rsidP="00EA7E03">
      <w:pPr>
        <w:ind w:left="1304"/>
        <w:jc w:val="both"/>
        <w:rPr>
          <w:rFonts w:ascii="Times New Roman" w:eastAsia="Times New Roman" w:hAnsi="Times New Roman" w:cs="Times New Roman"/>
          <w:bCs/>
          <w:color w:val="000000"/>
          <w:sz w:val="24"/>
          <w:lang w:val="sv-SE"/>
        </w:rPr>
      </w:pPr>
      <w:r w:rsidRPr="00EA7E03">
        <w:rPr>
          <w:rFonts w:ascii="Times New Roman" w:hAnsi="Times New Roman" w:cs="Times New Roman"/>
          <w:bCs/>
          <w:color w:val="000000"/>
          <w:sz w:val="24"/>
          <w:lang w:val="sv-SE"/>
        </w:rPr>
        <w:t xml:space="preserve">Utlåtandet ska omfatta en A4. I utlåtandet ska man också ange om man vill hålla ett anförande vid den tillställning som ordnas den 25 augusti kl. 13.00-15.00. Anförandet får vara 2-3 minuter långt. </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Default="00EA7E03" w:rsidP="00EA7E03">
      <w:pPr>
        <w:ind w:left="1304"/>
        <w:jc w:val="both"/>
        <w:rPr>
          <w:rFonts w:ascii="Times New Roman" w:hAnsi="Times New Roman" w:cs="Times New Roman"/>
          <w:bCs/>
          <w:color w:val="000000"/>
          <w:sz w:val="24"/>
          <w:lang w:val="sv-SE"/>
        </w:rPr>
      </w:pPr>
      <w:r w:rsidRPr="00EA7E03">
        <w:rPr>
          <w:rFonts w:ascii="Times New Roman" w:hAnsi="Times New Roman" w:cs="Times New Roman"/>
          <w:bCs/>
          <w:color w:val="000000"/>
          <w:sz w:val="24"/>
          <w:lang w:val="sv-SE"/>
        </w:rPr>
        <w:t xml:space="preserve">Tillgänglighetsdirektivet ska genomföras genom en nationell lag före den 28 juni 2022. Tillgänglighetskraven tillämpas från och med den 28 juni 2025. Utöver detta gäller dessutom separata övergångsperioder som gäller fram till år 2030 eller för självserviceautomaternas del till utgången av deras användningstider (dock inte längre än 20 år från ibruktagandet). </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Pr="00EA7E03" w:rsidRDefault="00EA7E03" w:rsidP="00EA7E03">
      <w:pPr>
        <w:ind w:left="1304"/>
        <w:jc w:val="both"/>
        <w:rPr>
          <w:rFonts w:ascii="Times New Roman" w:eastAsia="Times New Roman" w:hAnsi="Times New Roman" w:cs="Times New Roman"/>
          <w:bCs/>
          <w:color w:val="000000"/>
          <w:sz w:val="24"/>
          <w:lang w:val="sv-SE"/>
        </w:rPr>
      </w:pPr>
      <w:r w:rsidRPr="00EA7E03">
        <w:rPr>
          <w:rFonts w:ascii="Times New Roman" w:hAnsi="Times New Roman" w:cs="Times New Roman"/>
          <w:bCs/>
          <w:color w:val="000000"/>
          <w:sz w:val="24"/>
          <w:lang w:val="sv-SE"/>
        </w:rPr>
        <w:t xml:space="preserve">Tillgänglighetskraven gäller de produkter och tjänster som omfattas av direktivet. En produkt eller tjänst som omfattas av tillämpningsområdet för tillgänglighetsdirektivet och som släpps ut på marknaden efter den 28 juni 2025 bör uppfylla tillgänglighetskraven i direktivet. </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Pr="00EA7E03" w:rsidRDefault="00EA7E03" w:rsidP="00EA7E03">
      <w:pPr>
        <w:ind w:left="1304"/>
        <w:jc w:val="both"/>
        <w:rPr>
          <w:rFonts w:ascii="Times New Roman" w:eastAsia="Times New Roman" w:hAnsi="Times New Roman" w:cs="Times New Roman"/>
          <w:bCs/>
          <w:color w:val="000000"/>
          <w:sz w:val="24"/>
          <w:lang w:val="sv-SE"/>
        </w:rPr>
      </w:pPr>
      <w:r w:rsidRPr="00945DA6">
        <w:rPr>
          <w:rFonts w:ascii="Times New Roman" w:hAnsi="Times New Roman" w:cs="Times New Roman"/>
          <w:bCs/>
          <w:sz w:val="24"/>
          <w:lang w:val="sv-SE"/>
        </w:rPr>
        <w:t>Tillgänglighetsdirektivet</w:t>
      </w:r>
      <w:r w:rsidRPr="00EA7E03">
        <w:rPr>
          <w:rFonts w:ascii="Times New Roman" w:hAnsi="Times New Roman" w:cs="Times New Roman"/>
          <w:bCs/>
          <w:color w:val="000000"/>
          <w:sz w:val="24"/>
          <w:lang w:val="sv-SE"/>
        </w:rPr>
        <w:t xml:space="preserve"> gäller både den offentliga och den privata sektorn. </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Pr="00EA7E03" w:rsidRDefault="00EA7E03" w:rsidP="00EA7E03">
      <w:pPr>
        <w:ind w:left="1304"/>
        <w:jc w:val="both"/>
        <w:rPr>
          <w:rFonts w:ascii="Times New Roman" w:eastAsia="Times New Roman" w:hAnsi="Times New Roman" w:cs="Times New Roman"/>
          <w:bCs/>
          <w:color w:val="000000"/>
          <w:sz w:val="24"/>
          <w:lang w:val="sv-SE"/>
        </w:rPr>
      </w:pPr>
      <w:r w:rsidRPr="00EA7E03">
        <w:rPr>
          <w:rFonts w:ascii="Times New Roman" w:hAnsi="Times New Roman" w:cs="Times New Roman"/>
          <w:bCs/>
          <w:color w:val="000000"/>
          <w:sz w:val="24"/>
          <w:lang w:val="sv-SE"/>
        </w:rPr>
        <w:t xml:space="preserve">Tillgänglighetskraven anges i bilaga I till direktivet. Kraven varierar något beroende på produkten och tjänsten.  </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Pr="00EA7E03" w:rsidRDefault="00EA7E03" w:rsidP="00EA7E03">
      <w:pPr>
        <w:ind w:left="1304"/>
        <w:jc w:val="both"/>
        <w:rPr>
          <w:rFonts w:ascii="Times New Roman" w:eastAsia="Times New Roman" w:hAnsi="Times New Roman" w:cs="Times New Roman"/>
          <w:bCs/>
          <w:color w:val="000000"/>
          <w:sz w:val="24"/>
          <w:lang w:val="sv-SE"/>
        </w:rPr>
      </w:pPr>
      <w:r w:rsidRPr="00EA7E03">
        <w:rPr>
          <w:rFonts w:ascii="Times New Roman" w:hAnsi="Times New Roman" w:cs="Times New Roman"/>
          <w:bCs/>
          <w:color w:val="000000"/>
          <w:sz w:val="24"/>
          <w:lang w:val="sv-SE"/>
        </w:rPr>
        <w:t xml:space="preserve">När det gäller den byggda miljön ger tillgänglighetsdirektivet utrymme för medlemsstaternas prövning. De krav i bilaga III som gäller detta bör dock uppfyllas till fullo om medlemsstaten beslutar att genomföra dem.  </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Default="00EA7E03" w:rsidP="00EA7E03">
      <w:pPr>
        <w:ind w:left="1304"/>
        <w:jc w:val="both"/>
        <w:rPr>
          <w:rFonts w:ascii="Times New Roman" w:hAnsi="Times New Roman" w:cs="Times New Roman"/>
          <w:bCs/>
          <w:color w:val="000000"/>
          <w:sz w:val="24"/>
          <w:lang w:val="sv-SE"/>
        </w:rPr>
      </w:pPr>
      <w:r w:rsidRPr="00EA7E03">
        <w:rPr>
          <w:rFonts w:ascii="Times New Roman" w:hAnsi="Times New Roman" w:cs="Times New Roman"/>
          <w:bCs/>
          <w:color w:val="000000"/>
          <w:sz w:val="24"/>
          <w:lang w:val="sv-SE"/>
        </w:rPr>
        <w:t>Den arbetsgrupp i Finland som samordnas av social- och hälsovårdsministeriet har inledningsvis beslutat att bereda en ny allmän lag med tillgänglighetskrav på produkter, och eventuellt också på vissa tjänster. Utöver detta ska lagen om tillhandahållande av digitala tjänster ändras så att den omfattar alla de tjänster i tillgänglighetsdirektivet som klassificeras som digitala tjänster. I den lagen föreskrivs för närvarande om tillgängligheten för webbplatser och mobilapplikationer. Dessutom behövs det sannolikt också göras ändringar i vissa andra lagar, till exempel marknadskontrollagen och lagen om tjänster i</w:t>
      </w:r>
      <w:r>
        <w:rPr>
          <w:rFonts w:ascii="Times New Roman" w:hAnsi="Times New Roman" w:cs="Times New Roman"/>
          <w:bCs/>
          <w:color w:val="000000"/>
          <w:sz w:val="24"/>
          <w:lang w:val="sv-SE"/>
        </w:rPr>
        <w:t>nom elektronisk kommunikation.</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Pr="00EA7E03" w:rsidRDefault="00EA7E03" w:rsidP="00EA7E03">
      <w:pPr>
        <w:ind w:left="1304"/>
        <w:jc w:val="both"/>
        <w:rPr>
          <w:rFonts w:ascii="Times New Roman" w:eastAsia="Times New Roman" w:hAnsi="Times New Roman" w:cs="Times New Roman"/>
          <w:bCs/>
          <w:color w:val="000000"/>
          <w:sz w:val="24"/>
          <w:lang w:val="sv-SE"/>
        </w:rPr>
      </w:pPr>
      <w:r w:rsidRPr="00EA7E03">
        <w:rPr>
          <w:rFonts w:ascii="Times New Roman" w:hAnsi="Times New Roman" w:cs="Times New Roman"/>
          <w:bCs/>
          <w:color w:val="000000"/>
          <w:sz w:val="24"/>
          <w:lang w:val="sv-SE"/>
        </w:rPr>
        <w:t>Det behövs utredningar i fråga om tillsynen. Tillsynen ska omfatta både marknadskontroll av produkter och tillsyn över tjänster, men det kommer att finnas vissa skillnader i kraven för dessa.</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Pr="00EA7E03" w:rsidRDefault="00EA7E03" w:rsidP="00EA7E03">
      <w:pPr>
        <w:ind w:left="1304"/>
        <w:jc w:val="both"/>
        <w:rPr>
          <w:rFonts w:ascii="Times New Roman" w:eastAsia="Times New Roman" w:hAnsi="Times New Roman" w:cs="Times New Roman"/>
          <w:bCs/>
          <w:color w:val="000000"/>
          <w:sz w:val="24"/>
          <w:lang w:val="sv-SE"/>
        </w:rPr>
      </w:pPr>
      <w:r w:rsidRPr="00EA7E03">
        <w:rPr>
          <w:rFonts w:ascii="Times New Roman" w:hAnsi="Times New Roman" w:cs="Times New Roman"/>
          <w:bCs/>
          <w:color w:val="000000"/>
          <w:sz w:val="24"/>
          <w:lang w:val="sv-SE"/>
        </w:rPr>
        <w:t>I enlighet med lagen om tillhandahållande av digitala tjänster hänvisar termen webtillgänglighet (”</w:t>
      </w:r>
      <w:proofErr w:type="spellStart"/>
      <w:r w:rsidRPr="00EA7E03">
        <w:rPr>
          <w:rFonts w:ascii="Times New Roman" w:hAnsi="Times New Roman" w:cs="Times New Roman"/>
          <w:bCs/>
          <w:color w:val="000000"/>
          <w:sz w:val="24"/>
          <w:lang w:val="sv-SE"/>
        </w:rPr>
        <w:t>saavutettavuus</w:t>
      </w:r>
      <w:proofErr w:type="spellEnd"/>
      <w:r w:rsidRPr="00EA7E03">
        <w:rPr>
          <w:rFonts w:ascii="Times New Roman" w:hAnsi="Times New Roman" w:cs="Times New Roman"/>
          <w:bCs/>
          <w:color w:val="000000"/>
          <w:sz w:val="24"/>
          <w:lang w:val="sv-SE"/>
        </w:rPr>
        <w:t>” på finska) till tillgängligheten för digitala tjänster. Termen tillgänglighet används dock även för produkter och sådana tjänster som inte kan definieras som digitala tjänster (i betydelsen fysisk tillgänglighet, ”</w:t>
      </w:r>
      <w:proofErr w:type="spellStart"/>
      <w:r w:rsidRPr="00EA7E03">
        <w:rPr>
          <w:rFonts w:ascii="Times New Roman" w:hAnsi="Times New Roman" w:cs="Times New Roman"/>
          <w:bCs/>
          <w:color w:val="000000"/>
          <w:sz w:val="24"/>
          <w:lang w:val="sv-SE"/>
        </w:rPr>
        <w:t>esteettömyys</w:t>
      </w:r>
      <w:proofErr w:type="spellEnd"/>
      <w:r w:rsidRPr="00EA7E03">
        <w:rPr>
          <w:rFonts w:ascii="Times New Roman" w:hAnsi="Times New Roman" w:cs="Times New Roman"/>
          <w:bCs/>
          <w:color w:val="000000"/>
          <w:sz w:val="24"/>
          <w:lang w:val="sv-SE"/>
        </w:rPr>
        <w:t xml:space="preserve">” på finska).  </w:t>
      </w:r>
    </w:p>
    <w:p w:rsidR="00EA7E03" w:rsidRPr="00EA7E03" w:rsidRDefault="00EA7E03" w:rsidP="00EA7E03">
      <w:pPr>
        <w:ind w:left="1304"/>
        <w:jc w:val="both"/>
        <w:rPr>
          <w:rFonts w:ascii="Times New Roman" w:eastAsia="Times New Roman" w:hAnsi="Times New Roman" w:cs="Times New Roman"/>
          <w:b/>
          <w:bCs/>
          <w:color w:val="000000"/>
          <w:sz w:val="24"/>
          <w:lang w:val="sv-SE"/>
        </w:rPr>
      </w:pPr>
    </w:p>
    <w:p w:rsidR="00EA7E03" w:rsidRPr="00EA7E03" w:rsidRDefault="00EA7E03" w:rsidP="00EA7E03">
      <w:pPr>
        <w:ind w:left="1304"/>
        <w:jc w:val="both"/>
        <w:rPr>
          <w:rFonts w:ascii="Times New Roman" w:eastAsia="Times New Roman" w:hAnsi="Times New Roman" w:cs="Times New Roman"/>
          <w:b/>
          <w:bCs/>
          <w:color w:val="000000"/>
          <w:sz w:val="24"/>
          <w:lang w:val="sv-SE"/>
        </w:rPr>
      </w:pPr>
    </w:p>
    <w:p w:rsidR="00EA7E03" w:rsidRPr="00EA7E03" w:rsidRDefault="00EA7E03" w:rsidP="00EA7E03">
      <w:pPr>
        <w:ind w:left="1304"/>
        <w:jc w:val="both"/>
        <w:rPr>
          <w:rFonts w:ascii="Times New Roman" w:eastAsia="Times New Roman" w:hAnsi="Times New Roman" w:cs="Times New Roman"/>
          <w:b/>
          <w:bCs/>
          <w:color w:val="000000"/>
          <w:sz w:val="24"/>
          <w:lang w:val="sv-SE"/>
        </w:rPr>
      </w:pPr>
      <w:r w:rsidRPr="00EA7E03">
        <w:rPr>
          <w:rFonts w:ascii="Times New Roman" w:hAnsi="Times New Roman" w:cs="Times New Roman"/>
          <w:b/>
          <w:bCs/>
          <w:color w:val="000000"/>
          <w:sz w:val="24"/>
          <w:lang w:val="sv-SE"/>
        </w:rPr>
        <w:t>Frågor:</w:t>
      </w:r>
    </w:p>
    <w:p w:rsidR="00EA7E03" w:rsidRPr="00EA7E03" w:rsidRDefault="00EA7E03" w:rsidP="00EA7E03">
      <w:pPr>
        <w:ind w:left="1304"/>
        <w:jc w:val="both"/>
        <w:rPr>
          <w:rFonts w:ascii="Times New Roman" w:eastAsia="Times New Roman" w:hAnsi="Times New Roman" w:cs="Times New Roman"/>
          <w:bCs/>
          <w:color w:val="000000"/>
          <w:sz w:val="24"/>
          <w:lang w:val="sv-SE"/>
        </w:rPr>
      </w:pPr>
    </w:p>
    <w:p w:rsidR="00EA7E03" w:rsidRPr="00EA7E03" w:rsidRDefault="00EA7E03" w:rsidP="00EA7E03">
      <w:pPr>
        <w:ind w:left="1304"/>
        <w:jc w:val="both"/>
        <w:rPr>
          <w:rFonts w:ascii="Times New Roman" w:eastAsia="Times New Roman" w:hAnsi="Times New Roman" w:cs="Times New Roman"/>
          <w:color w:val="000000"/>
          <w:sz w:val="24"/>
          <w:lang w:val="sv-SE"/>
        </w:rPr>
      </w:pPr>
      <w:r w:rsidRPr="00EA7E03">
        <w:rPr>
          <w:rFonts w:ascii="Times New Roman" w:hAnsi="Times New Roman" w:cs="Times New Roman"/>
          <w:bCs/>
          <w:color w:val="000000"/>
          <w:sz w:val="24"/>
          <w:lang w:val="sv-SE"/>
        </w:rPr>
        <w:t>Vilka förväntningar och önskemål har ni när det gäller det nationella genomförandet av tillgänglighetsdirektivet?</w:t>
      </w:r>
      <w:r w:rsidRPr="00EA7E03">
        <w:rPr>
          <w:rFonts w:ascii="Times New Roman" w:hAnsi="Times New Roman" w:cs="Times New Roman"/>
          <w:color w:val="000000"/>
          <w:sz w:val="24"/>
          <w:lang w:val="sv-SE"/>
        </w:rPr>
        <w:t xml:space="preserve"> </w:t>
      </w:r>
    </w:p>
    <w:p w:rsidR="00EA7E03" w:rsidRPr="00EA7E03" w:rsidRDefault="00EA7E03" w:rsidP="00EA7E03">
      <w:pPr>
        <w:ind w:left="1304"/>
        <w:jc w:val="both"/>
        <w:rPr>
          <w:rFonts w:ascii="Times New Roman" w:eastAsia="Times New Roman" w:hAnsi="Times New Roman" w:cs="Times New Roman"/>
          <w:color w:val="000000"/>
          <w:sz w:val="24"/>
          <w:lang w:val="sv-SE"/>
        </w:rPr>
      </w:pPr>
    </w:p>
    <w:p w:rsidR="00EA7E03" w:rsidRPr="00EA7E03" w:rsidRDefault="00EA7E03" w:rsidP="00EA7E03">
      <w:pPr>
        <w:ind w:left="1304"/>
        <w:jc w:val="both"/>
        <w:rPr>
          <w:rFonts w:ascii="Times New Roman" w:eastAsia="Times New Roman" w:hAnsi="Times New Roman" w:cs="Times New Roman"/>
          <w:color w:val="000000"/>
          <w:sz w:val="24"/>
          <w:lang w:val="sv-SE"/>
        </w:rPr>
      </w:pPr>
      <w:r w:rsidRPr="00EA7E03">
        <w:rPr>
          <w:rFonts w:ascii="Times New Roman" w:hAnsi="Times New Roman" w:cs="Times New Roman"/>
          <w:color w:val="000000"/>
          <w:sz w:val="24"/>
          <w:lang w:val="sv-SE"/>
        </w:rPr>
        <w:t>Vad är viktigt vid det nationella genomförandet av tillgänglighetsdirektivet för den organisation som ni företräder?</w:t>
      </w:r>
    </w:p>
    <w:p w:rsidR="00EA7E03" w:rsidRPr="00EA7E03" w:rsidRDefault="00EA7E03" w:rsidP="00EA7E03">
      <w:pPr>
        <w:ind w:left="1304"/>
        <w:jc w:val="both"/>
        <w:rPr>
          <w:rFonts w:ascii="Times New Roman" w:eastAsia="Times New Roman" w:hAnsi="Times New Roman" w:cs="Times New Roman"/>
          <w:color w:val="000000"/>
          <w:sz w:val="24"/>
          <w:lang w:val="sv-SE"/>
        </w:rPr>
      </w:pPr>
    </w:p>
    <w:p w:rsidR="00EA7E03" w:rsidRPr="00EA7E03" w:rsidRDefault="00EA7E03" w:rsidP="00EA7E03">
      <w:pPr>
        <w:ind w:left="1304"/>
        <w:jc w:val="both"/>
        <w:rPr>
          <w:rFonts w:ascii="Times New Roman" w:eastAsia="Times New Roman" w:hAnsi="Times New Roman" w:cs="Times New Roman"/>
          <w:color w:val="000000"/>
          <w:sz w:val="24"/>
          <w:lang w:val="sv-SE"/>
        </w:rPr>
      </w:pPr>
      <w:r w:rsidRPr="00EA7E03">
        <w:rPr>
          <w:rFonts w:ascii="Times New Roman" w:hAnsi="Times New Roman" w:cs="Times New Roman"/>
          <w:color w:val="000000"/>
          <w:sz w:val="24"/>
          <w:lang w:val="sv-SE"/>
        </w:rPr>
        <w:t>Vilka rättsmedel behövs för de som använder produkterna och tjänsterna?</w:t>
      </w:r>
    </w:p>
    <w:p w:rsidR="00EA7E03" w:rsidRPr="00EA7E03" w:rsidRDefault="00EA7E03" w:rsidP="00EA7E03">
      <w:pPr>
        <w:ind w:left="1304"/>
        <w:jc w:val="both"/>
        <w:rPr>
          <w:rFonts w:ascii="Times New Roman" w:eastAsia="Times New Roman" w:hAnsi="Times New Roman" w:cs="Times New Roman"/>
          <w:color w:val="000000"/>
          <w:sz w:val="24"/>
          <w:lang w:val="sv-SE"/>
        </w:rPr>
      </w:pPr>
    </w:p>
    <w:p w:rsidR="00EA7E03" w:rsidRPr="00EA7E03" w:rsidRDefault="00EA7E03" w:rsidP="00EA7E03">
      <w:pPr>
        <w:ind w:left="1304"/>
        <w:jc w:val="both"/>
        <w:rPr>
          <w:rFonts w:ascii="Times New Roman" w:eastAsia="Times New Roman" w:hAnsi="Times New Roman" w:cs="Times New Roman"/>
          <w:color w:val="000000"/>
          <w:sz w:val="24"/>
          <w:lang w:val="sv-SE"/>
        </w:rPr>
      </w:pPr>
      <w:r w:rsidRPr="00EA7E03">
        <w:rPr>
          <w:rFonts w:ascii="Times New Roman" w:hAnsi="Times New Roman" w:cs="Times New Roman"/>
          <w:color w:val="000000"/>
          <w:sz w:val="24"/>
          <w:lang w:val="sv-SE"/>
        </w:rPr>
        <w:t>Vilka kostnader eller kumulativa effekter borde beaktas vid lagberedningen?</w:t>
      </w:r>
    </w:p>
    <w:p w:rsidR="00EA7E03" w:rsidRPr="00EA7E03" w:rsidRDefault="00EA7E03" w:rsidP="00EA7E03">
      <w:pPr>
        <w:ind w:left="1304"/>
        <w:jc w:val="both"/>
        <w:rPr>
          <w:rFonts w:ascii="Times New Roman" w:eastAsia="Times New Roman" w:hAnsi="Times New Roman" w:cs="Times New Roman"/>
          <w:color w:val="000000"/>
          <w:sz w:val="24"/>
          <w:lang w:val="sv-SE"/>
        </w:rPr>
      </w:pPr>
    </w:p>
    <w:p w:rsidR="00EA7E03" w:rsidRPr="00EA7E03" w:rsidRDefault="00EA7E03" w:rsidP="00EA7E03">
      <w:pPr>
        <w:ind w:left="1304"/>
        <w:jc w:val="both"/>
        <w:rPr>
          <w:rFonts w:ascii="Times New Roman" w:eastAsia="Times New Roman" w:hAnsi="Times New Roman" w:cs="Times New Roman"/>
          <w:color w:val="000000"/>
          <w:sz w:val="24"/>
          <w:lang w:val="sv-SE"/>
        </w:rPr>
      </w:pPr>
      <w:r w:rsidRPr="00EA7E03">
        <w:rPr>
          <w:rFonts w:ascii="Times New Roman" w:hAnsi="Times New Roman" w:cs="Times New Roman"/>
          <w:color w:val="000000"/>
          <w:sz w:val="24"/>
          <w:lang w:val="sv-SE"/>
        </w:rPr>
        <w:t xml:space="preserve">Ytterligare information, Emilia Ojala, projektchef </w:t>
      </w:r>
      <w:hyperlink r:id="rId8" w:history="1">
        <w:r w:rsidRPr="00EA7E03">
          <w:rPr>
            <w:rStyle w:val="Hyperlinkki"/>
            <w:rFonts w:ascii="Times New Roman" w:hAnsi="Times New Roman" w:cs="Times New Roman"/>
            <w:sz w:val="24"/>
            <w:lang w:val="sv-SE"/>
          </w:rPr>
          <w:t>emilia.ojala@stm.fi</w:t>
        </w:r>
      </w:hyperlink>
      <w:r w:rsidRPr="00EA7E03">
        <w:rPr>
          <w:rFonts w:ascii="Times New Roman" w:hAnsi="Times New Roman" w:cs="Times New Roman"/>
          <w:color w:val="000000"/>
          <w:sz w:val="24"/>
          <w:lang w:val="sv-SE"/>
        </w:rPr>
        <w:t xml:space="preserve">, 02951 </w:t>
      </w:r>
      <w:r w:rsidRPr="00EA7E03">
        <w:rPr>
          <w:rFonts w:ascii="Times New Roman" w:hAnsi="Times New Roman" w:cs="Times New Roman"/>
          <w:color w:val="232323"/>
          <w:sz w:val="24"/>
          <w:lang w:val="sv-SE"/>
        </w:rPr>
        <w:t>63418</w:t>
      </w:r>
    </w:p>
    <w:p w:rsidR="00EA7E03" w:rsidRPr="00EA7E03" w:rsidRDefault="00EA7E03" w:rsidP="00EA7E03">
      <w:pPr>
        <w:ind w:left="1304"/>
        <w:jc w:val="both"/>
        <w:rPr>
          <w:rFonts w:ascii="Times New Roman" w:eastAsia="Times New Roman" w:hAnsi="Times New Roman" w:cs="Times New Roman"/>
          <w:color w:val="000000"/>
          <w:sz w:val="24"/>
          <w:lang w:val="sv-SE"/>
        </w:rPr>
      </w:pPr>
    </w:p>
    <w:p w:rsidR="00D07E6D" w:rsidRDefault="00EA7E03" w:rsidP="00EA7E03">
      <w:pPr>
        <w:spacing w:line="480" w:lineRule="auto"/>
        <w:ind w:left="1304"/>
        <w:jc w:val="both"/>
        <w:rPr>
          <w:rFonts w:ascii="Times New Roman" w:hAnsi="Times New Roman" w:cs="Times New Roman"/>
          <w:color w:val="000000"/>
          <w:sz w:val="24"/>
          <w:lang w:val="sv-SE"/>
        </w:rPr>
      </w:pPr>
      <w:r w:rsidRPr="00EA7E03">
        <w:rPr>
          <w:rFonts w:ascii="Times New Roman" w:hAnsi="Times New Roman" w:cs="Times New Roman"/>
          <w:sz w:val="24"/>
          <w:lang w:val="sv-SE"/>
        </w:rPr>
        <w:t xml:space="preserve">Utlåtanden </w:t>
      </w:r>
      <w:proofErr w:type="gramStart"/>
      <w:r w:rsidRPr="00EA7E03">
        <w:rPr>
          <w:rFonts w:ascii="Times New Roman" w:hAnsi="Times New Roman" w:cs="Times New Roman"/>
          <w:sz w:val="24"/>
          <w:lang w:val="sv-SE"/>
        </w:rPr>
        <w:t>ombeds</w:t>
      </w:r>
      <w:proofErr w:type="gramEnd"/>
      <w:r w:rsidRPr="00EA7E03">
        <w:rPr>
          <w:rFonts w:ascii="Times New Roman" w:hAnsi="Times New Roman" w:cs="Times New Roman"/>
          <w:sz w:val="24"/>
          <w:lang w:val="sv-SE"/>
        </w:rPr>
        <w:t xml:space="preserve"> </w:t>
      </w:r>
      <w:proofErr w:type="gramStart"/>
      <w:r w:rsidRPr="00EA7E03">
        <w:rPr>
          <w:rFonts w:ascii="Times New Roman" w:hAnsi="Times New Roman" w:cs="Times New Roman"/>
          <w:sz w:val="24"/>
          <w:lang w:val="sv-SE"/>
        </w:rPr>
        <w:t>lämnas</w:t>
      </w:r>
      <w:proofErr w:type="gramEnd"/>
      <w:r w:rsidRPr="00EA7E03">
        <w:rPr>
          <w:rFonts w:ascii="Times New Roman" w:hAnsi="Times New Roman" w:cs="Times New Roman"/>
          <w:sz w:val="24"/>
          <w:lang w:val="sv-SE"/>
        </w:rPr>
        <w:t xml:space="preserve"> in </w:t>
      </w:r>
      <w:r w:rsidR="00CF18DE">
        <w:rPr>
          <w:rFonts w:ascii="Times New Roman" w:hAnsi="Times New Roman" w:cs="Times New Roman"/>
          <w:b/>
          <w:sz w:val="24"/>
          <w:lang w:val="sv-SE"/>
        </w:rPr>
        <w:t>senast torsdagen den 19</w:t>
      </w:r>
      <w:bookmarkStart w:id="0" w:name="_GoBack"/>
      <w:bookmarkEnd w:id="0"/>
      <w:r w:rsidRPr="002B125C">
        <w:rPr>
          <w:rFonts w:ascii="Times New Roman" w:hAnsi="Times New Roman" w:cs="Times New Roman"/>
          <w:b/>
          <w:sz w:val="24"/>
          <w:lang w:val="sv-SE"/>
        </w:rPr>
        <w:t xml:space="preserve"> augusti</w:t>
      </w:r>
      <w:r w:rsidRPr="00EA7E03">
        <w:rPr>
          <w:rFonts w:ascii="Times New Roman" w:hAnsi="Times New Roman" w:cs="Times New Roman"/>
          <w:sz w:val="24"/>
          <w:lang w:val="sv-SE"/>
        </w:rPr>
        <w:t xml:space="preserve"> till adressen</w:t>
      </w:r>
      <w:r w:rsidRPr="00EA7E03">
        <w:rPr>
          <w:rFonts w:ascii="Times New Roman" w:hAnsi="Times New Roman" w:cs="Times New Roman"/>
          <w:color w:val="000000"/>
          <w:sz w:val="24"/>
          <w:lang w:val="sv-SE"/>
        </w:rPr>
        <w:t xml:space="preserve"> </w:t>
      </w:r>
    </w:p>
    <w:p w:rsidR="00EA7E03" w:rsidRDefault="00CF18DE" w:rsidP="00EA7E03">
      <w:pPr>
        <w:spacing w:line="480" w:lineRule="auto"/>
        <w:ind w:left="1304"/>
        <w:jc w:val="both"/>
        <w:rPr>
          <w:rFonts w:ascii="Times New Roman" w:hAnsi="Times New Roman" w:cs="Times New Roman"/>
          <w:color w:val="000000"/>
          <w:sz w:val="24"/>
          <w:lang w:val="sv-SE"/>
        </w:rPr>
      </w:pPr>
      <w:hyperlink r:id="rId9" w:history="1">
        <w:r w:rsidR="00EA7E03" w:rsidRPr="009972C7">
          <w:rPr>
            <w:rStyle w:val="Hyperlinkki"/>
            <w:rFonts w:ascii="Times New Roman" w:hAnsi="Times New Roman" w:cs="Times New Roman"/>
            <w:sz w:val="24"/>
            <w:lang w:val="sv-SE"/>
          </w:rPr>
          <w:t>kirjaamo@stm.fi</w:t>
        </w:r>
      </w:hyperlink>
      <w:r w:rsidR="00EA7E03">
        <w:rPr>
          <w:rFonts w:ascii="Times New Roman" w:hAnsi="Times New Roman" w:cs="Times New Roman"/>
          <w:color w:val="000000"/>
          <w:sz w:val="24"/>
          <w:lang w:val="sv-SE"/>
        </w:rPr>
        <w:t xml:space="preserve"> </w:t>
      </w:r>
    </w:p>
    <w:p w:rsidR="00945DA6" w:rsidRPr="00EA7E03" w:rsidRDefault="007E3CBB" w:rsidP="00EA7E03">
      <w:pPr>
        <w:spacing w:line="480" w:lineRule="auto"/>
        <w:ind w:left="1304"/>
        <w:jc w:val="both"/>
        <w:rPr>
          <w:rFonts w:ascii="Times New Roman" w:eastAsia="Times New Roman" w:hAnsi="Times New Roman" w:cs="Times New Roman"/>
          <w:color w:val="000000"/>
          <w:sz w:val="24"/>
          <w:lang w:val="sv-SE"/>
        </w:rPr>
      </w:pPr>
      <w:r w:rsidRPr="00C605E6">
        <w:rPr>
          <w:rFonts w:ascii="Times New Roman" w:hAnsi="Times New Roman" w:cs="Times New Roman"/>
          <w:sz w:val="24"/>
          <w:lang w:val="sv-SE"/>
        </w:rPr>
        <w:t>Mer information</w:t>
      </w:r>
      <w:r>
        <w:rPr>
          <w:lang w:val="sv-SE"/>
        </w:rPr>
        <w:t xml:space="preserve">: </w:t>
      </w:r>
      <w:hyperlink r:id="rId10" w:history="1">
        <w:r w:rsidR="00945DA6" w:rsidRPr="008118F3">
          <w:rPr>
            <w:rStyle w:val="Hyperlinkki"/>
            <w:rFonts w:ascii="Times New Roman" w:eastAsia="Times New Roman" w:hAnsi="Times New Roman" w:cs="Times New Roman"/>
            <w:sz w:val="24"/>
            <w:lang w:val="sv-SE"/>
          </w:rPr>
          <w:t>https://stm.fi/sv/tillganglighetsdirektivet</w:t>
        </w:r>
      </w:hyperlink>
      <w:r w:rsidR="00945DA6">
        <w:rPr>
          <w:rFonts w:ascii="Times New Roman" w:eastAsia="Times New Roman" w:hAnsi="Times New Roman" w:cs="Times New Roman"/>
          <w:color w:val="000000"/>
          <w:sz w:val="24"/>
          <w:lang w:val="sv-SE"/>
        </w:rPr>
        <w:t xml:space="preserve"> </w:t>
      </w:r>
    </w:p>
    <w:p w:rsidR="005E5AF4" w:rsidRPr="00EA7E03" w:rsidRDefault="005E5AF4" w:rsidP="005E5AF4">
      <w:pPr>
        <w:ind w:left="3912"/>
        <w:rPr>
          <w:lang w:val="sv-SE"/>
        </w:rPr>
      </w:pPr>
    </w:p>
    <w:sectPr w:rsidR="005E5AF4" w:rsidRPr="00EA7E03" w:rsidSect="00562E6B">
      <w:headerReference w:type="default" r:id="rId11"/>
      <w:footerReference w:type="default" r:id="rId12"/>
      <w:headerReference w:type="first" r:id="rId13"/>
      <w:foot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1F" w:rsidRDefault="00EA3C1F" w:rsidP="008E0F4A">
      <w:r>
        <w:separator/>
      </w:r>
    </w:p>
  </w:endnote>
  <w:endnote w:type="continuationSeparator" w:id="0">
    <w:p w:rsidR="00EA3C1F" w:rsidRDefault="00EA3C1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FE" w:rsidRPr="008162FE" w:rsidRDefault="008162FE" w:rsidP="008162FE">
    <w:pPr>
      <w:pStyle w:val="Alatunniste"/>
      <w:tabs>
        <w:tab w:val="clear" w:pos="4819"/>
        <w:tab w:val="clear" w:pos="9638"/>
        <w:tab w:val="left" w:pos="2127"/>
        <w:tab w:val="left" w:pos="4253"/>
        <w:tab w:val="left" w:pos="6096"/>
        <w:tab w:val="left" w:pos="7938"/>
      </w:tabs>
      <w:rPr>
        <w:b/>
        <w:sz w:val="14"/>
        <w:szCs w:val="14"/>
      </w:rPr>
    </w:pPr>
    <w:r w:rsidRPr="008162FE">
      <w:rPr>
        <w:b/>
        <w:sz w:val="14"/>
        <w:szCs w:val="14"/>
      </w:rPr>
      <w:t>Postiosoite</w:t>
    </w:r>
    <w:r w:rsidRPr="008162FE">
      <w:rPr>
        <w:b/>
        <w:sz w:val="14"/>
        <w:szCs w:val="14"/>
      </w:rPr>
      <w:tab/>
      <w:t>Käyntiosoite</w:t>
    </w:r>
    <w:r w:rsidRPr="008162FE">
      <w:rPr>
        <w:b/>
        <w:sz w:val="14"/>
        <w:szCs w:val="14"/>
      </w:rPr>
      <w:tab/>
      <w:t>Puhelin</w:t>
    </w:r>
    <w:r w:rsidRPr="008162FE">
      <w:rPr>
        <w:b/>
        <w:sz w:val="14"/>
        <w:szCs w:val="14"/>
      </w:rPr>
      <w:tab/>
      <w:t>Faksi</w:t>
    </w:r>
    <w:r w:rsidRPr="008162FE">
      <w:rPr>
        <w:b/>
        <w:sz w:val="14"/>
        <w:szCs w:val="14"/>
      </w:rPr>
      <w:tab/>
      <w:t>s-posti, internet</w:t>
    </w:r>
  </w:p>
  <w:p w:rsidR="008162FE" w:rsidRPr="008162FE" w:rsidRDefault="008162FE" w:rsidP="008162FE">
    <w:pPr>
      <w:pStyle w:val="Alatunniste"/>
      <w:tabs>
        <w:tab w:val="clear" w:pos="4819"/>
        <w:tab w:val="clear" w:pos="9638"/>
        <w:tab w:val="left" w:pos="2127"/>
        <w:tab w:val="left" w:pos="4253"/>
        <w:tab w:val="left" w:pos="6096"/>
        <w:tab w:val="left" w:pos="7938"/>
      </w:tabs>
      <w:rPr>
        <w:b/>
        <w:sz w:val="14"/>
        <w:szCs w:val="14"/>
        <w:lang w:val="sv-SE"/>
      </w:rPr>
    </w:pPr>
    <w:r w:rsidRPr="008162FE">
      <w:rPr>
        <w:b/>
        <w:sz w:val="14"/>
        <w:szCs w:val="14"/>
        <w:lang w:val="sv-SE"/>
      </w:rPr>
      <w:t>Postadress</w:t>
    </w:r>
    <w:r w:rsidRPr="008162FE">
      <w:rPr>
        <w:b/>
        <w:sz w:val="14"/>
        <w:szCs w:val="14"/>
        <w:lang w:val="sv-SE"/>
      </w:rPr>
      <w:tab/>
      <w:t>Besöksadress</w:t>
    </w:r>
    <w:r w:rsidRPr="008162FE">
      <w:rPr>
        <w:b/>
        <w:sz w:val="14"/>
        <w:szCs w:val="14"/>
        <w:lang w:val="sv-SE"/>
      </w:rPr>
      <w:tab/>
      <w:t>Telefon</w:t>
    </w:r>
    <w:r w:rsidRPr="008162FE">
      <w:rPr>
        <w:b/>
        <w:sz w:val="14"/>
        <w:szCs w:val="14"/>
        <w:lang w:val="sv-SE"/>
      </w:rPr>
      <w:tab/>
      <w:t>Fax</w:t>
    </w:r>
    <w:r w:rsidRPr="008162FE">
      <w:rPr>
        <w:b/>
        <w:sz w:val="14"/>
        <w:szCs w:val="14"/>
        <w:lang w:val="sv-SE"/>
      </w:rPr>
      <w:tab/>
      <w:t>e-post, internet</w:t>
    </w:r>
  </w:p>
  <w:p w:rsidR="008162FE" w:rsidRPr="008162FE" w:rsidRDefault="008162FE" w:rsidP="008162FE">
    <w:pPr>
      <w:pStyle w:val="Alatunniste"/>
      <w:tabs>
        <w:tab w:val="clear" w:pos="4819"/>
        <w:tab w:val="clear" w:pos="9638"/>
        <w:tab w:val="left" w:pos="2127"/>
        <w:tab w:val="left" w:pos="4253"/>
        <w:tab w:val="left" w:pos="6096"/>
        <w:tab w:val="left" w:pos="7938"/>
      </w:tabs>
      <w:rPr>
        <w:b/>
        <w:sz w:val="14"/>
        <w:szCs w:val="14"/>
        <w:lang w:val="en-US"/>
      </w:rPr>
    </w:pPr>
    <w:r w:rsidRPr="008162FE">
      <w:rPr>
        <w:b/>
        <w:sz w:val="14"/>
        <w:szCs w:val="14"/>
        <w:lang w:val="en-US"/>
      </w:rPr>
      <w:t>Postal Address</w:t>
    </w:r>
    <w:r w:rsidRPr="008162FE">
      <w:rPr>
        <w:b/>
        <w:sz w:val="14"/>
        <w:szCs w:val="14"/>
        <w:lang w:val="en-US"/>
      </w:rPr>
      <w:tab/>
      <w:t>Office</w:t>
    </w:r>
    <w:r w:rsidRPr="008162FE">
      <w:rPr>
        <w:b/>
        <w:sz w:val="14"/>
        <w:szCs w:val="14"/>
        <w:lang w:val="en-US"/>
      </w:rPr>
      <w:tab/>
      <w:t>Telephone</w:t>
    </w:r>
    <w:r w:rsidRPr="008162FE">
      <w:rPr>
        <w:b/>
        <w:sz w:val="14"/>
        <w:szCs w:val="14"/>
        <w:lang w:val="en-US"/>
      </w:rPr>
      <w:tab/>
      <w:t>Fax</w:t>
    </w:r>
    <w:r w:rsidRPr="008162FE">
      <w:rPr>
        <w:b/>
        <w:sz w:val="14"/>
        <w:szCs w:val="14"/>
        <w:lang w:val="en-US"/>
      </w:rPr>
      <w:tab/>
      <w:t>e-mail, internet</w:t>
    </w:r>
  </w:p>
  <w:p w:rsidR="008162FE" w:rsidRPr="00F80ED2" w:rsidRDefault="008162FE" w:rsidP="008162FE">
    <w:pPr>
      <w:pStyle w:val="Alatunniste"/>
      <w:tabs>
        <w:tab w:val="clear" w:pos="4819"/>
        <w:tab w:val="clear" w:pos="9638"/>
        <w:tab w:val="left" w:pos="2127"/>
        <w:tab w:val="left" w:pos="4253"/>
        <w:tab w:val="left" w:pos="6096"/>
        <w:tab w:val="left" w:pos="7938"/>
      </w:tabs>
      <w:rPr>
        <w:sz w:val="14"/>
        <w:szCs w:val="14"/>
        <w:lang w:val="en-US"/>
      </w:rPr>
    </w:pPr>
  </w:p>
  <w:p w:rsidR="008162FE" w:rsidRPr="008162FE" w:rsidRDefault="008162FE" w:rsidP="008162FE">
    <w:pPr>
      <w:pStyle w:val="Alatunniste"/>
      <w:tabs>
        <w:tab w:val="clear" w:pos="4819"/>
        <w:tab w:val="clear" w:pos="9638"/>
        <w:tab w:val="left" w:pos="2127"/>
        <w:tab w:val="left" w:pos="4253"/>
        <w:tab w:val="left" w:pos="6096"/>
        <w:tab w:val="left" w:pos="7938"/>
      </w:tabs>
      <w:rPr>
        <w:sz w:val="14"/>
        <w:szCs w:val="14"/>
      </w:rPr>
    </w:pPr>
    <w:proofErr w:type="spellStart"/>
    <w:r w:rsidRPr="008162FE">
      <w:rPr>
        <w:sz w:val="14"/>
        <w:szCs w:val="14"/>
      </w:rPr>
      <w:t>Sosiaali</w:t>
    </w:r>
    <w:proofErr w:type="spellEnd"/>
    <w:r w:rsidRPr="008162FE">
      <w:rPr>
        <w:sz w:val="14"/>
        <w:szCs w:val="14"/>
      </w:rPr>
      <w:t xml:space="preserve">- ja terveysministeriö </w:t>
    </w:r>
  </w:p>
  <w:p w:rsidR="008162FE" w:rsidRPr="008162FE" w:rsidRDefault="008162FE" w:rsidP="008162FE">
    <w:pPr>
      <w:pStyle w:val="Alatunniste"/>
      <w:tabs>
        <w:tab w:val="clear" w:pos="4819"/>
        <w:tab w:val="clear" w:pos="9638"/>
        <w:tab w:val="left" w:pos="2127"/>
        <w:tab w:val="left" w:pos="4253"/>
        <w:tab w:val="left" w:pos="6096"/>
        <w:tab w:val="left" w:pos="7938"/>
      </w:tabs>
      <w:rPr>
        <w:sz w:val="14"/>
        <w:szCs w:val="14"/>
      </w:rPr>
    </w:pPr>
    <w:r w:rsidRPr="008162FE">
      <w:rPr>
        <w:sz w:val="14"/>
        <w:szCs w:val="14"/>
      </w:rPr>
      <w:t>PL 33</w:t>
    </w:r>
    <w:r w:rsidRPr="008162FE">
      <w:rPr>
        <w:sz w:val="14"/>
        <w:szCs w:val="14"/>
      </w:rPr>
      <w:tab/>
      <w:t>Meritullinkatu 8</w:t>
    </w:r>
    <w:r w:rsidRPr="008162FE">
      <w:rPr>
        <w:sz w:val="14"/>
        <w:szCs w:val="14"/>
      </w:rPr>
      <w:tab/>
      <w:t>29 516 001</w:t>
    </w:r>
    <w:r w:rsidRPr="008162FE">
      <w:rPr>
        <w:sz w:val="14"/>
        <w:szCs w:val="14"/>
      </w:rPr>
      <w:tab/>
      <w:t>295 163 415</w:t>
    </w:r>
    <w:r w:rsidRPr="008162FE">
      <w:rPr>
        <w:sz w:val="14"/>
        <w:szCs w:val="14"/>
      </w:rPr>
      <w:tab/>
      <w:t>kirjaamo@stm.fi</w:t>
    </w:r>
    <w:r w:rsidRPr="008162FE">
      <w:rPr>
        <w:sz w:val="14"/>
        <w:szCs w:val="14"/>
      </w:rPr>
      <w:cr/>
      <w:t xml:space="preserve">00023 Valtioneuvosto </w:t>
    </w:r>
    <w:r w:rsidRPr="008162FE">
      <w:rPr>
        <w:sz w:val="14"/>
        <w:szCs w:val="14"/>
      </w:rPr>
      <w:tab/>
      <w:t>35 829 516 001</w:t>
    </w:r>
    <w:r w:rsidRPr="008162FE">
      <w:rPr>
        <w:sz w:val="14"/>
        <w:szCs w:val="14"/>
      </w:rPr>
      <w:tab/>
      <w:t>358 295 163 415</w:t>
    </w:r>
    <w:r w:rsidRPr="008162FE">
      <w:rPr>
        <w:sz w:val="14"/>
        <w:szCs w:val="14"/>
      </w:rPr>
      <w:tab/>
      <w:t>stm.fi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1F" w:rsidRDefault="00EA3C1F" w:rsidP="008E0F4A">
      <w:r>
        <w:separator/>
      </w:r>
    </w:p>
  </w:footnote>
  <w:footnote w:type="continuationSeparator" w:id="0">
    <w:p w:rsidR="00EA3C1F" w:rsidRDefault="00EA3C1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902399"/>
      <w:docPartObj>
        <w:docPartGallery w:val="Page Numbers (Top of Page)"/>
        <w:docPartUnique/>
      </w:docPartObj>
    </w:sdtPr>
    <w:sdtEndPr/>
    <w:sdtContent>
      <w:p w:rsidR="008E0F4A" w:rsidRPr="005E5AF4" w:rsidRDefault="00AE79F4" w:rsidP="005E5AF4">
        <w:pPr>
          <w:ind w:right="-143" w:firstLine="8789"/>
          <w:jc w:val="center"/>
          <w:rPr>
            <w:rFonts w:ascii="Times New Roman" w:hAnsi="Times New Roman" w:cs="Times New Roman"/>
            <w:sz w:val="24"/>
          </w:rPr>
        </w:pPr>
        <w:r w:rsidRPr="005E5AF4">
          <w:rPr>
            <w:rFonts w:ascii="Times New Roman" w:hAnsi="Times New Roman" w:cs="Times New Roman"/>
            <w:sz w:val="24"/>
          </w:rPr>
          <w:fldChar w:fldCharType="begin"/>
        </w:r>
        <w:r w:rsidRPr="005E5AF4">
          <w:rPr>
            <w:rFonts w:ascii="Times New Roman" w:hAnsi="Times New Roman" w:cs="Times New Roman"/>
            <w:sz w:val="24"/>
          </w:rPr>
          <w:instrText xml:space="preserve"> PAGE   \* MERGEFORMAT </w:instrText>
        </w:r>
        <w:r w:rsidRPr="005E5AF4">
          <w:rPr>
            <w:rFonts w:ascii="Times New Roman" w:hAnsi="Times New Roman" w:cs="Times New Roman"/>
            <w:sz w:val="24"/>
          </w:rPr>
          <w:fldChar w:fldCharType="separate"/>
        </w:r>
        <w:r w:rsidR="00CF18DE">
          <w:rPr>
            <w:rFonts w:ascii="Times New Roman" w:hAnsi="Times New Roman" w:cs="Times New Roman"/>
            <w:noProof/>
            <w:sz w:val="24"/>
          </w:rPr>
          <w:t>2</w:t>
        </w:r>
        <w:r w:rsidRPr="005E5AF4">
          <w:rPr>
            <w:rFonts w:ascii="Times New Roman" w:hAnsi="Times New Roman" w:cs="Times New Roman"/>
            <w:noProof/>
            <w:sz w:val="24"/>
          </w:rPr>
          <w:fldChar w:fldCharType="end"/>
        </w:r>
        <w:r w:rsidR="005E5AF4" w:rsidRPr="005E5AF4">
          <w:rPr>
            <w:rFonts w:ascii="Times New Roman" w:hAnsi="Times New Roman" w:cs="Times New Roman"/>
            <w:noProof/>
            <w:sz w:val="24"/>
          </w:rPr>
          <w:tab/>
        </w:r>
        <w:r w:rsidR="005E5AF4" w:rsidRPr="005E5AF4">
          <w:rPr>
            <w:rFonts w:ascii="Times New Roman" w:hAnsi="Times New Roman" w:cs="Times New Roman"/>
            <w:noProof/>
            <w:sz w:val="24"/>
          </w:rPr>
          <w:tab/>
        </w:r>
        <w:r w:rsidR="005E5AF4" w:rsidRPr="005E5AF4">
          <w:rPr>
            <w:rFonts w:ascii="Times New Roman" w:hAnsi="Times New Roman" w:cs="Times New Roman"/>
            <w:noProof/>
            <w:sz w:val="24"/>
          </w:rPr>
          <w:tab/>
        </w:r>
        <w:r w:rsidR="005E5AF4" w:rsidRPr="005E5AF4">
          <w:rPr>
            <w:rFonts w:ascii="Times New Roman" w:hAnsi="Times New Roman" w:cs="Times New Roman"/>
            <w:noProof/>
            <w:sz w:val="24"/>
          </w:rPr>
          <w:tab/>
          <w:t>2</w:t>
        </w:r>
        <w:r w:rsidR="005E5AF4" w:rsidRPr="005E5AF4">
          <w:rPr>
            <w:rFonts w:ascii="Times New Roman" w:hAnsi="Times New Roman" w:cs="Times New Roman"/>
            <w:sz w:val="24"/>
          </w:rPr>
          <w:t xml:space="preserve"> (2)</w:t>
        </w:r>
      </w:p>
      <w:p w:rsidR="00FA6ACE" w:rsidRPr="005E5AF4" w:rsidRDefault="00FA6ACE" w:rsidP="00562E6B">
        <w:pPr>
          <w:rPr>
            <w:rFonts w:ascii="Times New Roman" w:hAnsi="Times New Roman" w:cs="Times New Roman"/>
            <w:sz w:val="24"/>
          </w:rPr>
        </w:pPr>
      </w:p>
      <w:p w:rsidR="008E0F4A" w:rsidRPr="005E5AF4" w:rsidRDefault="00CF18DE" w:rsidP="00562E6B">
        <w:pPr>
          <w:rPr>
            <w:rFonts w:ascii="Times New Roman" w:hAnsi="Times New Roman" w:cs="Times New Roman"/>
            <w:sz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FE" w:rsidRDefault="008162FE" w:rsidP="008162FE">
    <w:pPr>
      <w:pStyle w:val="Yltunniste"/>
      <w:tabs>
        <w:tab w:val="clear" w:pos="4819"/>
        <w:tab w:val="left" w:pos="5103"/>
      </w:tabs>
    </w:pPr>
    <w:r w:rsidRPr="00203B7F">
      <w:rPr>
        <w:rFonts w:ascii="Myriad Pro" w:hAnsi="Myriad Pro"/>
        <w:noProof/>
        <w:lang w:eastAsia="fi-FI"/>
      </w:rPr>
      <w:drawing>
        <wp:inline distT="0" distB="0" distL="0" distR="0">
          <wp:extent cx="1804670" cy="429260"/>
          <wp:effectExtent l="0" t="0" r="5080" b="8890"/>
          <wp:docPr id="5" name="Kuva 1" descr="Sosiaali- ja terveysminsiteriön logo" title="Sosiaali- ja terveys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670" cy="429260"/>
                  </a:xfrm>
                  <a:prstGeom prst="rect">
                    <a:avLst/>
                  </a:prstGeom>
                  <a:noFill/>
                  <a:ln>
                    <a:noFill/>
                  </a:ln>
                </pic:spPr>
              </pic:pic>
            </a:graphicData>
          </a:graphic>
        </wp:inline>
      </w:drawing>
    </w:r>
    <w:r w:rsidR="005E5AF4">
      <w:tab/>
    </w:r>
    <w:r w:rsidR="00EA7E03" w:rsidRPr="00EA7E03">
      <w:t>BEGÄRAN OM UTLÅTANDE</w:t>
    </w:r>
    <w:r w:rsidR="005E5AF4">
      <w:tab/>
      <w:t>1(2</w:t>
    </w:r>
    <w:r>
      <w:t>)</w:t>
    </w:r>
    <w:r>
      <w:cr/>
    </w:r>
    <w:r>
      <w:tab/>
      <w:t>VN/</w:t>
    </w:r>
    <w:r w:rsidR="005E5AF4">
      <w:t>11443</w:t>
    </w:r>
    <w:r>
      <w:t>/2021</w:t>
    </w:r>
    <w:r>
      <w:tab/>
    </w:r>
  </w:p>
  <w:p w:rsidR="008162FE" w:rsidRDefault="008162FE" w:rsidP="008162FE">
    <w:pPr>
      <w:pStyle w:val="Yltunniste"/>
      <w:tabs>
        <w:tab w:val="clear" w:pos="4819"/>
        <w:tab w:val="left" w:pos="5103"/>
      </w:tabs>
    </w:pPr>
    <w:r>
      <w:t xml:space="preserve">  </w:t>
    </w:r>
  </w:p>
  <w:p w:rsidR="008162FE" w:rsidRDefault="008162FE" w:rsidP="008162FE">
    <w:pPr>
      <w:pStyle w:val="Yltunniste"/>
      <w:tabs>
        <w:tab w:val="clear" w:pos="4819"/>
        <w:tab w:val="left" w:pos="5103"/>
      </w:tabs>
    </w:pPr>
    <w:r>
      <w:tab/>
    </w:r>
    <w:r w:rsidR="00D07E6D">
      <w:t>3</w:t>
    </w:r>
    <w:r>
      <w:t>.</w:t>
    </w:r>
    <w:r w:rsidR="005E5AF4">
      <w:t>8</w:t>
    </w:r>
    <w:r>
      <w:t>.2021</w:t>
    </w:r>
  </w:p>
  <w:p w:rsidR="008162FE" w:rsidRDefault="008162FE" w:rsidP="008162FE">
    <w:pPr>
      <w:pStyle w:val="Yltunniste"/>
    </w:pPr>
  </w:p>
  <w:p w:rsidR="00CB4C78" w:rsidRPr="008162FE" w:rsidRDefault="00CB4C78" w:rsidP="008162F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FE"/>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B125C"/>
    <w:rsid w:val="002D31CC"/>
    <w:rsid w:val="002D37B0"/>
    <w:rsid w:val="002D72CF"/>
    <w:rsid w:val="00307C47"/>
    <w:rsid w:val="003268C9"/>
    <w:rsid w:val="00346B03"/>
    <w:rsid w:val="00367C90"/>
    <w:rsid w:val="00393411"/>
    <w:rsid w:val="003A2869"/>
    <w:rsid w:val="00437B43"/>
    <w:rsid w:val="00446E3A"/>
    <w:rsid w:val="0045664B"/>
    <w:rsid w:val="0047233E"/>
    <w:rsid w:val="00474F0D"/>
    <w:rsid w:val="00486BE8"/>
    <w:rsid w:val="004A196F"/>
    <w:rsid w:val="004C5212"/>
    <w:rsid w:val="004C6B33"/>
    <w:rsid w:val="005146D4"/>
    <w:rsid w:val="0051596E"/>
    <w:rsid w:val="005512A4"/>
    <w:rsid w:val="00562E6B"/>
    <w:rsid w:val="005834E9"/>
    <w:rsid w:val="0059671F"/>
    <w:rsid w:val="005E5AF4"/>
    <w:rsid w:val="006131C2"/>
    <w:rsid w:val="00637B78"/>
    <w:rsid w:val="006A4A91"/>
    <w:rsid w:val="006D40F8"/>
    <w:rsid w:val="006D6C2D"/>
    <w:rsid w:val="00722420"/>
    <w:rsid w:val="0076257D"/>
    <w:rsid w:val="007729CF"/>
    <w:rsid w:val="00783B52"/>
    <w:rsid w:val="00785D97"/>
    <w:rsid w:val="007A74D4"/>
    <w:rsid w:val="007B4560"/>
    <w:rsid w:val="007B4E42"/>
    <w:rsid w:val="007C2B22"/>
    <w:rsid w:val="007E3CBB"/>
    <w:rsid w:val="00811D8D"/>
    <w:rsid w:val="008162FE"/>
    <w:rsid w:val="008200A9"/>
    <w:rsid w:val="008559F2"/>
    <w:rsid w:val="00885EDF"/>
    <w:rsid w:val="008A0773"/>
    <w:rsid w:val="008A4280"/>
    <w:rsid w:val="008E0F4A"/>
    <w:rsid w:val="00906E49"/>
    <w:rsid w:val="00945DA6"/>
    <w:rsid w:val="009B230C"/>
    <w:rsid w:val="009B6311"/>
    <w:rsid w:val="009D222E"/>
    <w:rsid w:val="00A135F7"/>
    <w:rsid w:val="00A24604"/>
    <w:rsid w:val="00A612FC"/>
    <w:rsid w:val="00A64BD2"/>
    <w:rsid w:val="00A75231"/>
    <w:rsid w:val="00A90735"/>
    <w:rsid w:val="00AA5350"/>
    <w:rsid w:val="00AE79F4"/>
    <w:rsid w:val="00AF2EBD"/>
    <w:rsid w:val="00AF3346"/>
    <w:rsid w:val="00B42986"/>
    <w:rsid w:val="00BE4CA3"/>
    <w:rsid w:val="00BF06A8"/>
    <w:rsid w:val="00C21181"/>
    <w:rsid w:val="00C605E6"/>
    <w:rsid w:val="00CB4C78"/>
    <w:rsid w:val="00CD4A95"/>
    <w:rsid w:val="00CF18DE"/>
    <w:rsid w:val="00D05785"/>
    <w:rsid w:val="00D07E6D"/>
    <w:rsid w:val="00D25AD2"/>
    <w:rsid w:val="00D35E49"/>
    <w:rsid w:val="00D44B33"/>
    <w:rsid w:val="00D60C53"/>
    <w:rsid w:val="00D76D7A"/>
    <w:rsid w:val="00D87C57"/>
    <w:rsid w:val="00DE107F"/>
    <w:rsid w:val="00DE217C"/>
    <w:rsid w:val="00E07440"/>
    <w:rsid w:val="00E2160A"/>
    <w:rsid w:val="00E330A7"/>
    <w:rsid w:val="00E44094"/>
    <w:rsid w:val="00EA3C1F"/>
    <w:rsid w:val="00EA7E03"/>
    <w:rsid w:val="00F63379"/>
    <w:rsid w:val="00F7177D"/>
    <w:rsid w:val="00F734F9"/>
    <w:rsid w:val="00F73B15"/>
    <w:rsid w:val="00F80ED2"/>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3F2ECB"/>
  <w15:chartTrackingRefBased/>
  <w15:docId w15:val="{950007E0-76EF-4B14-AFA9-DAAD3E03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5AF4"/>
    <w:pPr>
      <w:spacing w:line="280" w:lineRule="exact"/>
      <w:ind w:left="2608"/>
    </w:pPr>
    <w:rPr>
      <w:rFonts w:ascii="Arial" w:eastAsiaTheme="minorEastAsia" w:hAnsi="Arial" w:cstheme="minorBidi"/>
      <w:sz w:val="18"/>
      <w:szCs w:val="24"/>
    </w:rPr>
  </w:style>
  <w:style w:type="paragraph" w:styleId="Otsikko1">
    <w:name w:val="heading 1"/>
    <w:basedOn w:val="Normaali"/>
    <w:next w:val="Normaali"/>
    <w:link w:val="Otsikko1Char"/>
    <w:uiPriority w:val="9"/>
    <w:rsid w:val="00722420"/>
    <w:pPr>
      <w:keepNext/>
      <w:keepLines/>
      <w:spacing w:before="480" w:line="240" w:lineRule="auto"/>
      <w:ind w:left="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spacing w:line="240" w:lineRule="auto"/>
      <w:ind w:left="0"/>
    </w:pPr>
    <w:rPr>
      <w:rFonts w:ascii="Times New Roman" w:eastAsia="Times New Roman" w:hAnsi="Times New Roman" w:cs="Times New Roman"/>
      <w:sz w:val="24"/>
      <w:szCs w:val="20"/>
      <w:lang w:eastAsia="en-US"/>
    </w:r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spacing w:line="240" w:lineRule="auto"/>
      <w:ind w:left="0"/>
    </w:pPr>
    <w:rPr>
      <w:rFonts w:ascii="Times New Roman" w:eastAsia="Times New Roman" w:hAnsi="Times New Roman" w:cs="Times New Roman"/>
      <w:sz w:val="24"/>
      <w:szCs w:val="20"/>
      <w:lang w:eastAsia="en-US"/>
    </w:rPr>
  </w:style>
  <w:style w:type="character" w:customStyle="1" w:styleId="YltunnisteChar">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unhideWhenUsed/>
    <w:rsid w:val="005E5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a.ojala@stm.f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ur-lex.europa.eu/legal-content/SV/TXT/PDF/?uri=CELEX:32019L0882&amp;from=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m.fi/sv/tillganglighetsdirektivet" TargetMode="External"/><Relationship Id="rId4" Type="http://schemas.openxmlformats.org/officeDocument/2006/relationships/webSettings" Target="webSettings.xml"/><Relationship Id="rId9" Type="http://schemas.openxmlformats.org/officeDocument/2006/relationships/hyperlink" Target="mailto:kirjaamo@stm.f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382</Words>
  <Characters>3098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Judén Tiina (STM)</dc:creator>
  <cp:keywords/>
  <dc:description/>
  <cp:lastModifiedBy>Ojala Emilia (STM)</cp:lastModifiedBy>
  <cp:revision>11</cp:revision>
  <dcterms:created xsi:type="dcterms:W3CDTF">2021-07-30T10:26:00Z</dcterms:created>
  <dcterms:modified xsi:type="dcterms:W3CDTF">2021-08-03T09:07:00Z</dcterms:modified>
</cp:coreProperties>
</file>