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29" w:rsidRPr="001D7F07" w:rsidRDefault="00426DF7" w:rsidP="00BD5C76">
      <w:pPr>
        <w:pStyle w:val="LLLakiehdotukset"/>
        <w:ind w:firstLine="1133"/>
        <w:rPr>
          <w:lang w:val="sv-SE"/>
        </w:rPr>
      </w:pPr>
      <w:bookmarkStart w:id="0" w:name="_GoBack"/>
      <w:bookmarkEnd w:id="0"/>
      <w:r w:rsidRPr="001D7F07">
        <w:rPr>
          <w:lang w:val="sv-SE"/>
        </w:rPr>
        <w:t>Lagförslag</w:t>
      </w:r>
    </w:p>
    <w:p w:rsidR="00A44929" w:rsidRPr="001D7F07" w:rsidRDefault="00426DF7" w:rsidP="00426DF7">
      <w:pPr>
        <w:pStyle w:val="LLLaki"/>
        <w:rPr>
          <w:lang w:val="sv-SE"/>
        </w:rPr>
      </w:pPr>
      <w:r w:rsidRPr="001D7F07">
        <w:rPr>
          <w:lang w:val="sv-SE"/>
        </w:rPr>
        <w:t>Lag</w:t>
      </w:r>
    </w:p>
    <w:p w:rsidR="00A44929" w:rsidRPr="001D7F07" w:rsidRDefault="00426DF7" w:rsidP="00A44929">
      <w:pPr>
        <w:pStyle w:val="LLSaadoksenNimi"/>
        <w:rPr>
          <w:lang w:val="sv-SE"/>
        </w:rPr>
      </w:pPr>
      <w:r w:rsidRPr="001D7F07">
        <w:rPr>
          <w:lang w:val="sv-SE"/>
        </w:rPr>
        <w:t>om ändring av civiltjänstlagen</w:t>
      </w:r>
    </w:p>
    <w:p w:rsidR="00A44929" w:rsidRPr="001D7F07" w:rsidRDefault="00426DF7" w:rsidP="00A44929">
      <w:pPr>
        <w:pStyle w:val="LLJohtolauseKappaleet"/>
        <w:rPr>
          <w:lang w:val="sv-SE"/>
        </w:rPr>
      </w:pPr>
      <w:r w:rsidRPr="001D7F07">
        <w:rPr>
          <w:lang w:val="sv-SE"/>
        </w:rPr>
        <w:t>I enlighet med riksdagens beslut</w:t>
      </w:r>
    </w:p>
    <w:p w:rsidR="00A44929" w:rsidRPr="001D7F07" w:rsidRDefault="00426DF7" w:rsidP="00A44929">
      <w:pPr>
        <w:pStyle w:val="LLJohtolauseKappaleet"/>
        <w:rPr>
          <w:lang w:val="sv-SE"/>
        </w:rPr>
      </w:pPr>
      <w:r w:rsidRPr="001D7F07">
        <w:rPr>
          <w:i/>
          <w:lang w:val="sv-SE"/>
        </w:rPr>
        <w:t xml:space="preserve">ändras </w:t>
      </w:r>
      <w:r w:rsidRPr="001D7F07">
        <w:rPr>
          <w:lang w:val="sv-SE"/>
        </w:rPr>
        <w:t xml:space="preserve">i civiltjänstlagen (1446/2007) 8, 13, 18, 47 och 65 §, rubriken för 12 kap, </w:t>
      </w:r>
      <w:r w:rsidR="00660BCE" w:rsidRPr="001D7F07">
        <w:rPr>
          <w:lang w:val="sv-SE"/>
        </w:rPr>
        <w:t xml:space="preserve">den svenska språkdräkten i rubriken för 88 §, </w:t>
      </w:r>
      <w:r w:rsidRPr="001D7F07">
        <w:rPr>
          <w:lang w:val="sv-SE"/>
        </w:rPr>
        <w:t>88 § 1 mom., 92 § 1 mom., 94, 96, 97, 100 och 102 §, av dem 8 § och 88 § 1 mom. sådana de lyder i lag 940/2013 samt 94 § sådan den lyder delvis ändrad i lag 307/2009, samt</w:t>
      </w:r>
    </w:p>
    <w:p w:rsidR="00A44929" w:rsidRPr="001D7F07" w:rsidRDefault="00426DF7" w:rsidP="00A44929">
      <w:pPr>
        <w:pStyle w:val="LLJohtolauseKappaleet"/>
        <w:rPr>
          <w:lang w:val="sv-SE"/>
        </w:rPr>
      </w:pPr>
      <w:r w:rsidRPr="001D7F07">
        <w:rPr>
          <w:i/>
          <w:lang w:val="sv-SE"/>
        </w:rPr>
        <w:t xml:space="preserve">fogas </w:t>
      </w:r>
      <w:r w:rsidRPr="001D7F07">
        <w:rPr>
          <w:lang w:val="sv-SE"/>
        </w:rPr>
        <w:t>till lagen en ny 65 a § som följer:</w:t>
      </w:r>
    </w:p>
    <w:p w:rsidR="00A44929" w:rsidRPr="001D7F07" w:rsidRDefault="00A44929" w:rsidP="00A44929">
      <w:pPr>
        <w:pStyle w:val="LLJohtolauseKappaleet"/>
        <w:rPr>
          <w:i/>
          <w:lang w:val="sv-SE"/>
        </w:rPr>
      </w:pPr>
    </w:p>
    <w:p w:rsidR="00A44929" w:rsidRPr="001D7F07" w:rsidRDefault="00A44929" w:rsidP="00A44929">
      <w:pPr>
        <w:pStyle w:val="LLLuku"/>
        <w:rPr>
          <w:szCs w:val="22"/>
          <w:lang w:val="sv-SE"/>
        </w:rPr>
      </w:pPr>
    </w:p>
    <w:p w:rsidR="0064052F" w:rsidRPr="001D7F07" w:rsidRDefault="0064052F" w:rsidP="0064052F">
      <w:pPr>
        <w:jc w:val="center"/>
        <w:rPr>
          <w:rFonts w:ascii="Times New Roman" w:hAnsi="Times New Roman" w:cs="Times New Roman"/>
          <w:lang w:val="sv-SE"/>
        </w:rPr>
      </w:pPr>
      <w:r w:rsidRPr="001D7F07">
        <w:rPr>
          <w:rFonts w:ascii="Times New Roman" w:hAnsi="Times New Roman" w:cs="Times New Roman"/>
          <w:lang w:val="sv-SE"/>
        </w:rPr>
        <w:t>8 §</w:t>
      </w:r>
    </w:p>
    <w:p w:rsidR="0064052F" w:rsidRPr="001D7F07" w:rsidRDefault="00426DF7" w:rsidP="00426DF7">
      <w:pPr>
        <w:spacing w:line="280" w:lineRule="auto"/>
        <w:jc w:val="center"/>
        <w:rPr>
          <w:rFonts w:ascii="Times New Roman" w:hAnsi="Times New Roman" w:cs="Times New Roman"/>
          <w:i/>
          <w:lang w:val="sv-SE"/>
        </w:rPr>
      </w:pPr>
      <w:r w:rsidRPr="001D7F07">
        <w:rPr>
          <w:rFonts w:ascii="Times New Roman" w:hAnsi="Times New Roman" w:cs="Times New Roman"/>
          <w:i/>
          <w:lang w:val="sv-SE"/>
        </w:rPr>
        <w:t>Civiltjänstgöringsplatser</w:t>
      </w:r>
    </w:p>
    <w:p w:rsidR="0064052F" w:rsidRPr="001D7F07" w:rsidRDefault="00426DF7" w:rsidP="0064052F">
      <w:pPr>
        <w:spacing w:line="240" w:lineRule="auto"/>
        <w:rPr>
          <w:rFonts w:ascii="Times New Roman" w:hAnsi="Times New Roman" w:cs="Times New Roman"/>
          <w:lang w:val="sv-SE" w:eastAsia="fi-FI"/>
        </w:rPr>
      </w:pPr>
      <w:r w:rsidRPr="001D7F07">
        <w:rPr>
          <w:rFonts w:ascii="Times New Roman" w:hAnsi="Times New Roman" w:cs="Times New Roman"/>
          <w:lang w:val="sv-SE" w:eastAsia="fi-FI"/>
        </w:rPr>
        <w:t>En civiltjänstgöringsplats har till uppgift att bestämma civiltjänstgörarens tjänsteuppgifter, ordna inskolning i tjänsteuppgifterna samt svara för civiltjänstgörarens uppehälle, övervaka tjänstgöringen och upprätthålla registeruppgifter under tjänstgöringstiden.</w:t>
      </w:r>
      <w:r w:rsidR="0064052F" w:rsidRPr="001D7F07">
        <w:rPr>
          <w:rFonts w:ascii="Times New Roman" w:hAnsi="Times New Roman" w:cs="Times New Roman"/>
          <w:lang w:val="sv-SE" w:eastAsia="fi-FI"/>
        </w:rPr>
        <w:t xml:space="preserve"> </w:t>
      </w:r>
      <w:r w:rsidRPr="001D7F07">
        <w:rPr>
          <w:rFonts w:ascii="Times New Roman" w:hAnsi="Times New Roman" w:cs="Times New Roman"/>
          <w:lang w:val="sv-SE" w:eastAsia="fi-FI"/>
        </w:rPr>
        <w:t>En civiltjänstgöringsplats ska även utfärda ett civiltjänstgöringsintyg enligt 8 § i passlagen till en civiltjänstgörare som är i dess tjänst, om han eller hon begär det för ansökan om pass.</w:t>
      </w:r>
    </w:p>
    <w:p w:rsidR="0064052F" w:rsidRPr="001D7F07" w:rsidRDefault="00426DF7" w:rsidP="0064052F">
      <w:pPr>
        <w:spacing w:line="240" w:lineRule="auto"/>
        <w:rPr>
          <w:rFonts w:ascii="Times New Roman" w:hAnsi="Times New Roman" w:cs="Times New Roman"/>
          <w:lang w:val="sv-SE" w:eastAsia="fi-FI"/>
        </w:rPr>
      </w:pPr>
      <w:r w:rsidRPr="001D7F07">
        <w:rPr>
          <w:rFonts w:ascii="Times New Roman" w:hAnsi="Times New Roman" w:cs="Times New Roman"/>
          <w:lang w:val="sv-SE" w:eastAsia="fi-FI"/>
        </w:rPr>
        <w:t>Civiltjänstgöringsplatsen kan vara civiltjänstcentralen eller med centralens godkännande</w:t>
      </w:r>
    </w:p>
    <w:p w:rsidR="0064052F" w:rsidRPr="001D7F07" w:rsidRDefault="00426DF7" w:rsidP="00426DF7">
      <w:pPr>
        <w:pStyle w:val="Luettelokappale"/>
        <w:numPr>
          <w:ilvl w:val="0"/>
          <w:numId w:val="10"/>
        </w:numPr>
        <w:spacing w:after="200"/>
        <w:ind w:left="709" w:hanging="425"/>
        <w:rPr>
          <w:sz w:val="22"/>
          <w:szCs w:val="22"/>
          <w:lang w:val="sv-SE" w:eastAsia="fi-FI"/>
        </w:rPr>
      </w:pPr>
      <w:r w:rsidRPr="001D7F07">
        <w:rPr>
          <w:sz w:val="22"/>
          <w:szCs w:val="22"/>
          <w:lang w:val="sv-SE" w:eastAsia="fi-FI"/>
        </w:rPr>
        <w:t>en statlig myndighet eller ett statligt affärsverk, en självständig statlig inrättning av offentligrättslig karaktär eller en offentligrättslig förening,</w:t>
      </w:r>
    </w:p>
    <w:p w:rsidR="0064052F" w:rsidRPr="001D7F07" w:rsidRDefault="00426DF7" w:rsidP="00426DF7">
      <w:pPr>
        <w:pStyle w:val="Luettelokappale"/>
        <w:numPr>
          <w:ilvl w:val="0"/>
          <w:numId w:val="10"/>
        </w:numPr>
        <w:spacing w:before="100" w:beforeAutospacing="1" w:after="100" w:afterAutospacing="1"/>
        <w:ind w:left="709" w:hanging="425"/>
        <w:rPr>
          <w:sz w:val="22"/>
          <w:szCs w:val="22"/>
          <w:lang w:val="sv-SE" w:eastAsia="fi-FI"/>
        </w:rPr>
      </w:pPr>
      <w:r w:rsidRPr="001D7F07">
        <w:rPr>
          <w:sz w:val="22"/>
          <w:szCs w:val="22"/>
          <w:lang w:val="sv-SE" w:eastAsia="fi-FI"/>
        </w:rPr>
        <w:t>ett i landskapslagen (  /  ) avsett landskap, dess myndighet eller dess affärsverk,</w:t>
      </w:r>
      <w:r w:rsidR="0064052F" w:rsidRPr="001D7F07">
        <w:rPr>
          <w:sz w:val="22"/>
          <w:szCs w:val="22"/>
          <w:lang w:val="sv-SE" w:eastAsia="fi-FI"/>
        </w:rPr>
        <w:t xml:space="preserve">  </w:t>
      </w:r>
    </w:p>
    <w:p w:rsidR="0064052F" w:rsidRPr="001D7F07" w:rsidRDefault="00426DF7" w:rsidP="00426DF7">
      <w:pPr>
        <w:pStyle w:val="Luettelokappale"/>
        <w:numPr>
          <w:ilvl w:val="0"/>
          <w:numId w:val="10"/>
        </w:numPr>
        <w:spacing w:after="200"/>
        <w:ind w:left="709" w:hanging="425"/>
        <w:rPr>
          <w:sz w:val="22"/>
          <w:szCs w:val="22"/>
          <w:lang w:val="sv-SE" w:eastAsia="fi-FI"/>
        </w:rPr>
      </w:pPr>
      <w:r w:rsidRPr="001D7F07">
        <w:rPr>
          <w:sz w:val="22"/>
          <w:szCs w:val="22"/>
          <w:lang w:val="sv-SE" w:eastAsia="fi-FI"/>
        </w:rPr>
        <w:t xml:space="preserve">en kommunal myndighet </w:t>
      </w:r>
    </w:p>
    <w:p w:rsidR="0064052F" w:rsidRPr="001D7F07" w:rsidRDefault="00426DF7" w:rsidP="00426DF7">
      <w:pPr>
        <w:pStyle w:val="Luettelokappale"/>
        <w:numPr>
          <w:ilvl w:val="0"/>
          <w:numId w:val="10"/>
        </w:numPr>
        <w:spacing w:before="100" w:beforeAutospacing="1" w:after="100" w:afterAutospacing="1"/>
        <w:ind w:left="709" w:hanging="425"/>
        <w:rPr>
          <w:sz w:val="22"/>
          <w:szCs w:val="22"/>
          <w:lang w:val="sv-SE" w:eastAsia="fi-FI"/>
        </w:rPr>
      </w:pPr>
      <w:r w:rsidRPr="001D7F07">
        <w:rPr>
          <w:sz w:val="22"/>
          <w:szCs w:val="22"/>
          <w:lang w:val="sv-SE" w:eastAsia="fi-FI"/>
        </w:rPr>
        <w:t>ett i 1 § i universitetslagen (553/2009) avsett universitet,</w:t>
      </w:r>
      <w:r w:rsidR="0064052F" w:rsidRPr="001D7F07">
        <w:rPr>
          <w:sz w:val="22"/>
          <w:szCs w:val="22"/>
          <w:lang w:val="sv-SE" w:eastAsia="fi-FI"/>
        </w:rPr>
        <w:t xml:space="preserve"> </w:t>
      </w:r>
    </w:p>
    <w:p w:rsidR="0064052F" w:rsidRPr="001D7F07" w:rsidRDefault="00426DF7" w:rsidP="00426DF7">
      <w:pPr>
        <w:pStyle w:val="Luettelokappale"/>
        <w:numPr>
          <w:ilvl w:val="0"/>
          <w:numId w:val="10"/>
        </w:numPr>
        <w:spacing w:before="100" w:beforeAutospacing="1" w:after="100" w:afterAutospacing="1"/>
        <w:ind w:left="709" w:hanging="425"/>
        <w:rPr>
          <w:sz w:val="22"/>
          <w:szCs w:val="22"/>
          <w:lang w:val="sv-SE" w:eastAsia="fi-FI"/>
        </w:rPr>
      </w:pPr>
      <w:r w:rsidRPr="001D7F07">
        <w:rPr>
          <w:sz w:val="22"/>
          <w:szCs w:val="22"/>
          <w:lang w:val="sv-SE" w:eastAsia="fi-FI"/>
        </w:rPr>
        <w:t xml:space="preserve"> en i 5 § i yrkeshögskolelagen (932/2014) avsedd yrkeshögskola,</w:t>
      </w:r>
      <w:r w:rsidR="0064052F" w:rsidRPr="001D7F07">
        <w:rPr>
          <w:sz w:val="22"/>
          <w:szCs w:val="22"/>
          <w:lang w:val="sv-SE" w:eastAsia="fi-FI"/>
        </w:rPr>
        <w:t xml:space="preserve"> </w:t>
      </w:r>
    </w:p>
    <w:p w:rsidR="0064052F" w:rsidRPr="001D7F07" w:rsidRDefault="00426DF7" w:rsidP="00426DF7">
      <w:pPr>
        <w:pStyle w:val="Luettelokappale"/>
        <w:numPr>
          <w:ilvl w:val="0"/>
          <w:numId w:val="10"/>
        </w:numPr>
        <w:spacing w:before="100" w:beforeAutospacing="1" w:after="100" w:afterAutospacing="1"/>
        <w:ind w:left="709" w:hanging="425"/>
        <w:rPr>
          <w:sz w:val="22"/>
          <w:szCs w:val="22"/>
          <w:lang w:val="sv-SE" w:eastAsia="fi-FI"/>
        </w:rPr>
      </w:pPr>
      <w:r w:rsidRPr="001D7F07">
        <w:rPr>
          <w:sz w:val="22"/>
          <w:szCs w:val="22"/>
          <w:lang w:val="sv-SE" w:eastAsia="fi-FI"/>
        </w:rPr>
        <w:t xml:space="preserve"> en i </w:t>
      </w:r>
      <w:r w:rsidR="00562542" w:rsidRPr="001D7F07">
        <w:rPr>
          <w:sz w:val="22"/>
          <w:szCs w:val="22"/>
          <w:lang w:val="sv-SE" w:eastAsia="fi-FI"/>
        </w:rPr>
        <w:t xml:space="preserve">3 § 4 punkten i </w:t>
      </w:r>
      <w:r w:rsidRPr="001D7F07">
        <w:rPr>
          <w:sz w:val="22"/>
          <w:szCs w:val="22"/>
          <w:lang w:val="sv-SE" w:eastAsia="fi-FI"/>
        </w:rPr>
        <w:t>lagen om yrkesutbildning (531/2017) avsedd utbildningsanordnare,</w:t>
      </w:r>
      <w:r w:rsidR="0064052F" w:rsidRPr="001D7F07">
        <w:rPr>
          <w:sz w:val="22"/>
          <w:szCs w:val="22"/>
          <w:lang w:val="sv-SE" w:eastAsia="fi-FI"/>
        </w:rPr>
        <w:t xml:space="preserve"> </w:t>
      </w:r>
    </w:p>
    <w:p w:rsidR="0064052F" w:rsidRPr="001D7F07" w:rsidRDefault="00426DF7" w:rsidP="00426DF7">
      <w:pPr>
        <w:pStyle w:val="Luettelokappale"/>
        <w:numPr>
          <w:ilvl w:val="0"/>
          <w:numId w:val="10"/>
        </w:numPr>
        <w:spacing w:after="200"/>
        <w:ind w:left="709" w:hanging="425"/>
        <w:rPr>
          <w:sz w:val="22"/>
          <w:szCs w:val="22"/>
          <w:lang w:val="sv-SE" w:eastAsia="fi-FI"/>
        </w:rPr>
      </w:pPr>
      <w:r w:rsidRPr="001D7F07">
        <w:rPr>
          <w:sz w:val="22"/>
          <w:szCs w:val="22"/>
          <w:lang w:val="sv-SE" w:eastAsia="fi-FI"/>
        </w:rPr>
        <w:t xml:space="preserve"> i lagen om Räddningsinstitutet (607/2006) avsett räddningsinstitut,</w:t>
      </w:r>
    </w:p>
    <w:p w:rsidR="0064052F" w:rsidRPr="001D7F07" w:rsidRDefault="00426DF7" w:rsidP="00775A28">
      <w:pPr>
        <w:pStyle w:val="Luettelokappale"/>
        <w:numPr>
          <w:ilvl w:val="0"/>
          <w:numId w:val="10"/>
        </w:numPr>
        <w:spacing w:after="200"/>
        <w:ind w:left="709" w:hanging="425"/>
        <w:rPr>
          <w:sz w:val="22"/>
          <w:szCs w:val="22"/>
          <w:lang w:val="sv-SE" w:eastAsia="fi-FI"/>
        </w:rPr>
      </w:pPr>
      <w:r w:rsidRPr="001D7F07">
        <w:rPr>
          <w:sz w:val="22"/>
          <w:szCs w:val="22"/>
          <w:lang w:val="sv-SE" w:eastAsia="fi-FI"/>
        </w:rPr>
        <w:t xml:space="preserve">ett i 2 § i religionsfrihetslagen (453/2003) avsett religionssamfund eller dess församling, </w:t>
      </w:r>
    </w:p>
    <w:p w:rsidR="0064052F" w:rsidRPr="001D7F07" w:rsidRDefault="00775A28" w:rsidP="00775A28">
      <w:pPr>
        <w:pStyle w:val="Luettelokappale"/>
        <w:numPr>
          <w:ilvl w:val="0"/>
          <w:numId w:val="10"/>
        </w:numPr>
        <w:spacing w:after="200"/>
        <w:ind w:left="709" w:hanging="425"/>
        <w:rPr>
          <w:sz w:val="22"/>
          <w:szCs w:val="22"/>
          <w:lang w:val="sv-SE" w:eastAsia="fi-FI"/>
        </w:rPr>
      </w:pPr>
      <w:r w:rsidRPr="001D7F07">
        <w:rPr>
          <w:sz w:val="22"/>
          <w:szCs w:val="22"/>
          <w:lang w:val="sv-SE" w:eastAsia="fi-FI"/>
        </w:rPr>
        <w:t xml:space="preserve"> en privaträttslig sammanslutning, förening eller stiftelse som bedriver allmännyttig verksamhet.</w:t>
      </w:r>
      <w:r w:rsidR="0064052F" w:rsidRPr="001D7F07">
        <w:rPr>
          <w:sz w:val="22"/>
          <w:szCs w:val="22"/>
          <w:lang w:val="sv-SE" w:eastAsia="fi-FI"/>
        </w:rPr>
        <w:t xml:space="preserve">  </w:t>
      </w:r>
    </w:p>
    <w:p w:rsidR="0064052F" w:rsidRPr="001D7F07" w:rsidRDefault="00775A28" w:rsidP="0064052F">
      <w:pPr>
        <w:spacing w:line="240" w:lineRule="auto"/>
        <w:rPr>
          <w:rFonts w:ascii="Times New Roman" w:hAnsi="Times New Roman" w:cs="Times New Roman"/>
          <w:lang w:val="sv-SE" w:eastAsia="fi-FI"/>
        </w:rPr>
      </w:pPr>
      <w:r w:rsidRPr="001D7F07">
        <w:rPr>
          <w:rFonts w:ascii="Times New Roman" w:hAnsi="Times New Roman" w:cs="Times New Roman"/>
          <w:lang w:val="sv-SE" w:eastAsia="fi-FI"/>
        </w:rPr>
        <w:t>Civiltjänstgöringsplatsen kan dock inte vara</w:t>
      </w:r>
    </w:p>
    <w:p w:rsidR="0064052F" w:rsidRPr="001D7F07" w:rsidRDefault="00775A28" w:rsidP="00775A28">
      <w:pPr>
        <w:pStyle w:val="Luettelokappale"/>
        <w:numPr>
          <w:ilvl w:val="0"/>
          <w:numId w:val="11"/>
        </w:numPr>
        <w:spacing w:after="200"/>
        <w:ind w:left="709"/>
        <w:rPr>
          <w:sz w:val="22"/>
          <w:szCs w:val="22"/>
          <w:lang w:val="sv-SE" w:eastAsia="fi-FI"/>
        </w:rPr>
      </w:pPr>
      <w:r w:rsidRPr="001D7F07">
        <w:rPr>
          <w:sz w:val="22"/>
          <w:szCs w:val="22"/>
          <w:lang w:val="sv-SE" w:eastAsia="fi-FI"/>
        </w:rPr>
        <w:t>försvarsministeriet eller ett ämbetsverk eller en inrättning inom dess förvaltningsområde,</w:t>
      </w:r>
      <w:r w:rsidR="0064052F" w:rsidRPr="001D7F07">
        <w:rPr>
          <w:sz w:val="22"/>
          <w:szCs w:val="22"/>
          <w:lang w:val="sv-SE" w:eastAsia="fi-FI"/>
        </w:rPr>
        <w:t xml:space="preserve"> </w:t>
      </w:r>
    </w:p>
    <w:p w:rsidR="0064052F" w:rsidRPr="001D7F07" w:rsidRDefault="00775A28" w:rsidP="00775A28">
      <w:pPr>
        <w:pStyle w:val="Luettelokappale"/>
        <w:numPr>
          <w:ilvl w:val="0"/>
          <w:numId w:val="11"/>
        </w:numPr>
        <w:spacing w:after="200"/>
        <w:ind w:left="709"/>
        <w:rPr>
          <w:sz w:val="22"/>
          <w:szCs w:val="22"/>
          <w:lang w:val="sv-SE" w:eastAsia="fi-FI"/>
        </w:rPr>
      </w:pPr>
      <w:r w:rsidRPr="001D7F07">
        <w:rPr>
          <w:sz w:val="22"/>
          <w:szCs w:val="22"/>
          <w:lang w:val="sv-SE" w:eastAsia="fi-FI"/>
        </w:rPr>
        <w:t>ett parti som antecknats i partiregistret,</w:t>
      </w:r>
    </w:p>
    <w:p w:rsidR="0064052F" w:rsidRPr="001D7F07" w:rsidRDefault="00775A28" w:rsidP="00775A28">
      <w:pPr>
        <w:pStyle w:val="Luettelokappale"/>
        <w:numPr>
          <w:ilvl w:val="0"/>
          <w:numId w:val="11"/>
        </w:numPr>
        <w:spacing w:after="200"/>
        <w:ind w:left="709"/>
        <w:rPr>
          <w:sz w:val="22"/>
          <w:szCs w:val="22"/>
          <w:lang w:val="sv-SE" w:eastAsia="fi-FI"/>
        </w:rPr>
      </w:pPr>
      <w:r w:rsidRPr="001D7F07">
        <w:rPr>
          <w:sz w:val="22"/>
          <w:szCs w:val="22"/>
          <w:lang w:val="sv-SE" w:eastAsia="fi-FI"/>
        </w:rPr>
        <w:t xml:space="preserve">en i lagen om riksdagsgrupper (979/2012) avsedd riksdagsgrupp, </w:t>
      </w:r>
      <w:r w:rsidR="0064052F" w:rsidRPr="001D7F07">
        <w:rPr>
          <w:sz w:val="22"/>
          <w:szCs w:val="22"/>
          <w:lang w:val="sv-SE" w:eastAsia="fi-FI"/>
        </w:rPr>
        <w:t xml:space="preserve"> </w:t>
      </w:r>
    </w:p>
    <w:p w:rsidR="0064052F" w:rsidRPr="001D7F07" w:rsidRDefault="00775A28" w:rsidP="00775A28">
      <w:pPr>
        <w:pStyle w:val="Luettelokappale"/>
        <w:numPr>
          <w:ilvl w:val="0"/>
          <w:numId w:val="11"/>
        </w:numPr>
        <w:spacing w:after="200"/>
        <w:ind w:left="709"/>
        <w:rPr>
          <w:sz w:val="22"/>
          <w:szCs w:val="22"/>
          <w:lang w:val="sv-SE" w:eastAsia="fi-FI"/>
        </w:rPr>
      </w:pPr>
      <w:r w:rsidRPr="001D7F07">
        <w:rPr>
          <w:sz w:val="22"/>
          <w:szCs w:val="22"/>
          <w:lang w:val="sv-SE" w:eastAsia="fi-FI"/>
        </w:rPr>
        <w:t>en arbetsmarknadsorganisation,</w:t>
      </w:r>
    </w:p>
    <w:p w:rsidR="0064052F" w:rsidRPr="001D7F07" w:rsidRDefault="00775A28" w:rsidP="00775A28">
      <w:pPr>
        <w:pStyle w:val="Luettelokappale"/>
        <w:numPr>
          <w:ilvl w:val="0"/>
          <w:numId w:val="11"/>
        </w:numPr>
        <w:spacing w:after="200"/>
        <w:ind w:left="709"/>
        <w:rPr>
          <w:sz w:val="22"/>
          <w:szCs w:val="22"/>
          <w:lang w:val="sv-SE" w:eastAsia="fi-FI"/>
        </w:rPr>
      </w:pPr>
      <w:r w:rsidRPr="001D7F07">
        <w:rPr>
          <w:sz w:val="22"/>
          <w:szCs w:val="22"/>
          <w:lang w:val="sv-SE" w:eastAsia="fi-FI"/>
        </w:rPr>
        <w:t>en sammanslutning vars huvudsakliga syfte är att skaffa sammanslutningen eller dem som deltar i dess verksamhet vinst eller annan omedelbar ekonomisk fördel,</w:t>
      </w:r>
      <w:r w:rsidR="0064052F" w:rsidRPr="001D7F07">
        <w:rPr>
          <w:sz w:val="22"/>
          <w:szCs w:val="22"/>
          <w:lang w:val="sv-SE" w:eastAsia="fi-FI"/>
        </w:rPr>
        <w:t xml:space="preserve"> </w:t>
      </w:r>
    </w:p>
    <w:p w:rsidR="0064052F" w:rsidRPr="001D7F07" w:rsidRDefault="00576F6A" w:rsidP="00775A28">
      <w:pPr>
        <w:pStyle w:val="Luettelokappale"/>
        <w:numPr>
          <w:ilvl w:val="0"/>
          <w:numId w:val="11"/>
        </w:numPr>
        <w:spacing w:after="200"/>
        <w:ind w:left="709"/>
        <w:rPr>
          <w:sz w:val="22"/>
          <w:szCs w:val="22"/>
          <w:lang w:val="sv-SE" w:eastAsia="fi-FI"/>
        </w:rPr>
      </w:pPr>
      <w:r w:rsidRPr="001D7F07">
        <w:rPr>
          <w:sz w:val="22"/>
          <w:szCs w:val="22"/>
          <w:lang w:val="sv-SE" w:eastAsia="fi-FI"/>
        </w:rPr>
        <w:t xml:space="preserve">en sammanslutning </w:t>
      </w:r>
      <w:r w:rsidR="00775A28" w:rsidRPr="001D7F07">
        <w:rPr>
          <w:sz w:val="22"/>
          <w:szCs w:val="22"/>
          <w:lang w:val="sv-SE" w:eastAsia="fi-FI"/>
        </w:rPr>
        <w:t>som inte har förutsättningar att utföra uppgifter enligt 1 mom. eller ordna tillräcklig handledning och övervakning av civiltjänstgörare under arbetstjänsten.</w:t>
      </w:r>
      <w:r w:rsidR="0064052F" w:rsidRPr="001D7F07">
        <w:rPr>
          <w:sz w:val="22"/>
          <w:szCs w:val="22"/>
          <w:lang w:val="sv-SE"/>
        </w:rPr>
        <w:t xml:space="preserve"> </w:t>
      </w:r>
    </w:p>
    <w:p w:rsidR="0064052F" w:rsidRPr="001D7F07" w:rsidRDefault="00775A28" w:rsidP="0064052F">
      <w:pPr>
        <w:spacing w:line="240" w:lineRule="auto"/>
        <w:rPr>
          <w:rFonts w:ascii="Times New Roman" w:hAnsi="Times New Roman" w:cs="Times New Roman"/>
          <w:lang w:val="sv-SE" w:eastAsia="fi-FI"/>
        </w:rPr>
      </w:pPr>
      <w:r w:rsidRPr="001D7F07">
        <w:rPr>
          <w:rFonts w:ascii="Times New Roman" w:hAnsi="Times New Roman" w:cs="Times New Roman"/>
          <w:lang w:val="sv-SE" w:eastAsia="fi-FI"/>
        </w:rPr>
        <w:t>De som hör till personalen på civiltjänstgöringsplatsen omfattas av bestämmelserna om straffrättsligt tjänst</w:t>
      </w:r>
      <w:r w:rsidR="00833B99" w:rsidRPr="001D7F07">
        <w:rPr>
          <w:rFonts w:ascii="Times New Roman" w:hAnsi="Times New Roman" w:cs="Times New Roman"/>
          <w:lang w:val="sv-SE" w:eastAsia="fi-FI"/>
        </w:rPr>
        <w:t>eansvar när de sköter civiltjän</w:t>
      </w:r>
      <w:r w:rsidRPr="001D7F07">
        <w:rPr>
          <w:rFonts w:ascii="Times New Roman" w:hAnsi="Times New Roman" w:cs="Times New Roman"/>
          <w:lang w:val="sv-SE" w:eastAsia="fi-FI"/>
        </w:rPr>
        <w:t>stärenden.</w:t>
      </w:r>
      <w:r w:rsidR="0064052F" w:rsidRPr="001D7F07">
        <w:rPr>
          <w:rFonts w:ascii="Times New Roman" w:hAnsi="Times New Roman" w:cs="Times New Roman"/>
          <w:lang w:val="sv-SE" w:eastAsia="fi-FI"/>
        </w:rPr>
        <w:t xml:space="preserve"> </w:t>
      </w:r>
      <w:r w:rsidRPr="001D7F07">
        <w:rPr>
          <w:rFonts w:ascii="Times New Roman" w:hAnsi="Times New Roman" w:cs="Times New Roman"/>
          <w:lang w:val="sv-SE" w:eastAsia="fi-FI"/>
        </w:rPr>
        <w:t>Bestämmelser om skadeståndsansvar finns i skadeståndslagen (412/1974).</w:t>
      </w:r>
      <w:r w:rsidR="009260E1" w:rsidRPr="001D7F07">
        <w:rPr>
          <w:rFonts w:ascii="Times New Roman" w:hAnsi="Times New Roman" w:cs="Times New Roman"/>
          <w:lang w:val="sv-SE" w:eastAsia="fi-FI"/>
        </w:rPr>
        <w:t xml:space="preserve"> </w:t>
      </w:r>
    </w:p>
    <w:p w:rsidR="005E32B5" w:rsidRPr="001D7F07" w:rsidRDefault="005E32B5" w:rsidP="0064052F">
      <w:pPr>
        <w:spacing w:line="240" w:lineRule="auto"/>
        <w:rPr>
          <w:rFonts w:ascii="Times New Roman" w:hAnsi="Times New Roman" w:cs="Times New Roman"/>
          <w:lang w:val="sv-SE" w:eastAsia="fi-FI"/>
        </w:rPr>
      </w:pPr>
    </w:p>
    <w:p w:rsidR="005E32B5" w:rsidRPr="001D7F07" w:rsidRDefault="005E32B5" w:rsidP="0064052F">
      <w:pPr>
        <w:spacing w:line="240" w:lineRule="auto"/>
        <w:rPr>
          <w:rFonts w:ascii="Times New Roman" w:hAnsi="Times New Roman" w:cs="Times New Roman"/>
          <w:lang w:val="sv-SE" w:eastAsia="fi-FI"/>
        </w:rPr>
      </w:pPr>
    </w:p>
    <w:p w:rsidR="00D81078" w:rsidRPr="001D7F07" w:rsidRDefault="00D81078" w:rsidP="00D81078">
      <w:pPr>
        <w:spacing w:before="100" w:beforeAutospacing="1" w:after="100" w:afterAutospacing="1"/>
        <w:jc w:val="center"/>
        <w:outlineLvl w:val="4"/>
        <w:rPr>
          <w:rFonts w:ascii="Times New Roman" w:hAnsi="Times New Roman" w:cs="Times New Roman"/>
          <w:bCs/>
          <w:lang w:val="sv-SE" w:eastAsia="fi-FI"/>
        </w:rPr>
      </w:pPr>
      <w:r w:rsidRPr="001D7F07">
        <w:rPr>
          <w:rFonts w:ascii="Times New Roman" w:hAnsi="Times New Roman" w:cs="Times New Roman"/>
          <w:bCs/>
          <w:lang w:val="sv-SE" w:eastAsia="fi-FI"/>
        </w:rPr>
        <w:lastRenderedPageBreak/>
        <w:t>13 §</w:t>
      </w:r>
    </w:p>
    <w:p w:rsidR="00D81078" w:rsidRPr="001D7F07" w:rsidRDefault="00775A28" w:rsidP="00775A28">
      <w:pPr>
        <w:spacing w:before="100" w:beforeAutospacing="1" w:after="100" w:afterAutospacing="1" w:line="280" w:lineRule="auto"/>
        <w:jc w:val="center"/>
        <w:outlineLvl w:val="4"/>
        <w:rPr>
          <w:rFonts w:ascii="Times New Roman" w:hAnsi="Times New Roman" w:cs="Times New Roman"/>
          <w:bCs/>
          <w:i/>
          <w:lang w:val="sv-SE" w:eastAsia="fi-FI"/>
        </w:rPr>
      </w:pPr>
      <w:r w:rsidRPr="001D7F07">
        <w:rPr>
          <w:rFonts w:ascii="Times New Roman" w:hAnsi="Times New Roman" w:cs="Times New Roman"/>
          <w:bCs/>
          <w:i/>
          <w:lang w:val="sv-SE" w:eastAsia="fi-FI"/>
        </w:rPr>
        <w:t>Behandling av ansökan om civiltjänst</w:t>
      </w:r>
    </w:p>
    <w:p w:rsidR="00D81078" w:rsidRPr="001D7F07" w:rsidRDefault="00775A28" w:rsidP="00AB5C49">
      <w:pPr>
        <w:pStyle w:val="py"/>
        <w:rPr>
          <w:sz w:val="22"/>
          <w:szCs w:val="22"/>
          <w:lang w:val="sv-SE"/>
        </w:rPr>
      </w:pPr>
      <w:r w:rsidRPr="001D7F07">
        <w:rPr>
          <w:sz w:val="22"/>
          <w:szCs w:val="22"/>
          <w:lang w:val="sv-SE"/>
        </w:rPr>
        <w:t>En ansökan om civiltjänst ska behandlas utan dröjsmål.</w:t>
      </w:r>
      <w:r w:rsidR="00D81078" w:rsidRPr="001D7F07">
        <w:rPr>
          <w:sz w:val="22"/>
          <w:szCs w:val="22"/>
          <w:lang w:val="sv-SE"/>
        </w:rPr>
        <w:t xml:space="preserve"> </w:t>
      </w:r>
      <w:r w:rsidRPr="001D7F07">
        <w:rPr>
          <w:sz w:val="22"/>
          <w:szCs w:val="22"/>
          <w:lang w:val="sv-SE"/>
        </w:rPr>
        <w:t>Uppbådsnämnden eller försvarsmaktens regionalbyrå ska godkänna ansökan, om den uppfyller villkoren i 12 §.</w:t>
      </w:r>
      <w:r w:rsidR="00D81078" w:rsidRPr="001D7F07">
        <w:rPr>
          <w:sz w:val="22"/>
          <w:szCs w:val="22"/>
          <w:lang w:val="sv-SE"/>
        </w:rPr>
        <w:t xml:space="preserve"> </w:t>
      </w:r>
      <w:r w:rsidRPr="001D7F07">
        <w:rPr>
          <w:sz w:val="22"/>
          <w:szCs w:val="22"/>
          <w:lang w:val="sv-SE"/>
        </w:rPr>
        <w:t>Kommendören för truppförbandet och civiltjänstcentralen ska sända inkomna ansökningar till försvarsmaktens regionalbyrå för godkännande.</w:t>
      </w:r>
      <w:r w:rsidR="00D81078" w:rsidRPr="001D7F07">
        <w:rPr>
          <w:sz w:val="22"/>
          <w:szCs w:val="22"/>
          <w:lang w:val="sv-SE"/>
        </w:rPr>
        <w:t xml:space="preserve"> </w:t>
      </w:r>
      <w:r w:rsidRPr="001D7F07">
        <w:rPr>
          <w:sz w:val="22"/>
          <w:szCs w:val="22"/>
          <w:lang w:val="sv-SE"/>
        </w:rPr>
        <w:t>Uppbådsnämnden och försvarsmaktens regionalbyrå ska utan dröjsmål underrätta civiltjänstcentralen om att en ansökan om civiltjänst har godkänts.</w:t>
      </w:r>
    </w:p>
    <w:p w:rsidR="00D81078" w:rsidRPr="001D7F07" w:rsidRDefault="00775A28" w:rsidP="00AB5C49">
      <w:pPr>
        <w:pStyle w:val="py"/>
        <w:rPr>
          <w:sz w:val="22"/>
          <w:szCs w:val="22"/>
          <w:lang w:val="sv-SE"/>
        </w:rPr>
      </w:pPr>
      <w:r w:rsidRPr="001D7F07">
        <w:rPr>
          <w:sz w:val="22"/>
          <w:szCs w:val="22"/>
          <w:lang w:val="sv-SE"/>
        </w:rPr>
        <w:t>Efter det att ansökan har godkänts är sökanden civiltjänstgörare och befriad från tjänstgöring enligt värnpliktslagen eller lagen om frivillig militärtjänst för kvinnor.</w:t>
      </w:r>
    </w:p>
    <w:p w:rsidR="00D81078" w:rsidRPr="001D7F07" w:rsidRDefault="00415FE8" w:rsidP="00AB5C49">
      <w:pPr>
        <w:spacing w:before="100" w:beforeAutospacing="1" w:after="100" w:afterAutospacing="1" w:line="240" w:lineRule="auto"/>
        <w:outlineLvl w:val="4"/>
        <w:rPr>
          <w:rFonts w:ascii="Times New Roman" w:hAnsi="Times New Roman" w:cs="Times New Roman"/>
          <w:lang w:val="sv-SE"/>
        </w:rPr>
      </w:pPr>
      <w:r>
        <w:rPr>
          <w:rFonts w:ascii="Times New Roman" w:hAnsi="Times New Roman" w:cs="Times New Roman"/>
          <w:lang w:val="sv-SE"/>
        </w:rPr>
        <w:t>Bestämmelser om behandling av ansökan</w:t>
      </w:r>
      <w:r w:rsidR="00775A28" w:rsidRPr="001D7F07">
        <w:rPr>
          <w:rFonts w:ascii="Times New Roman" w:hAnsi="Times New Roman" w:cs="Times New Roman"/>
          <w:lang w:val="sv-SE"/>
        </w:rPr>
        <w:t xml:space="preserve"> om civiltjänst i fråga om beslut om extra tjänstgöring enligt 83 § och förordnande till tjänstgöring under partiell eller allmän mobilisering enligt 86 § i värnpliktslagen finns i 18 §.</w:t>
      </w:r>
    </w:p>
    <w:p w:rsidR="00D81078" w:rsidRPr="001D7F07" w:rsidRDefault="00D81078" w:rsidP="00D81078">
      <w:pPr>
        <w:spacing w:before="100" w:beforeAutospacing="1" w:after="100" w:afterAutospacing="1"/>
        <w:jc w:val="center"/>
        <w:outlineLvl w:val="4"/>
        <w:rPr>
          <w:rFonts w:ascii="Times New Roman" w:hAnsi="Times New Roman" w:cs="Times New Roman"/>
          <w:bCs/>
          <w:szCs w:val="24"/>
          <w:lang w:val="sv-SE" w:eastAsia="fi-FI"/>
        </w:rPr>
      </w:pPr>
      <w:r w:rsidRPr="001D7F07">
        <w:rPr>
          <w:rFonts w:ascii="Times New Roman" w:hAnsi="Times New Roman" w:cs="Times New Roman"/>
          <w:bCs/>
          <w:szCs w:val="24"/>
          <w:lang w:val="sv-SE" w:eastAsia="fi-FI"/>
        </w:rPr>
        <w:t>18 §</w:t>
      </w:r>
    </w:p>
    <w:p w:rsidR="00D81078" w:rsidRPr="001D7F07" w:rsidRDefault="00775A28" w:rsidP="00775A28">
      <w:pPr>
        <w:spacing w:before="100" w:beforeAutospacing="1" w:after="100" w:afterAutospacing="1" w:line="280" w:lineRule="auto"/>
        <w:jc w:val="center"/>
        <w:outlineLvl w:val="4"/>
        <w:rPr>
          <w:rFonts w:ascii="Times New Roman" w:hAnsi="Times New Roman" w:cs="Times New Roman"/>
          <w:bCs/>
          <w:i/>
          <w:szCs w:val="24"/>
          <w:lang w:val="sv-SE" w:eastAsia="fi-FI"/>
        </w:rPr>
      </w:pPr>
      <w:r w:rsidRPr="001D7F07">
        <w:rPr>
          <w:rFonts w:ascii="Times New Roman" w:hAnsi="Times New Roman" w:cs="Times New Roman"/>
          <w:bCs/>
          <w:i/>
          <w:szCs w:val="24"/>
          <w:lang w:val="sv-SE" w:eastAsia="fi-FI"/>
        </w:rPr>
        <w:t>Ansökan om civiltjänst under särskilda förhållanden</w:t>
      </w:r>
    </w:p>
    <w:p w:rsidR="00D81078" w:rsidRPr="001D7F07" w:rsidRDefault="00775A28" w:rsidP="00AB5C49">
      <w:pPr>
        <w:spacing w:before="100" w:beforeAutospacing="1" w:after="100" w:afterAutospacing="1" w:line="240" w:lineRule="auto"/>
        <w:rPr>
          <w:rFonts w:ascii="Times New Roman" w:hAnsi="Times New Roman" w:cs="Times New Roman"/>
          <w:szCs w:val="24"/>
          <w:lang w:val="sv-SE" w:eastAsia="fi-FI"/>
        </w:rPr>
      </w:pPr>
      <w:r w:rsidRPr="001D7F07">
        <w:rPr>
          <w:rFonts w:ascii="Times New Roman" w:hAnsi="Times New Roman" w:cs="Times New Roman"/>
          <w:szCs w:val="24"/>
          <w:lang w:val="sv-SE" w:eastAsia="fi-FI"/>
        </w:rPr>
        <w:t>Om ansökan om civiltjänst inte har godkänts på det sätt som avses i 13 § 1 mom. innan republikens president har utfärdat ett i 83 § i värnpliktslagen avsett beslut om extra tjänstgöring eller ett beslut om partiell eller allmän mobilisering av försvarsmakten, sänds ansökan omedelbart för avgörande till den nämnd för prövning av värnpliktigas övertygelse som avses i 19 §.</w:t>
      </w:r>
    </w:p>
    <w:p w:rsidR="00AB5C49" w:rsidRPr="001D7F07" w:rsidRDefault="00AB5C49" w:rsidP="00AB5C49">
      <w:pPr>
        <w:jc w:val="center"/>
        <w:rPr>
          <w:rFonts w:ascii="Times New Roman" w:hAnsi="Times New Roman" w:cs="Times New Roman"/>
          <w:lang w:val="sv-SE"/>
        </w:rPr>
      </w:pPr>
      <w:r w:rsidRPr="001D7F07">
        <w:rPr>
          <w:rFonts w:ascii="Times New Roman" w:hAnsi="Times New Roman" w:cs="Times New Roman"/>
          <w:lang w:val="sv-SE"/>
        </w:rPr>
        <w:t>47 §</w:t>
      </w:r>
    </w:p>
    <w:p w:rsidR="00AB5C49" w:rsidRPr="001D7F07" w:rsidRDefault="00775A28" w:rsidP="00775A28">
      <w:pPr>
        <w:spacing w:line="280" w:lineRule="auto"/>
        <w:jc w:val="center"/>
        <w:rPr>
          <w:rFonts w:ascii="Times New Roman" w:hAnsi="Times New Roman" w:cs="Times New Roman"/>
          <w:i/>
          <w:lang w:val="sv-SE"/>
        </w:rPr>
      </w:pPr>
      <w:r w:rsidRPr="001D7F07">
        <w:rPr>
          <w:rFonts w:ascii="Times New Roman" w:hAnsi="Times New Roman" w:cs="Times New Roman"/>
          <w:i/>
          <w:lang w:val="sv-SE"/>
        </w:rPr>
        <w:t>Anvisande av inkvartering och ersättningar för inkvartering</w:t>
      </w:r>
    </w:p>
    <w:p w:rsidR="00AB5C49" w:rsidRPr="001D7F07" w:rsidRDefault="00775A28" w:rsidP="00AB5C49">
      <w:pPr>
        <w:spacing w:line="240" w:lineRule="auto"/>
        <w:rPr>
          <w:rFonts w:ascii="Times New Roman" w:hAnsi="Times New Roman" w:cs="Times New Roman"/>
          <w:strike/>
          <w:lang w:val="sv-SE"/>
        </w:rPr>
      </w:pPr>
      <w:r w:rsidRPr="001D7F07">
        <w:rPr>
          <w:rFonts w:ascii="Times New Roman" w:hAnsi="Times New Roman" w:cs="Times New Roman"/>
          <w:lang w:val="sv-SE"/>
        </w:rPr>
        <w:t>Civiltjänstgöringsplatsen ska skriftligen anvisa civiltjänstgöraren inkvartering när arbetstjänsten inleds.</w:t>
      </w:r>
      <w:r w:rsidR="00AB5C49" w:rsidRPr="001D7F07">
        <w:rPr>
          <w:rFonts w:ascii="Times New Roman" w:hAnsi="Times New Roman" w:cs="Times New Roman"/>
          <w:lang w:val="sv-SE"/>
        </w:rPr>
        <w:t xml:space="preserve"> </w:t>
      </w:r>
    </w:p>
    <w:p w:rsidR="00AB5C49" w:rsidRPr="001D7F07" w:rsidRDefault="00775A28" w:rsidP="00AB5C49">
      <w:pPr>
        <w:spacing w:line="240" w:lineRule="auto"/>
        <w:rPr>
          <w:rFonts w:ascii="Times New Roman" w:hAnsi="Times New Roman" w:cs="Times New Roman"/>
          <w:lang w:val="sv-SE"/>
        </w:rPr>
      </w:pPr>
      <w:r w:rsidRPr="001D7F07">
        <w:rPr>
          <w:rFonts w:ascii="Times New Roman" w:hAnsi="Times New Roman" w:cs="Times New Roman"/>
          <w:lang w:val="sv-SE"/>
        </w:rPr>
        <w:t>Staten ersätter på ansökan civiltjänstgörin</w:t>
      </w:r>
      <w:r w:rsidR="001D7F07">
        <w:rPr>
          <w:rFonts w:ascii="Times New Roman" w:hAnsi="Times New Roman" w:cs="Times New Roman"/>
          <w:lang w:val="sv-SE"/>
        </w:rPr>
        <w:t>g</w:t>
      </w:r>
      <w:r w:rsidRPr="001D7F07">
        <w:rPr>
          <w:rFonts w:ascii="Times New Roman" w:hAnsi="Times New Roman" w:cs="Times New Roman"/>
          <w:lang w:val="sv-SE"/>
        </w:rPr>
        <w:t>splatsen för de kostnader som inkvarteringen av civi</w:t>
      </w:r>
      <w:r w:rsidR="00EA43F0">
        <w:rPr>
          <w:rFonts w:ascii="Times New Roman" w:hAnsi="Times New Roman" w:cs="Times New Roman"/>
          <w:lang w:val="sv-SE"/>
        </w:rPr>
        <w:t>l</w:t>
      </w:r>
      <w:r w:rsidRPr="001D7F07">
        <w:rPr>
          <w:rFonts w:ascii="Times New Roman" w:hAnsi="Times New Roman" w:cs="Times New Roman"/>
          <w:lang w:val="sv-SE"/>
        </w:rPr>
        <w:t>tjänstgöraren medfört högst med beloppet av de faktiskt uppkomna boendekostnaderna.</w:t>
      </w:r>
      <w:r w:rsidR="00AB5C49" w:rsidRPr="001D7F07">
        <w:rPr>
          <w:rFonts w:ascii="Times New Roman" w:hAnsi="Times New Roman" w:cs="Times New Roman"/>
          <w:lang w:val="sv-SE"/>
        </w:rPr>
        <w:t xml:space="preserve"> </w:t>
      </w:r>
      <w:r w:rsidRPr="001D7F07">
        <w:rPr>
          <w:rFonts w:ascii="Times New Roman" w:hAnsi="Times New Roman" w:cs="Times New Roman"/>
          <w:lang w:val="sv-SE"/>
        </w:rPr>
        <w:t>Boendekostnader som ersätts är hyra, annat vederlag eller en därmed jämförbar annan fast månatlig utgift för boende som grundar sig på ett avtal, dock inte finansieringsvederlag eller kapitalamorteringar på civiltjänstgörarens bostadslån.</w:t>
      </w:r>
    </w:p>
    <w:p w:rsidR="00AB5C49" w:rsidRPr="001D7F07" w:rsidRDefault="00775A28" w:rsidP="00AB5C49">
      <w:pPr>
        <w:spacing w:line="240" w:lineRule="auto"/>
        <w:rPr>
          <w:rFonts w:ascii="Times New Roman" w:hAnsi="Times New Roman" w:cs="Times New Roman"/>
          <w:lang w:val="sv-SE"/>
        </w:rPr>
      </w:pPr>
      <w:r w:rsidRPr="001D7F07">
        <w:rPr>
          <w:rFonts w:ascii="Times New Roman" w:hAnsi="Times New Roman" w:cs="Times New Roman"/>
          <w:lang w:val="sv-SE"/>
        </w:rPr>
        <w:t>Maximibeloppet av den inkvarteringsersättning som avses i 2 mom. bestäms dessutom utgående från den ort där den anvisade inkvarteringen sker. I detta syfte delas kommunerna i kommungrupper.</w:t>
      </w:r>
      <w:r w:rsidR="00AB5C49" w:rsidRPr="001D7F07">
        <w:rPr>
          <w:rFonts w:ascii="Times New Roman" w:hAnsi="Times New Roman" w:cs="Times New Roman"/>
          <w:lang w:val="sv-SE"/>
        </w:rPr>
        <w:t xml:space="preserve"> </w:t>
      </w:r>
      <w:r w:rsidRPr="001D7F07">
        <w:rPr>
          <w:rFonts w:ascii="Times New Roman" w:hAnsi="Times New Roman" w:cs="Times New Roman"/>
          <w:lang w:val="sv-SE"/>
        </w:rPr>
        <w:t>Maximibeloppet av inkvarteringsersättning i olika kommungrupper är följande:</w:t>
      </w:r>
    </w:p>
    <w:p w:rsidR="00AB5C49" w:rsidRPr="001D7F07" w:rsidRDefault="00775A28" w:rsidP="00AB5C49">
      <w:pPr>
        <w:spacing w:line="240" w:lineRule="auto"/>
        <w:ind w:left="426"/>
        <w:rPr>
          <w:rFonts w:ascii="Times New Roman" w:hAnsi="Times New Roman" w:cs="Times New Roman"/>
          <w:lang w:val="sv-SE"/>
        </w:rPr>
      </w:pPr>
      <w:r w:rsidRPr="001D7F07">
        <w:rPr>
          <w:rFonts w:ascii="Times New Roman" w:hAnsi="Times New Roman" w:cs="Times New Roman"/>
          <w:lang w:val="sv-SE"/>
        </w:rPr>
        <w:t>Kommungrupp I:</w:t>
      </w:r>
      <w:r w:rsidR="00AB5C49" w:rsidRPr="001D7F07">
        <w:rPr>
          <w:rFonts w:ascii="Times New Roman" w:hAnsi="Times New Roman" w:cs="Times New Roman"/>
          <w:lang w:val="sv-SE"/>
        </w:rPr>
        <w:t xml:space="preserve"> </w:t>
      </w:r>
      <w:r w:rsidRPr="001D7F07">
        <w:rPr>
          <w:rFonts w:ascii="Times New Roman" w:hAnsi="Times New Roman" w:cs="Times New Roman"/>
          <w:lang w:val="sv-SE"/>
        </w:rPr>
        <w:t>Helsingfors, högst 310 euro i månaden</w:t>
      </w:r>
    </w:p>
    <w:p w:rsidR="00AB5C49" w:rsidRPr="001D7F07" w:rsidRDefault="00775A28" w:rsidP="00AB5C49">
      <w:pPr>
        <w:spacing w:line="240" w:lineRule="auto"/>
        <w:ind w:left="426"/>
        <w:rPr>
          <w:rFonts w:ascii="Times New Roman" w:hAnsi="Times New Roman" w:cs="Times New Roman"/>
          <w:lang w:val="sv-SE"/>
        </w:rPr>
      </w:pPr>
      <w:r w:rsidRPr="001D7F07">
        <w:rPr>
          <w:rFonts w:ascii="Times New Roman" w:hAnsi="Times New Roman" w:cs="Times New Roman"/>
          <w:lang w:val="sv-SE"/>
        </w:rPr>
        <w:t>Kommungrupp II:</w:t>
      </w:r>
      <w:r w:rsidR="00AB5C49" w:rsidRPr="001D7F07">
        <w:rPr>
          <w:rFonts w:ascii="Times New Roman" w:hAnsi="Times New Roman" w:cs="Times New Roman"/>
          <w:lang w:val="sv-SE"/>
        </w:rPr>
        <w:t xml:space="preserve"> </w:t>
      </w:r>
      <w:r w:rsidRPr="001D7F07">
        <w:rPr>
          <w:rFonts w:ascii="Times New Roman" w:hAnsi="Times New Roman" w:cs="Times New Roman"/>
          <w:lang w:val="sv-SE"/>
        </w:rPr>
        <w:t>Esbo, Grankulla och</w:t>
      </w:r>
      <w:r w:rsidR="00415FE8">
        <w:rPr>
          <w:rFonts w:ascii="Times New Roman" w:hAnsi="Times New Roman" w:cs="Times New Roman"/>
          <w:lang w:val="sv-SE"/>
        </w:rPr>
        <w:t xml:space="preserve"> Vanda högst 280 euro i månaden</w:t>
      </w:r>
    </w:p>
    <w:p w:rsidR="00AB5C49" w:rsidRPr="001D7F07" w:rsidRDefault="00775A28" w:rsidP="00AB5C49">
      <w:pPr>
        <w:spacing w:line="240" w:lineRule="auto"/>
        <w:ind w:left="426"/>
        <w:rPr>
          <w:rFonts w:ascii="Times New Roman" w:hAnsi="Times New Roman" w:cs="Times New Roman"/>
          <w:lang w:val="sv-SE"/>
        </w:rPr>
      </w:pPr>
      <w:r w:rsidRPr="001D7F07">
        <w:rPr>
          <w:rFonts w:ascii="Times New Roman" w:hAnsi="Times New Roman" w:cs="Times New Roman"/>
          <w:lang w:val="sv-SE"/>
        </w:rPr>
        <w:t>Kommungrupp III:</w:t>
      </w:r>
      <w:r w:rsidR="00AB5C49" w:rsidRPr="001D7F07">
        <w:rPr>
          <w:rFonts w:ascii="Times New Roman" w:hAnsi="Times New Roman" w:cs="Times New Roman"/>
          <w:lang w:val="sv-SE"/>
        </w:rPr>
        <w:t xml:space="preserve"> </w:t>
      </w:r>
      <w:r w:rsidRPr="001D7F07">
        <w:rPr>
          <w:rFonts w:ascii="Times New Roman" w:hAnsi="Times New Roman" w:cs="Times New Roman"/>
          <w:lang w:val="sv-SE"/>
        </w:rPr>
        <w:t>Hyvinge, Tavastehus, Joensuu, Jyväskylä, Träskända, Kajana, Kervo, Kyrkslätt, Kouvola, Kuopio, Lahtis, Villmanstrand, Lojo, S:t Michel, Nokia, Nurmijärvi, Uleåborg, Björneborg, Borgå, Reso, Riihimäki, Rovaniemi, Seinäjoki, Sibbo, Sjundeå, Tammerfors, Åbo, Tusby, Vasa och Vichtis, högst 250 euro i månaden</w:t>
      </w:r>
    </w:p>
    <w:p w:rsidR="00AB5C49" w:rsidRPr="001D7F07" w:rsidRDefault="00775A28" w:rsidP="00AB5C49">
      <w:pPr>
        <w:spacing w:line="240" w:lineRule="auto"/>
        <w:ind w:left="426"/>
        <w:rPr>
          <w:rFonts w:ascii="Times New Roman" w:hAnsi="Times New Roman" w:cs="Times New Roman"/>
          <w:lang w:val="sv-SE"/>
        </w:rPr>
      </w:pPr>
      <w:r w:rsidRPr="001D7F07">
        <w:rPr>
          <w:rFonts w:ascii="Times New Roman" w:hAnsi="Times New Roman" w:cs="Times New Roman"/>
          <w:lang w:val="sv-SE"/>
        </w:rPr>
        <w:lastRenderedPageBreak/>
        <w:t>Kommungrupp IV:</w:t>
      </w:r>
      <w:r w:rsidR="00AB5C49" w:rsidRPr="001D7F07">
        <w:rPr>
          <w:rFonts w:ascii="Times New Roman" w:hAnsi="Times New Roman" w:cs="Times New Roman"/>
          <w:lang w:val="sv-SE"/>
        </w:rPr>
        <w:t xml:space="preserve"> </w:t>
      </w:r>
      <w:r w:rsidR="00801ECF" w:rsidRPr="001D7F07">
        <w:rPr>
          <w:rFonts w:ascii="Times New Roman" w:hAnsi="Times New Roman" w:cs="Times New Roman"/>
          <w:lang w:val="sv-SE"/>
        </w:rPr>
        <w:t>Övriga kommuner,</w:t>
      </w:r>
      <w:r w:rsidRPr="001D7F07">
        <w:rPr>
          <w:rFonts w:ascii="Times New Roman" w:hAnsi="Times New Roman" w:cs="Times New Roman"/>
          <w:lang w:val="sv-SE"/>
        </w:rPr>
        <w:t xml:space="preserve"> högst 180 euro i månaden.</w:t>
      </w:r>
      <w:r w:rsidR="00E24FBA" w:rsidRPr="001D7F07">
        <w:rPr>
          <w:rFonts w:ascii="Times New Roman" w:hAnsi="Times New Roman" w:cs="Times New Roman"/>
          <w:lang w:val="sv-SE"/>
        </w:rPr>
        <w:t xml:space="preserve"> </w:t>
      </w:r>
    </w:p>
    <w:p w:rsidR="00AB5C49" w:rsidRPr="001D7F07" w:rsidRDefault="00775A28" w:rsidP="00AB5C49">
      <w:pPr>
        <w:spacing w:line="240" w:lineRule="auto"/>
        <w:rPr>
          <w:rFonts w:ascii="Times New Roman" w:hAnsi="Times New Roman" w:cs="Times New Roman"/>
          <w:lang w:val="sv-SE"/>
        </w:rPr>
      </w:pPr>
      <w:r w:rsidRPr="001D7F07">
        <w:rPr>
          <w:rFonts w:ascii="Times New Roman" w:hAnsi="Times New Roman" w:cs="Times New Roman"/>
          <w:lang w:val="sv-SE"/>
        </w:rPr>
        <w:t>Maximibeloppet av inkvarteringsersättning justeras vart tredje år så att det motsvarar förändringen av den allmänna hyresnivån.</w:t>
      </w:r>
      <w:r w:rsidR="00436803" w:rsidRPr="001D7F07">
        <w:rPr>
          <w:rFonts w:ascii="Times New Roman" w:hAnsi="Times New Roman" w:cs="Times New Roman"/>
          <w:lang w:val="sv-SE"/>
        </w:rPr>
        <w:t xml:space="preserve"> </w:t>
      </w:r>
      <w:r w:rsidRPr="001D7F07">
        <w:rPr>
          <w:rFonts w:ascii="Times New Roman" w:hAnsi="Times New Roman" w:cs="Times New Roman"/>
          <w:lang w:val="sv-SE"/>
        </w:rPr>
        <w:t>Beloppet av inkvarteringsersättning binds vid det hyresindex på årsnivån (2010 = 100) som fastställs av Statistikcentralen och som beskriver utvecklingen av hyresnivån för alla hyresbostäder i hela landet.</w:t>
      </w:r>
    </w:p>
    <w:p w:rsidR="00AB5C49" w:rsidRPr="001D7F07" w:rsidRDefault="00775A28" w:rsidP="00AB5C49">
      <w:pPr>
        <w:spacing w:line="240" w:lineRule="auto"/>
        <w:rPr>
          <w:rFonts w:ascii="Times New Roman" w:hAnsi="Times New Roman" w:cs="Times New Roman"/>
          <w:lang w:val="sv-SE"/>
        </w:rPr>
      </w:pPr>
      <w:r w:rsidRPr="001D7F07">
        <w:rPr>
          <w:rFonts w:ascii="Times New Roman" w:hAnsi="Times New Roman" w:cs="Times New Roman"/>
          <w:lang w:val="sv-SE"/>
        </w:rPr>
        <w:t>Om en civiltjänstgörare av civiltjänstföringsplatsen anvisas inkvartering i en bostad som civiltjänstgörarens föräldrar äger eller hyr, ersätts kostnaderna för inkvartering till ett belopp av högst 100 euro i månaden.</w:t>
      </w:r>
    </w:p>
    <w:p w:rsidR="00AB5C49" w:rsidRPr="001D7F07" w:rsidRDefault="00775A28" w:rsidP="00AB5C49">
      <w:pPr>
        <w:spacing w:line="240" w:lineRule="auto"/>
        <w:rPr>
          <w:rFonts w:ascii="Times New Roman" w:hAnsi="Times New Roman" w:cs="Times New Roman"/>
          <w:lang w:val="sv-SE"/>
        </w:rPr>
      </w:pPr>
      <w:r w:rsidRPr="001D7F07">
        <w:rPr>
          <w:rFonts w:ascii="Times New Roman" w:hAnsi="Times New Roman" w:cs="Times New Roman"/>
          <w:lang w:val="sv-SE"/>
        </w:rPr>
        <w:t>Civiltjänstgöringsplatsen ska ansöka om inkvarteringsersättningar hos civiltjänstcentralen senast vid utgången av det kalenderår till vilket inkvarteringskostnaderna hänför sig.</w:t>
      </w:r>
      <w:r w:rsidR="00AB5C49" w:rsidRPr="001D7F07">
        <w:rPr>
          <w:rFonts w:ascii="Times New Roman" w:hAnsi="Times New Roman" w:cs="Times New Roman"/>
          <w:lang w:val="sv-SE"/>
        </w:rPr>
        <w:t xml:space="preserve"> </w:t>
      </w:r>
      <w:r w:rsidRPr="001D7F07">
        <w:rPr>
          <w:rFonts w:ascii="Times New Roman" w:hAnsi="Times New Roman" w:cs="Times New Roman"/>
          <w:lang w:val="sv-SE"/>
        </w:rPr>
        <w:t>Civiltjänstgöringsplatsen ska lämna en tillförlitlig redovisning av de inkvarteringskostnader som den har betalat.</w:t>
      </w:r>
    </w:p>
    <w:p w:rsidR="00AB5C49" w:rsidRPr="001D7F07" w:rsidRDefault="00775A28" w:rsidP="00AB5C49">
      <w:pPr>
        <w:spacing w:line="240" w:lineRule="auto"/>
        <w:rPr>
          <w:rFonts w:ascii="Times New Roman" w:hAnsi="Times New Roman" w:cs="Times New Roman"/>
          <w:lang w:val="sv-SE"/>
        </w:rPr>
      </w:pPr>
      <w:r w:rsidRPr="001D7F07">
        <w:rPr>
          <w:rFonts w:ascii="Times New Roman" w:hAnsi="Times New Roman" w:cs="Times New Roman"/>
          <w:lang w:val="sv-SE"/>
        </w:rPr>
        <w:t>Genom förordning av statsrådet utfärdas vart tredje år bestämmelser om maximibeloppet av de inkvarteringsersättningar som bestäms enligt 3 och 4 mom.</w:t>
      </w:r>
      <w:r w:rsidR="00AB5C49" w:rsidRPr="001D7F07">
        <w:rPr>
          <w:rFonts w:ascii="Times New Roman" w:hAnsi="Times New Roman" w:cs="Times New Roman"/>
          <w:lang w:val="sv-SE"/>
        </w:rPr>
        <w:t xml:space="preserve"> </w:t>
      </w:r>
      <w:r w:rsidRPr="001D7F07">
        <w:rPr>
          <w:rFonts w:ascii="Times New Roman" w:hAnsi="Times New Roman" w:cs="Times New Roman"/>
          <w:lang w:val="sv-SE"/>
        </w:rPr>
        <w:t>Genom förordning av statsrådet utfärdas också närmare bestämmelser om förfarandet vid ersättning av inkvarteringskostnader.</w:t>
      </w:r>
      <w:r w:rsidR="00AB5C49" w:rsidRPr="001D7F07">
        <w:rPr>
          <w:rFonts w:ascii="Times New Roman" w:hAnsi="Times New Roman" w:cs="Times New Roman"/>
          <w:lang w:val="sv-SE"/>
        </w:rPr>
        <w:t xml:space="preserve"> </w:t>
      </w:r>
    </w:p>
    <w:p w:rsidR="0064052F" w:rsidRPr="001D7F07" w:rsidRDefault="0064052F" w:rsidP="0064052F">
      <w:pPr>
        <w:spacing w:before="100" w:beforeAutospacing="1" w:after="100" w:afterAutospacing="1"/>
        <w:jc w:val="center"/>
        <w:outlineLvl w:val="4"/>
        <w:rPr>
          <w:rFonts w:ascii="Times New Roman" w:hAnsi="Times New Roman" w:cs="Times New Roman"/>
          <w:bCs/>
          <w:lang w:val="sv-SE" w:eastAsia="fi-FI"/>
        </w:rPr>
      </w:pPr>
      <w:r w:rsidRPr="001D7F07">
        <w:rPr>
          <w:rFonts w:ascii="Times New Roman" w:hAnsi="Times New Roman" w:cs="Times New Roman"/>
          <w:bCs/>
          <w:lang w:val="sv-SE" w:eastAsia="fi-FI"/>
        </w:rPr>
        <w:t>65 §</w:t>
      </w:r>
    </w:p>
    <w:p w:rsidR="0064052F" w:rsidRPr="001D7F07" w:rsidRDefault="00775A28" w:rsidP="00775A28">
      <w:pPr>
        <w:spacing w:before="100" w:beforeAutospacing="1" w:after="100" w:afterAutospacing="1" w:line="280" w:lineRule="auto"/>
        <w:jc w:val="center"/>
        <w:outlineLvl w:val="4"/>
        <w:rPr>
          <w:rFonts w:ascii="Times New Roman" w:hAnsi="Times New Roman" w:cs="Times New Roman"/>
          <w:bCs/>
          <w:i/>
          <w:lang w:val="sv-SE" w:eastAsia="fi-FI"/>
        </w:rPr>
      </w:pPr>
      <w:r w:rsidRPr="001D7F07">
        <w:rPr>
          <w:rFonts w:ascii="Times New Roman" w:hAnsi="Times New Roman" w:cs="Times New Roman"/>
          <w:bCs/>
          <w:i/>
          <w:lang w:val="sv-SE" w:eastAsia="fi-FI"/>
        </w:rPr>
        <w:t>Tjänstgöring under mobilisering</w:t>
      </w:r>
    </w:p>
    <w:p w:rsidR="0064052F" w:rsidRPr="001D7F07" w:rsidRDefault="00775A28" w:rsidP="0064052F">
      <w:pPr>
        <w:spacing w:before="100" w:beforeAutospacing="1" w:after="100" w:afterAutospacing="1" w:line="240" w:lineRule="auto"/>
        <w:rPr>
          <w:rFonts w:ascii="Times New Roman" w:hAnsi="Times New Roman" w:cs="Times New Roman"/>
          <w:szCs w:val="24"/>
          <w:lang w:val="sv-SE" w:eastAsia="fi-FI"/>
        </w:rPr>
      </w:pPr>
      <w:r w:rsidRPr="001D7F07">
        <w:rPr>
          <w:rFonts w:ascii="Times New Roman" w:hAnsi="Times New Roman" w:cs="Times New Roman"/>
          <w:szCs w:val="24"/>
          <w:lang w:val="sv-SE" w:eastAsia="fi-FI"/>
        </w:rPr>
        <w:t>Republikens president beslutar på framställning av statsrådet om mobilisering av civiltjänstgörarna.</w:t>
      </w:r>
    </w:p>
    <w:p w:rsidR="0064052F" w:rsidRPr="001D7F07" w:rsidRDefault="00775A28" w:rsidP="0064052F">
      <w:pPr>
        <w:spacing w:before="100" w:beforeAutospacing="1" w:after="100" w:afterAutospacing="1" w:line="240" w:lineRule="auto"/>
        <w:rPr>
          <w:rFonts w:ascii="Times New Roman" w:hAnsi="Times New Roman" w:cs="Times New Roman"/>
          <w:szCs w:val="24"/>
          <w:lang w:val="sv-SE" w:eastAsia="fi-FI"/>
        </w:rPr>
      </w:pPr>
      <w:r w:rsidRPr="001D7F07">
        <w:rPr>
          <w:rFonts w:ascii="Times New Roman" w:hAnsi="Times New Roman" w:cs="Times New Roman"/>
          <w:szCs w:val="24"/>
          <w:lang w:val="sv-SE" w:eastAsia="fi-FI"/>
        </w:rPr>
        <w:t>Civiltjänstgörarna förordnas till tjänstgöring under mobilisering på förordnande av civiltjänstcentralen eller vid behov genom kungörelse av arbets- och näringsministeriet.</w:t>
      </w:r>
      <w:r w:rsidR="0064052F" w:rsidRPr="001D7F07">
        <w:rPr>
          <w:rFonts w:ascii="Times New Roman" w:hAnsi="Times New Roman" w:cs="Times New Roman"/>
          <w:szCs w:val="24"/>
          <w:lang w:val="sv-SE" w:eastAsia="fi-FI"/>
        </w:rPr>
        <w:t xml:space="preserve"> </w:t>
      </w:r>
      <w:r w:rsidRPr="001D7F07">
        <w:rPr>
          <w:rFonts w:ascii="Times New Roman" w:hAnsi="Times New Roman" w:cs="Times New Roman"/>
          <w:szCs w:val="24"/>
          <w:lang w:val="sv-SE" w:eastAsia="fi-FI"/>
        </w:rPr>
        <w:t>De inkallade kan förordnas att träda i tjänst genast.</w:t>
      </w:r>
      <w:r w:rsidR="0064052F" w:rsidRPr="001D7F07">
        <w:rPr>
          <w:rFonts w:ascii="Times New Roman" w:hAnsi="Times New Roman" w:cs="Times New Roman"/>
          <w:szCs w:val="24"/>
          <w:lang w:val="sv-SE" w:eastAsia="fi-FI"/>
        </w:rPr>
        <w:t xml:space="preserve"> </w:t>
      </w:r>
      <w:r w:rsidRPr="001D7F07">
        <w:rPr>
          <w:rFonts w:ascii="Times New Roman" w:hAnsi="Times New Roman" w:cs="Times New Roman"/>
          <w:szCs w:val="24"/>
          <w:lang w:val="sv-SE" w:eastAsia="fi-FI"/>
        </w:rPr>
        <w:t>Under partiell mobilisering av försvarsmakten enligt 86 § i värnpliktslagen kan civiltjänstgörare som ingår i civilreserven förordnas till tjänstgöring.</w:t>
      </w:r>
      <w:r w:rsidR="0064052F" w:rsidRPr="001D7F07">
        <w:rPr>
          <w:rFonts w:ascii="Times New Roman" w:hAnsi="Times New Roman" w:cs="Times New Roman"/>
          <w:szCs w:val="24"/>
          <w:lang w:val="sv-SE" w:eastAsia="fi-FI"/>
        </w:rPr>
        <w:t xml:space="preserve"> </w:t>
      </w:r>
      <w:r w:rsidRPr="001D7F07">
        <w:rPr>
          <w:rFonts w:ascii="Times New Roman" w:hAnsi="Times New Roman" w:cs="Times New Roman"/>
          <w:szCs w:val="24"/>
          <w:lang w:val="sv-SE" w:eastAsia="fi-FI"/>
        </w:rPr>
        <w:t>Under allmän mobilisering av försvarsmakten kan också civiltjänstgörare som ingår i tilläggscivilreserven förordnas till tjänstgöring.</w:t>
      </w:r>
      <w:r w:rsidR="002F65CF" w:rsidRPr="001D7F07">
        <w:rPr>
          <w:rFonts w:ascii="Times New Roman" w:hAnsi="Times New Roman" w:cs="Times New Roman"/>
          <w:szCs w:val="24"/>
          <w:lang w:val="sv-SE" w:eastAsia="fi-FI"/>
        </w:rPr>
        <w:t xml:space="preserve"> De som fyllt 50 år kan dock förordnas till tjänstgöring endast med riksdagens samtycke.</w:t>
      </w:r>
    </w:p>
    <w:p w:rsidR="0064052F" w:rsidRPr="001D7F07" w:rsidRDefault="00775A28" w:rsidP="0064052F">
      <w:pPr>
        <w:spacing w:before="100" w:beforeAutospacing="1" w:after="100" w:afterAutospacing="1" w:line="240" w:lineRule="auto"/>
        <w:rPr>
          <w:rFonts w:ascii="Times New Roman" w:hAnsi="Times New Roman" w:cs="Times New Roman"/>
          <w:szCs w:val="24"/>
          <w:lang w:val="sv-SE" w:eastAsia="fi-FI"/>
        </w:rPr>
      </w:pPr>
      <w:r w:rsidRPr="001D7F07">
        <w:rPr>
          <w:rFonts w:ascii="Times New Roman" w:hAnsi="Times New Roman" w:cs="Times New Roman"/>
          <w:szCs w:val="24"/>
          <w:lang w:val="sv-SE" w:eastAsia="fi-FI"/>
        </w:rPr>
        <w:t>En civiltjänstgörare som av hälsoskäl befriats från fullgörandet av värnplikt under fredstid kan under allmän mobilisering förordnas till en sådan undersökning av tjänstedugligheten som avses i 24 § samt förordnas till tjänstgöring, om civiltjänstgöraren konstateras vara tjänsteduglig.</w:t>
      </w:r>
    </w:p>
    <w:p w:rsidR="0064052F" w:rsidRPr="001D7F07" w:rsidRDefault="00775A28" w:rsidP="00775A28">
      <w:pPr>
        <w:spacing w:line="280" w:lineRule="auto"/>
        <w:jc w:val="center"/>
        <w:rPr>
          <w:rFonts w:ascii="Times New Roman" w:hAnsi="Times New Roman" w:cs="Times New Roman"/>
          <w:lang w:val="sv-SE"/>
        </w:rPr>
      </w:pPr>
      <w:r w:rsidRPr="001D7F07">
        <w:rPr>
          <w:rFonts w:ascii="Times New Roman" w:hAnsi="Times New Roman" w:cs="Times New Roman"/>
          <w:lang w:val="sv-SE"/>
        </w:rPr>
        <w:t>65 a §</w:t>
      </w:r>
    </w:p>
    <w:p w:rsidR="0064052F" w:rsidRPr="001D7F07" w:rsidRDefault="00775A28" w:rsidP="00775A28">
      <w:pPr>
        <w:spacing w:line="280" w:lineRule="auto"/>
        <w:jc w:val="center"/>
        <w:rPr>
          <w:rFonts w:ascii="Times New Roman" w:hAnsi="Times New Roman" w:cs="Times New Roman"/>
          <w:i/>
          <w:lang w:val="sv-SE"/>
        </w:rPr>
      </w:pPr>
      <w:r w:rsidRPr="001D7F07">
        <w:rPr>
          <w:rFonts w:ascii="Times New Roman" w:hAnsi="Times New Roman" w:cs="Times New Roman"/>
          <w:i/>
          <w:lang w:val="sv-SE"/>
        </w:rPr>
        <w:t>Tjänstgöringsplatser under mobilisering och bestämmande av tjänstgöringsplats</w:t>
      </w:r>
    </w:p>
    <w:p w:rsidR="0064052F" w:rsidRPr="001D7F07" w:rsidRDefault="00775A28" w:rsidP="0064052F">
      <w:pPr>
        <w:spacing w:before="100" w:beforeAutospacing="1" w:after="100" w:afterAutospacing="1" w:line="240" w:lineRule="auto"/>
        <w:rPr>
          <w:rFonts w:ascii="Times New Roman" w:hAnsi="Times New Roman" w:cs="Times New Roman"/>
          <w:lang w:val="sv-SE" w:eastAsia="fi-FI"/>
        </w:rPr>
      </w:pPr>
      <w:r w:rsidRPr="001D7F07">
        <w:rPr>
          <w:rFonts w:ascii="Times New Roman" w:hAnsi="Times New Roman" w:cs="Times New Roman"/>
          <w:lang w:val="sv-SE" w:eastAsia="fi-FI"/>
        </w:rPr>
        <w:t>En civiltjänstgörares tjänstgöring under mobiliseringen fullgörs vid tjänstgöringsplatsen under mobilisering och under dess ledning.</w:t>
      </w:r>
      <w:r w:rsidR="0064052F" w:rsidRPr="001D7F07">
        <w:rPr>
          <w:rFonts w:ascii="Times New Roman" w:hAnsi="Times New Roman" w:cs="Times New Roman"/>
          <w:lang w:val="sv-SE" w:eastAsia="fi-FI"/>
        </w:rPr>
        <w:t xml:space="preserve"> </w:t>
      </w:r>
    </w:p>
    <w:p w:rsidR="0064052F" w:rsidRPr="001D7F07" w:rsidRDefault="00775A28" w:rsidP="0064052F">
      <w:pPr>
        <w:spacing w:before="100" w:beforeAutospacing="1" w:after="100" w:afterAutospacing="1" w:line="240" w:lineRule="auto"/>
        <w:rPr>
          <w:rFonts w:ascii="Times New Roman" w:hAnsi="Times New Roman" w:cs="Times New Roman"/>
          <w:lang w:val="sv-SE" w:eastAsia="fi-FI"/>
        </w:rPr>
      </w:pPr>
      <w:r w:rsidRPr="001D7F07">
        <w:rPr>
          <w:rFonts w:ascii="Times New Roman" w:hAnsi="Times New Roman" w:cs="Times New Roman"/>
          <w:lang w:val="sv-SE" w:eastAsia="fi-FI"/>
        </w:rPr>
        <w:t>Tjänstgöringsplatsen under mobilisering kan vara</w:t>
      </w:r>
      <w:r w:rsidR="0064052F" w:rsidRPr="001D7F07">
        <w:rPr>
          <w:rFonts w:ascii="Times New Roman" w:hAnsi="Times New Roman" w:cs="Times New Roman"/>
          <w:lang w:val="sv-SE" w:eastAsia="fi-FI"/>
        </w:rPr>
        <w:t xml:space="preserve"> </w:t>
      </w:r>
    </w:p>
    <w:p w:rsidR="0064052F" w:rsidRPr="001D7F07" w:rsidRDefault="00775A28" w:rsidP="00775A28">
      <w:pPr>
        <w:pStyle w:val="Luettelokappale"/>
        <w:numPr>
          <w:ilvl w:val="0"/>
          <w:numId w:val="9"/>
        </w:numPr>
        <w:spacing w:before="100" w:beforeAutospacing="1" w:after="100" w:afterAutospacing="1"/>
        <w:rPr>
          <w:sz w:val="22"/>
          <w:szCs w:val="22"/>
          <w:lang w:val="sv-SE" w:eastAsia="fi-FI"/>
        </w:rPr>
      </w:pPr>
      <w:r w:rsidRPr="001D7F07">
        <w:rPr>
          <w:sz w:val="22"/>
          <w:szCs w:val="22"/>
          <w:lang w:val="sv-SE" w:eastAsia="fi-FI"/>
        </w:rPr>
        <w:t>i 1 § i lagen om statsrådet (175/2003) avsedda ministerier och ämbetsverk, myndigheter, offentligrättsliga sammanslutningar och inrättningar inom deras förvaltningsområden, med undantag för försvarsministeriet och dess förvaltningsområde,</w:t>
      </w:r>
      <w:r w:rsidR="0064052F" w:rsidRPr="001D7F07">
        <w:rPr>
          <w:sz w:val="22"/>
          <w:szCs w:val="22"/>
          <w:lang w:val="sv-SE" w:eastAsia="fi-FI"/>
        </w:rPr>
        <w:t xml:space="preserve"> </w:t>
      </w:r>
    </w:p>
    <w:p w:rsidR="0064052F" w:rsidRPr="001D7F07" w:rsidRDefault="00775A28" w:rsidP="00775A28">
      <w:pPr>
        <w:pStyle w:val="Luettelokappale"/>
        <w:numPr>
          <w:ilvl w:val="0"/>
          <w:numId w:val="9"/>
        </w:numPr>
        <w:spacing w:before="100" w:beforeAutospacing="1" w:after="100" w:afterAutospacing="1"/>
        <w:rPr>
          <w:sz w:val="22"/>
          <w:szCs w:val="22"/>
          <w:lang w:val="sv-SE" w:eastAsia="fi-FI"/>
        </w:rPr>
      </w:pPr>
      <w:r w:rsidRPr="001D7F07">
        <w:rPr>
          <w:sz w:val="22"/>
          <w:szCs w:val="22"/>
          <w:lang w:val="sv-SE" w:eastAsia="fi-FI"/>
        </w:rPr>
        <w:t>ett i landskapslagen (  / ) avsett landskap,</w:t>
      </w:r>
      <w:r w:rsidR="0064052F" w:rsidRPr="001D7F07">
        <w:rPr>
          <w:sz w:val="22"/>
          <w:szCs w:val="22"/>
          <w:lang w:val="sv-SE" w:eastAsia="fi-FI"/>
        </w:rPr>
        <w:t xml:space="preserve"> </w:t>
      </w:r>
    </w:p>
    <w:p w:rsidR="0064052F" w:rsidRPr="001D7F07" w:rsidRDefault="00775A28" w:rsidP="00775A28">
      <w:pPr>
        <w:pStyle w:val="Luettelokappale"/>
        <w:numPr>
          <w:ilvl w:val="0"/>
          <w:numId w:val="9"/>
        </w:numPr>
        <w:spacing w:before="100" w:beforeAutospacing="1" w:after="100" w:afterAutospacing="1"/>
        <w:rPr>
          <w:sz w:val="22"/>
          <w:szCs w:val="22"/>
          <w:lang w:val="sv-SE" w:eastAsia="fi-FI"/>
        </w:rPr>
      </w:pPr>
      <w:r w:rsidRPr="001D7F07">
        <w:rPr>
          <w:sz w:val="22"/>
          <w:szCs w:val="22"/>
          <w:lang w:val="sv-SE" w:eastAsia="fi-FI"/>
        </w:rPr>
        <w:t>ett i 1 § i universitetslagen (553/2009) avsett universitet,</w:t>
      </w:r>
      <w:r w:rsidR="0064052F" w:rsidRPr="001D7F07">
        <w:rPr>
          <w:sz w:val="22"/>
          <w:szCs w:val="22"/>
          <w:lang w:val="sv-SE" w:eastAsia="fi-FI"/>
        </w:rPr>
        <w:t xml:space="preserve"> </w:t>
      </w:r>
    </w:p>
    <w:p w:rsidR="0064052F" w:rsidRPr="001D7F07" w:rsidRDefault="00775A28" w:rsidP="00775A28">
      <w:pPr>
        <w:pStyle w:val="Luettelokappale"/>
        <w:numPr>
          <w:ilvl w:val="0"/>
          <w:numId w:val="9"/>
        </w:numPr>
        <w:spacing w:before="100" w:beforeAutospacing="1" w:after="100" w:afterAutospacing="1"/>
        <w:rPr>
          <w:sz w:val="22"/>
          <w:szCs w:val="22"/>
          <w:lang w:val="sv-SE" w:eastAsia="fi-FI"/>
        </w:rPr>
      </w:pPr>
      <w:r w:rsidRPr="001D7F07">
        <w:rPr>
          <w:sz w:val="22"/>
          <w:szCs w:val="22"/>
          <w:lang w:val="sv-SE" w:eastAsia="fi-FI"/>
        </w:rPr>
        <w:lastRenderedPageBreak/>
        <w:t>en i 5 § i yrkeshögskolelagen (932/2014) avsedd yrkeshögskola,</w:t>
      </w:r>
      <w:r w:rsidR="0064052F" w:rsidRPr="001D7F07">
        <w:rPr>
          <w:sz w:val="22"/>
          <w:szCs w:val="22"/>
          <w:lang w:val="sv-SE" w:eastAsia="fi-FI"/>
        </w:rPr>
        <w:t xml:space="preserve"> </w:t>
      </w:r>
    </w:p>
    <w:p w:rsidR="0064052F" w:rsidRPr="001D7F07" w:rsidRDefault="00775A28" w:rsidP="00775A28">
      <w:pPr>
        <w:pStyle w:val="Luettelokappale"/>
        <w:numPr>
          <w:ilvl w:val="0"/>
          <w:numId w:val="9"/>
        </w:numPr>
        <w:spacing w:before="100" w:beforeAutospacing="1" w:after="100" w:afterAutospacing="1"/>
        <w:rPr>
          <w:sz w:val="22"/>
          <w:szCs w:val="22"/>
          <w:lang w:val="sv-SE" w:eastAsia="fi-FI"/>
        </w:rPr>
      </w:pPr>
      <w:r w:rsidRPr="001D7F07">
        <w:rPr>
          <w:sz w:val="22"/>
          <w:szCs w:val="22"/>
          <w:lang w:val="sv-SE" w:eastAsia="fi-FI"/>
        </w:rPr>
        <w:t>en i lagen om yrkesutbildning (531/2017) avsedd utbildningsanordnare,</w:t>
      </w:r>
      <w:r w:rsidR="0064052F" w:rsidRPr="001D7F07">
        <w:rPr>
          <w:sz w:val="22"/>
          <w:szCs w:val="22"/>
          <w:lang w:val="sv-SE" w:eastAsia="fi-FI"/>
        </w:rPr>
        <w:t xml:space="preserve"> </w:t>
      </w:r>
    </w:p>
    <w:p w:rsidR="0064052F" w:rsidRPr="001D7F07" w:rsidRDefault="00775A28" w:rsidP="00775A28">
      <w:pPr>
        <w:pStyle w:val="Luettelokappale"/>
        <w:numPr>
          <w:ilvl w:val="0"/>
          <w:numId w:val="9"/>
        </w:numPr>
        <w:spacing w:before="100" w:beforeAutospacing="1" w:after="100" w:afterAutospacing="1"/>
        <w:rPr>
          <w:sz w:val="22"/>
          <w:szCs w:val="22"/>
          <w:lang w:val="sv-SE" w:eastAsia="fi-FI"/>
        </w:rPr>
      </w:pPr>
      <w:r w:rsidRPr="001D7F07">
        <w:rPr>
          <w:sz w:val="22"/>
          <w:szCs w:val="22"/>
          <w:lang w:val="sv-SE" w:eastAsia="fi-FI"/>
        </w:rPr>
        <w:t>i lagen om Räddningsinstitutet (607/2006) avsett räddningsinstitut,</w:t>
      </w:r>
      <w:r w:rsidR="001C7185" w:rsidRPr="001D7F07">
        <w:rPr>
          <w:sz w:val="22"/>
          <w:szCs w:val="22"/>
          <w:lang w:val="sv-SE" w:eastAsia="fi-FI"/>
        </w:rPr>
        <w:t xml:space="preserve"> </w:t>
      </w:r>
    </w:p>
    <w:p w:rsidR="0064052F" w:rsidRPr="001D7F07" w:rsidRDefault="00775A28" w:rsidP="00775A28">
      <w:pPr>
        <w:pStyle w:val="Luettelokappale"/>
        <w:numPr>
          <w:ilvl w:val="0"/>
          <w:numId w:val="9"/>
        </w:numPr>
        <w:spacing w:before="100" w:beforeAutospacing="1" w:after="100" w:afterAutospacing="1"/>
        <w:rPr>
          <w:sz w:val="22"/>
          <w:szCs w:val="22"/>
          <w:lang w:val="sv-SE" w:eastAsia="fi-FI"/>
        </w:rPr>
      </w:pPr>
      <w:r w:rsidRPr="001D7F07">
        <w:rPr>
          <w:sz w:val="22"/>
          <w:szCs w:val="22"/>
          <w:lang w:val="sv-SE" w:eastAsia="fi-FI"/>
        </w:rPr>
        <w:t>andra statliga eller kommunala myndigheter eller landskapsmyndigheter som har uppgifter som gäller räddningsväsendet, befolkningsskyddet, social- och hälsovården, försörjningsberedskapen, miljövården eller skyddet av kulturegendom.</w:t>
      </w:r>
      <w:r w:rsidR="0064052F" w:rsidRPr="001D7F07">
        <w:rPr>
          <w:sz w:val="22"/>
          <w:szCs w:val="22"/>
          <w:lang w:val="sv-SE" w:eastAsia="fi-FI"/>
        </w:rPr>
        <w:t xml:space="preserve">  </w:t>
      </w:r>
    </w:p>
    <w:p w:rsidR="0064052F" w:rsidRPr="001D7F07" w:rsidRDefault="00775A28" w:rsidP="0064052F">
      <w:pPr>
        <w:spacing w:before="100" w:beforeAutospacing="1" w:after="100" w:afterAutospacing="1" w:line="240" w:lineRule="auto"/>
        <w:rPr>
          <w:rFonts w:ascii="Times New Roman" w:hAnsi="Times New Roman" w:cs="Times New Roman"/>
          <w:lang w:val="sv-SE" w:eastAsia="fi-FI"/>
        </w:rPr>
      </w:pPr>
      <w:r w:rsidRPr="001D7F07">
        <w:rPr>
          <w:rFonts w:ascii="Times New Roman" w:hAnsi="Times New Roman" w:cs="Times New Roman"/>
          <w:lang w:val="sv-SE" w:eastAsia="fi-FI"/>
        </w:rPr>
        <w:t>På begäran av de tjänstgöringsplatser som avses i 2 mom. förordnar civiltjänstcentralen vid mobilisering ett sådant antal civiltjänstgörare som centralen anser nödvändigt att stå till tjänstgöringsplatsernas förfogande. Dessa civiltjänstgörare ska inte ha befriats från tjänstgöring enligt 67 § 1 och 2 mom. eller inom ramen för det reserveringssystem som gäller yrkesutbildad personal inom hälso- och sjukvården under undantagsförhållanden ha reserverats för uppgifter inom hälso- och sjukvården eller e</w:t>
      </w:r>
      <w:r w:rsidR="0086798F" w:rsidRPr="001D7F07">
        <w:rPr>
          <w:rFonts w:ascii="Times New Roman" w:hAnsi="Times New Roman" w:cs="Times New Roman"/>
          <w:lang w:val="sv-SE" w:eastAsia="fi-FI"/>
        </w:rPr>
        <w:t>nligt beredskapslagen (1552/2011</w:t>
      </w:r>
      <w:r w:rsidRPr="001D7F07">
        <w:rPr>
          <w:rFonts w:ascii="Times New Roman" w:hAnsi="Times New Roman" w:cs="Times New Roman"/>
          <w:lang w:val="sv-SE" w:eastAsia="fi-FI"/>
        </w:rPr>
        <w:t>) ha förordnats att fullgöra allmän arbetsplikt eller arbetsplikt inom hälso- och sjukvården.</w:t>
      </w:r>
    </w:p>
    <w:p w:rsidR="0064052F" w:rsidRPr="001D7F07" w:rsidRDefault="00775A28" w:rsidP="0064052F">
      <w:pPr>
        <w:spacing w:before="100" w:beforeAutospacing="1" w:after="100" w:afterAutospacing="1" w:line="240" w:lineRule="auto"/>
        <w:rPr>
          <w:rFonts w:ascii="Times New Roman" w:hAnsi="Times New Roman" w:cs="Times New Roman"/>
          <w:lang w:val="sv-SE" w:eastAsia="fi-FI"/>
        </w:rPr>
      </w:pPr>
      <w:r w:rsidRPr="001D7F07">
        <w:rPr>
          <w:rFonts w:ascii="Times New Roman" w:hAnsi="Times New Roman" w:cs="Times New Roman"/>
          <w:lang w:val="sv-SE" w:eastAsia="fi-FI"/>
        </w:rPr>
        <w:t>Trots 1 mom. kan försvarsmakten vid mobilisering till tjänstgöring förordna sådana personer som ansökt om civiltjänst och som enligt 18 § är skyldiga att lämna en redogörelse för sin övertygelse till prövningsnämnden för övertygelse och vars prövade övertygelse inte hindrar en placering i försvarsmaktens tjänst.</w:t>
      </w:r>
    </w:p>
    <w:p w:rsidR="0064052F" w:rsidRPr="001D7F07" w:rsidRDefault="0064052F" w:rsidP="0064052F">
      <w:pPr>
        <w:spacing w:before="100" w:beforeAutospacing="1" w:after="100" w:afterAutospacing="1" w:line="240" w:lineRule="auto"/>
        <w:rPr>
          <w:rFonts w:ascii="Times New Roman" w:hAnsi="Times New Roman" w:cs="Times New Roman"/>
          <w:szCs w:val="24"/>
          <w:lang w:val="sv-SE" w:eastAsia="fi-FI"/>
        </w:rPr>
      </w:pPr>
    </w:p>
    <w:p w:rsidR="00A44929" w:rsidRPr="001D7F07" w:rsidRDefault="00775A28" w:rsidP="00A44929">
      <w:pPr>
        <w:pStyle w:val="LLLuku"/>
        <w:rPr>
          <w:lang w:val="sv-SE"/>
        </w:rPr>
      </w:pPr>
      <w:r w:rsidRPr="001D7F07">
        <w:rPr>
          <w:lang w:val="sv-SE"/>
        </w:rPr>
        <w:t>12 kap.</w:t>
      </w:r>
    </w:p>
    <w:p w:rsidR="00A44929" w:rsidRPr="001D7F07" w:rsidRDefault="00775A28" w:rsidP="00A44929">
      <w:pPr>
        <w:pStyle w:val="LLLuvunOtsikko"/>
        <w:rPr>
          <w:lang w:val="sv-SE"/>
        </w:rPr>
      </w:pPr>
      <w:r w:rsidRPr="001D7F07">
        <w:rPr>
          <w:lang w:val="sv-SE"/>
        </w:rPr>
        <w:t>Civiltjänstregistret och dataskyddet</w:t>
      </w:r>
    </w:p>
    <w:p w:rsidR="00A44929" w:rsidRPr="001D7F07" w:rsidRDefault="00A44929" w:rsidP="00A44929">
      <w:pPr>
        <w:pStyle w:val="LLPykala"/>
        <w:rPr>
          <w:lang w:val="sv-SE"/>
        </w:rPr>
      </w:pPr>
      <w:r w:rsidRPr="001D7F07">
        <w:rPr>
          <w:lang w:val="sv-SE"/>
        </w:rPr>
        <w:t>88 §</w:t>
      </w:r>
    </w:p>
    <w:p w:rsidR="00A44929" w:rsidRPr="001D7F07" w:rsidRDefault="00775A28" w:rsidP="00A44929">
      <w:pPr>
        <w:pStyle w:val="LLPykalanOtsikko"/>
        <w:rPr>
          <w:lang w:val="sv-SE"/>
        </w:rPr>
      </w:pPr>
      <w:r w:rsidRPr="001D7F07">
        <w:rPr>
          <w:lang w:val="sv-SE"/>
        </w:rPr>
        <w:t>Personuppgiftsansvariga</w:t>
      </w:r>
    </w:p>
    <w:p w:rsidR="0095105C" w:rsidRPr="001D7F07" w:rsidRDefault="00775A28" w:rsidP="0095105C">
      <w:pPr>
        <w:pStyle w:val="LLKappalejako"/>
        <w:rPr>
          <w:lang w:val="sv-SE"/>
        </w:rPr>
      </w:pPr>
      <w:r w:rsidRPr="001D7F07">
        <w:rPr>
          <w:lang w:val="sv-SE"/>
        </w:rPr>
        <w:t>Civiltjänstcentralen är den personuppgiftsansvarig som har det huvudsakliga ansvaret för civiltjänstregistret.</w:t>
      </w:r>
    </w:p>
    <w:p w:rsidR="00B279D3" w:rsidRPr="001D7F07" w:rsidRDefault="00B279D3" w:rsidP="0095105C">
      <w:pPr>
        <w:pStyle w:val="LLKappalejako"/>
        <w:rPr>
          <w:lang w:val="sv-SE"/>
        </w:rPr>
      </w:pPr>
    </w:p>
    <w:p w:rsidR="00B279D3" w:rsidRPr="001D7F07" w:rsidRDefault="00B279D3" w:rsidP="00B279D3">
      <w:pPr>
        <w:rPr>
          <w:rFonts w:ascii="Times New Roman" w:eastAsia="Times New Roman" w:hAnsi="Times New Roman" w:cs="Times New Roman"/>
          <w:szCs w:val="24"/>
          <w:lang w:val="sv-SE" w:eastAsia="fi-FI"/>
        </w:rPr>
      </w:pPr>
      <w:r w:rsidRPr="001D7F07">
        <w:rPr>
          <w:rFonts w:ascii="Times New Roman" w:eastAsia="Times New Roman" w:hAnsi="Times New Roman" w:cs="Times New Roman"/>
          <w:szCs w:val="24"/>
          <w:lang w:val="sv-SE" w:eastAsia="fi-FI"/>
        </w:rPr>
        <w:t>— — — — — — — — — — — — — — — — — — — — — — — — — — — — — —</w:t>
      </w:r>
    </w:p>
    <w:p w:rsidR="00A44929" w:rsidRPr="001D7F07" w:rsidRDefault="00A44929" w:rsidP="0095105C">
      <w:pPr>
        <w:pStyle w:val="LLKappalejako"/>
        <w:rPr>
          <w:lang w:val="sv-SE"/>
        </w:rPr>
      </w:pPr>
    </w:p>
    <w:p w:rsidR="00A44929" w:rsidRPr="001D7F07" w:rsidRDefault="00A44929" w:rsidP="0095105C">
      <w:pPr>
        <w:pStyle w:val="LLKappalejako"/>
        <w:rPr>
          <w:lang w:val="sv-SE"/>
        </w:rPr>
      </w:pPr>
    </w:p>
    <w:p w:rsidR="00A44929" w:rsidRPr="001D7F07" w:rsidRDefault="00A44929" w:rsidP="00A44929">
      <w:pPr>
        <w:pStyle w:val="LLPykala"/>
        <w:rPr>
          <w:lang w:val="sv-SE"/>
        </w:rPr>
      </w:pPr>
      <w:r w:rsidRPr="001D7F07">
        <w:rPr>
          <w:lang w:val="sv-SE"/>
        </w:rPr>
        <w:t>92 §</w:t>
      </w:r>
    </w:p>
    <w:p w:rsidR="00A44929" w:rsidRPr="001D7F07" w:rsidRDefault="00F03839" w:rsidP="00A44929">
      <w:pPr>
        <w:pStyle w:val="LLPykalanOtsikko"/>
        <w:rPr>
          <w:lang w:val="sv-SE"/>
        </w:rPr>
      </w:pPr>
      <w:r w:rsidRPr="001D7F07">
        <w:rPr>
          <w:lang w:val="sv-SE"/>
        </w:rPr>
        <w:t>Avförande av uppgifter ur civiltjänstregistret</w:t>
      </w:r>
    </w:p>
    <w:p w:rsidR="00A44929" w:rsidRPr="001D7F07" w:rsidRDefault="00F03839" w:rsidP="0095105C">
      <w:pPr>
        <w:pStyle w:val="LLKappalejako"/>
        <w:rPr>
          <w:lang w:val="sv-SE"/>
        </w:rPr>
      </w:pPr>
      <w:r w:rsidRPr="001D7F07">
        <w:rPr>
          <w:lang w:val="sv-SE"/>
        </w:rPr>
        <w:t>De uppgifter om civiltjänstgöraren som anges i 90 § 1 mom. och de uppgifter som enligt 90 § 2 mom. antecknas i läkarundersökningskortet avförs ur civiltjänstregistret vid utgången av det år då civiltjänstgöraren fyller 60 år.</w:t>
      </w:r>
      <w:r w:rsidR="00A44929" w:rsidRPr="001D7F07">
        <w:rPr>
          <w:lang w:val="sv-SE"/>
        </w:rPr>
        <w:t xml:space="preserve"> </w:t>
      </w:r>
      <w:r w:rsidRPr="001D7F07">
        <w:rPr>
          <w:lang w:val="sv-SE"/>
        </w:rPr>
        <w:t>Uppgifterna överförs då till Riksarkivet.</w:t>
      </w:r>
    </w:p>
    <w:p w:rsidR="00B279D3" w:rsidRPr="001D7F07" w:rsidRDefault="00B279D3" w:rsidP="0095105C">
      <w:pPr>
        <w:pStyle w:val="LLKappalejako"/>
        <w:rPr>
          <w:lang w:val="sv-SE"/>
        </w:rPr>
      </w:pPr>
    </w:p>
    <w:p w:rsidR="00A44929" w:rsidRPr="001D7F07" w:rsidRDefault="00A44929" w:rsidP="0095105C">
      <w:pPr>
        <w:pStyle w:val="LLNormaali"/>
        <w:spacing w:line="240" w:lineRule="auto"/>
        <w:rPr>
          <w:lang w:val="sv-SE"/>
        </w:rPr>
      </w:pPr>
      <w:r w:rsidRPr="001D7F07">
        <w:rPr>
          <w:lang w:val="sv-SE"/>
        </w:rPr>
        <w:t>— — — — — — — — — — — — — — — — — — — — — — — — — — — — — —</w:t>
      </w:r>
    </w:p>
    <w:p w:rsidR="00A44929" w:rsidRPr="001D7F07" w:rsidRDefault="00A44929" w:rsidP="00A44929">
      <w:pPr>
        <w:pStyle w:val="LLNormaali"/>
        <w:rPr>
          <w:lang w:val="sv-SE"/>
        </w:rPr>
      </w:pPr>
    </w:p>
    <w:p w:rsidR="00A44929" w:rsidRPr="001D7F07" w:rsidRDefault="00A44929" w:rsidP="00A44929">
      <w:pPr>
        <w:pStyle w:val="LLPykala"/>
        <w:rPr>
          <w:lang w:val="sv-SE"/>
        </w:rPr>
      </w:pPr>
      <w:r w:rsidRPr="001D7F07">
        <w:rPr>
          <w:lang w:val="sv-SE"/>
        </w:rPr>
        <w:t>94 §</w:t>
      </w:r>
    </w:p>
    <w:p w:rsidR="00A44929" w:rsidRPr="001D7F07" w:rsidRDefault="00F03839" w:rsidP="00A44929">
      <w:pPr>
        <w:pStyle w:val="LLPykalanOtsikko"/>
        <w:rPr>
          <w:lang w:val="sv-SE"/>
        </w:rPr>
      </w:pPr>
      <w:r w:rsidRPr="001D7F07">
        <w:rPr>
          <w:lang w:val="sv-SE"/>
        </w:rPr>
        <w:t>Utlämnande av uppgifter</w:t>
      </w:r>
    </w:p>
    <w:p w:rsidR="006F0E6C" w:rsidRPr="001D7F07" w:rsidRDefault="00F93412" w:rsidP="0095105C">
      <w:pPr>
        <w:pStyle w:val="LLKappalejako"/>
        <w:rPr>
          <w:lang w:val="sv-SE"/>
        </w:rPr>
      </w:pPr>
      <w:r w:rsidRPr="001D7F07">
        <w:rPr>
          <w:lang w:val="sv-SE"/>
        </w:rPr>
        <w:t>Utöver det som bestäms i lagen om offentlighet i myndigheternas verksamhet (621/1999) kan uppgifter ur civiltjänstregistret om fullgörandet av civiltjänst trots sekretessplikten lämnas ut enligt följande:</w:t>
      </w:r>
    </w:p>
    <w:p w:rsidR="00B20776" w:rsidRPr="001D7F07" w:rsidRDefault="00B20776" w:rsidP="0095105C">
      <w:pPr>
        <w:pStyle w:val="LLKappalejako"/>
        <w:rPr>
          <w:lang w:val="sv-SE"/>
        </w:rPr>
      </w:pPr>
    </w:p>
    <w:p w:rsidR="006F0E6C" w:rsidRPr="001D7F07" w:rsidRDefault="00F93412" w:rsidP="00F93412">
      <w:pPr>
        <w:pStyle w:val="LLKappalejako"/>
        <w:numPr>
          <w:ilvl w:val="0"/>
          <w:numId w:val="12"/>
        </w:numPr>
        <w:rPr>
          <w:lang w:val="sv-SE"/>
        </w:rPr>
      </w:pPr>
      <w:r w:rsidRPr="001D7F07">
        <w:rPr>
          <w:lang w:val="sv-SE"/>
        </w:rPr>
        <w:lastRenderedPageBreak/>
        <w:t>uppgifter om fullgörandet av civiltjänst till Migrationsverket för behandling av ärenden som gäller medborgarskap,</w:t>
      </w:r>
      <w:r w:rsidR="006F0E6C" w:rsidRPr="001D7F07">
        <w:rPr>
          <w:lang w:val="sv-SE"/>
        </w:rPr>
        <w:t xml:space="preserve"> </w:t>
      </w:r>
    </w:p>
    <w:p w:rsidR="00A44929" w:rsidRPr="001D7F07" w:rsidRDefault="00F93412" w:rsidP="00F93412">
      <w:pPr>
        <w:pStyle w:val="LLKappalejako"/>
        <w:numPr>
          <w:ilvl w:val="0"/>
          <w:numId w:val="12"/>
        </w:numPr>
        <w:rPr>
          <w:lang w:val="sv-SE"/>
        </w:rPr>
      </w:pPr>
      <w:r w:rsidRPr="001D7F07">
        <w:rPr>
          <w:lang w:val="sv-SE"/>
        </w:rPr>
        <w:t>uppgifter om tidpunkten då tjänstgöringen avslutas eller avslutades på begäran till arbetsgivaren för en civiltjänstgörare som håller på att fullgöra eller som har avslutat sin tjänstgöring för tillämpning av 5 § i lagen om fortbestånd av arbetsavtals- eller tjänsteförhållandet för den som förordnats till tjänstgöring för fullgörande av den lagstadgade skyldigheten att försvara landet, om arbetsgivaren visar att arbets- eller tjänsteförhållandet fortgår.</w:t>
      </w:r>
    </w:p>
    <w:p w:rsidR="0095105C" w:rsidRPr="001D7F07" w:rsidRDefault="0095105C" w:rsidP="0095105C">
      <w:pPr>
        <w:pStyle w:val="LLKappalejako"/>
        <w:rPr>
          <w:lang w:val="sv-SE"/>
        </w:rPr>
      </w:pPr>
    </w:p>
    <w:p w:rsidR="00A44929" w:rsidRPr="001D7F07" w:rsidRDefault="00F93412" w:rsidP="0095105C">
      <w:pPr>
        <w:pStyle w:val="LLKappalejako"/>
        <w:rPr>
          <w:lang w:val="sv-SE"/>
        </w:rPr>
      </w:pPr>
      <w:r w:rsidRPr="001D7F07">
        <w:rPr>
          <w:lang w:val="sv-SE"/>
        </w:rPr>
        <w:t>Civiltjänstcentralen får lämna ut de uppgifter som nämns i denna paragraf genom teknisk anslutning eller i maskinläsbar form.</w:t>
      </w:r>
      <w:r w:rsidR="00A44929" w:rsidRPr="001D7F07">
        <w:rPr>
          <w:lang w:val="sv-SE"/>
        </w:rPr>
        <w:t xml:space="preserve"> </w:t>
      </w:r>
      <w:r w:rsidR="00660BCE" w:rsidRPr="001D7F07">
        <w:rPr>
          <w:lang w:val="sv-SE"/>
        </w:rPr>
        <w:t>Innan uppgifter lämnas ut genom teknisk anslutning ska den som begär uppgifterna visa att uppgifterna är skyddade.</w:t>
      </w:r>
      <w:r w:rsidR="00842AA3" w:rsidRPr="001D7F07">
        <w:rPr>
          <w:lang w:val="sv-SE"/>
        </w:rPr>
        <w:t xml:space="preserve"> </w:t>
      </w:r>
    </w:p>
    <w:p w:rsidR="00A44929" w:rsidRPr="001D7F07" w:rsidRDefault="00A44929" w:rsidP="00A44929">
      <w:pPr>
        <w:pStyle w:val="LLNormaali"/>
        <w:rPr>
          <w:lang w:val="sv-SE"/>
        </w:rPr>
      </w:pPr>
    </w:p>
    <w:p w:rsidR="0064052F" w:rsidRPr="001D7F07" w:rsidRDefault="0064052F" w:rsidP="00A44929">
      <w:pPr>
        <w:pStyle w:val="LLNormaali"/>
        <w:rPr>
          <w:lang w:val="sv-SE"/>
        </w:rPr>
      </w:pPr>
    </w:p>
    <w:p w:rsidR="0064052F" w:rsidRPr="001D7F07" w:rsidRDefault="0064052F" w:rsidP="00A44929">
      <w:pPr>
        <w:pStyle w:val="LLNormaali"/>
        <w:rPr>
          <w:lang w:val="sv-SE"/>
        </w:rPr>
      </w:pPr>
    </w:p>
    <w:p w:rsidR="0064052F" w:rsidRPr="001D7F07" w:rsidRDefault="0064052F" w:rsidP="0064052F">
      <w:pPr>
        <w:spacing w:before="100" w:beforeAutospacing="1" w:after="100" w:afterAutospacing="1"/>
        <w:jc w:val="center"/>
        <w:outlineLvl w:val="4"/>
        <w:rPr>
          <w:rFonts w:ascii="Times New Roman" w:hAnsi="Times New Roman" w:cs="Times New Roman"/>
          <w:bCs/>
          <w:lang w:val="sv-SE" w:eastAsia="fi-FI"/>
        </w:rPr>
      </w:pPr>
      <w:r w:rsidRPr="001D7F07">
        <w:rPr>
          <w:rFonts w:ascii="Times New Roman" w:hAnsi="Times New Roman" w:cs="Times New Roman"/>
          <w:bCs/>
          <w:lang w:val="sv-SE" w:eastAsia="fi-FI"/>
        </w:rPr>
        <w:t>96 §</w:t>
      </w:r>
    </w:p>
    <w:p w:rsidR="0064052F" w:rsidRPr="001D7F07" w:rsidRDefault="00660BCE" w:rsidP="00660BCE">
      <w:pPr>
        <w:spacing w:before="100" w:beforeAutospacing="1" w:after="100" w:afterAutospacing="1" w:line="280" w:lineRule="auto"/>
        <w:jc w:val="center"/>
        <w:outlineLvl w:val="4"/>
        <w:rPr>
          <w:rFonts w:ascii="Times New Roman" w:hAnsi="Times New Roman" w:cs="Times New Roman"/>
          <w:bCs/>
          <w:i/>
          <w:lang w:val="sv-SE" w:eastAsia="fi-FI"/>
        </w:rPr>
      </w:pPr>
      <w:r w:rsidRPr="001D7F07">
        <w:rPr>
          <w:rFonts w:ascii="Times New Roman" w:hAnsi="Times New Roman" w:cs="Times New Roman"/>
          <w:bCs/>
          <w:i/>
          <w:lang w:val="sv-SE" w:eastAsia="fi-FI"/>
        </w:rPr>
        <w:t>Sökande av ändring i beslut av civiltjänstcentralen och civiltjänstgöringsplatsen</w:t>
      </w:r>
    </w:p>
    <w:p w:rsidR="004653D6" w:rsidRDefault="00660BCE" w:rsidP="004653D6">
      <w:pPr>
        <w:spacing w:before="100" w:beforeAutospacing="1" w:after="100" w:afterAutospacing="1" w:line="240" w:lineRule="auto"/>
        <w:jc w:val="both"/>
        <w:rPr>
          <w:rFonts w:ascii="Times New Roman" w:hAnsi="Times New Roman" w:cs="Times New Roman"/>
          <w:lang w:val="sv-SE"/>
        </w:rPr>
      </w:pPr>
      <w:r w:rsidRPr="001D7F07">
        <w:rPr>
          <w:rFonts w:ascii="Times New Roman" w:hAnsi="Times New Roman" w:cs="Times New Roman"/>
          <w:lang w:val="sv-SE"/>
        </w:rPr>
        <w:t>Omprövning av civiltjänstcentralens beslut om tjänsteduglighet, förordnande i civiltjänst, förordnande i kompletterande tjänst, uppskov, bestämmande av civiltjänstgöringsplats, befrielse från tjänstgöring eller befrielse från kompletterande tjänstgöring får begäras hos civiltjänstcentralen på det sätt som föreskrivs i förvaltningslagen (434/2007).</w:t>
      </w:r>
      <w:r w:rsidR="004653D6" w:rsidRPr="001D7F07">
        <w:rPr>
          <w:rFonts w:ascii="Times New Roman" w:hAnsi="Times New Roman" w:cs="Times New Roman"/>
          <w:lang w:val="sv-SE"/>
        </w:rPr>
        <w:t xml:space="preserve"> </w:t>
      </w:r>
      <w:r w:rsidRPr="001D7F07">
        <w:rPr>
          <w:rFonts w:ascii="Times New Roman" w:hAnsi="Times New Roman" w:cs="Times New Roman"/>
          <w:szCs w:val="24"/>
          <w:lang w:val="sv-SE" w:eastAsia="fi-FI"/>
        </w:rPr>
        <w:t>Begäran om omprövning av beslutet om förordnande i civiltjänst, förordnande i kompletterande tjänstgöring, uppskov, bestämmande av civiltjänstgöringsplats, befrielse från tjänstgöring eller befrielse från kompletterande tjänstgöring hindrar inte att beslutet verkställs.</w:t>
      </w:r>
      <w:r w:rsidR="00B20776" w:rsidRPr="001D7F07">
        <w:rPr>
          <w:rFonts w:ascii="Times New Roman" w:hAnsi="Times New Roman" w:cs="Times New Roman"/>
          <w:lang w:val="sv-SE"/>
        </w:rPr>
        <w:t xml:space="preserve"> </w:t>
      </w:r>
    </w:p>
    <w:p w:rsidR="00260DF3" w:rsidRPr="00260DF3" w:rsidRDefault="00260DF3" w:rsidP="00260DF3">
      <w:pPr>
        <w:spacing w:before="100" w:beforeAutospacing="1" w:after="100" w:afterAutospacing="1" w:line="240" w:lineRule="auto"/>
        <w:jc w:val="both"/>
        <w:rPr>
          <w:rFonts w:ascii="Times New Roman" w:hAnsi="Times New Roman" w:cs="Times New Roman"/>
          <w:lang w:val="sv-SE"/>
        </w:rPr>
      </w:pPr>
      <w:r w:rsidRPr="00260DF3">
        <w:rPr>
          <w:rFonts w:ascii="Times New Roman" w:hAnsi="Times New Roman" w:cs="Times New Roman"/>
          <w:lang w:val="sv-SE"/>
        </w:rPr>
        <w:t>Ett beslut som meddelats med anledning av omprövningsbegäran får överklagas genom besvär hos förvaltningsdomstolen på det sätt som föreskrivs i förvaltningsprocesslagen (586/1996).</w:t>
      </w:r>
    </w:p>
    <w:p w:rsidR="004653D6" w:rsidRPr="001D7F07" w:rsidRDefault="00660BCE" w:rsidP="004653D6">
      <w:pPr>
        <w:spacing w:before="100" w:beforeAutospacing="1" w:after="100" w:afterAutospacing="1" w:line="240" w:lineRule="auto"/>
        <w:jc w:val="both"/>
        <w:rPr>
          <w:rFonts w:ascii="Times New Roman" w:hAnsi="Times New Roman" w:cs="Times New Roman"/>
          <w:szCs w:val="24"/>
          <w:lang w:val="sv-SE" w:eastAsia="fi-FI"/>
        </w:rPr>
      </w:pPr>
      <w:r w:rsidRPr="001D7F07">
        <w:rPr>
          <w:rFonts w:ascii="Times New Roman" w:hAnsi="Times New Roman" w:cs="Times New Roman"/>
          <w:szCs w:val="24"/>
          <w:lang w:val="sv-SE" w:eastAsia="fi-FI"/>
        </w:rPr>
        <w:t>I civiltjänstcentralens beslut om byte av civiltjänstgöringsplats kan ändring sökas genom besvär hos förvaltningsdomstolen inom 14 dagar från delgivningen av beslutet på det sätt som föreskrivs i för</w:t>
      </w:r>
      <w:r w:rsidR="00260DF3">
        <w:rPr>
          <w:rFonts w:ascii="Times New Roman" w:hAnsi="Times New Roman" w:cs="Times New Roman"/>
          <w:szCs w:val="24"/>
          <w:lang w:val="sv-SE" w:eastAsia="fi-FI"/>
        </w:rPr>
        <w:t>valtningsprocesslagen</w:t>
      </w:r>
      <w:r w:rsidRPr="001D7F07">
        <w:rPr>
          <w:rFonts w:ascii="Times New Roman" w:hAnsi="Times New Roman" w:cs="Times New Roman"/>
          <w:szCs w:val="24"/>
          <w:lang w:val="sv-SE" w:eastAsia="fi-FI"/>
        </w:rPr>
        <w:t>.</w:t>
      </w:r>
      <w:r w:rsidR="004653D6" w:rsidRPr="001D7F07">
        <w:rPr>
          <w:rFonts w:ascii="Times New Roman" w:hAnsi="Times New Roman" w:cs="Times New Roman"/>
          <w:szCs w:val="24"/>
          <w:lang w:val="sv-SE" w:eastAsia="fi-FI"/>
        </w:rPr>
        <w:t xml:space="preserve"> </w:t>
      </w:r>
      <w:r w:rsidRPr="001D7F07">
        <w:rPr>
          <w:rFonts w:ascii="Times New Roman" w:hAnsi="Times New Roman" w:cs="Times New Roman"/>
          <w:szCs w:val="24"/>
          <w:lang w:val="sv-SE" w:eastAsia="fi-FI"/>
        </w:rPr>
        <w:t>Besvär hindrar inte att beslutet verkställs, om inte besvärsmyndigheten bestämmer något annat.</w:t>
      </w:r>
    </w:p>
    <w:p w:rsidR="004653D6" w:rsidRPr="001D7F07" w:rsidRDefault="00660BCE" w:rsidP="004653D6">
      <w:pPr>
        <w:spacing w:before="100" w:beforeAutospacing="1" w:after="100" w:afterAutospacing="1" w:line="240" w:lineRule="auto"/>
        <w:jc w:val="both"/>
        <w:rPr>
          <w:rFonts w:ascii="Times New Roman" w:hAnsi="Times New Roman" w:cs="Times New Roman"/>
          <w:szCs w:val="24"/>
          <w:lang w:val="sv-SE" w:eastAsia="fi-FI"/>
        </w:rPr>
      </w:pPr>
      <w:r w:rsidRPr="001D7F07">
        <w:rPr>
          <w:rFonts w:ascii="Times New Roman" w:hAnsi="Times New Roman" w:cs="Times New Roman"/>
          <w:szCs w:val="24"/>
          <w:lang w:val="sv-SE" w:eastAsia="fi-FI"/>
        </w:rPr>
        <w:t>Om inte något annat föreskrivs i denna lag kan ändring i andra beslut av civiltjänstcentralen än de som avses i 1 och 2 mom. och i beslut av civiltjänstgöringsplatsen sökas genom besvär hos förvaltningsdomstolen på det sätt som föreskrivs i förvaltningsprocesslagen. Besvär över be</w:t>
      </w:r>
      <w:r w:rsidR="00F47DF8">
        <w:rPr>
          <w:rFonts w:ascii="Times New Roman" w:hAnsi="Times New Roman" w:cs="Times New Roman"/>
          <w:szCs w:val="24"/>
          <w:lang w:val="sv-SE" w:eastAsia="fi-FI"/>
        </w:rPr>
        <w:t xml:space="preserve">slutet om hemförlovning hindrar </w:t>
      </w:r>
      <w:r w:rsidRPr="001D7F07">
        <w:rPr>
          <w:rFonts w:ascii="Times New Roman" w:hAnsi="Times New Roman" w:cs="Times New Roman"/>
          <w:szCs w:val="24"/>
          <w:lang w:val="sv-SE" w:eastAsia="fi-FI"/>
        </w:rPr>
        <w:t>inte att beslutet verkställs, om inte besvärsmyndigheten bestämmer något annat.</w:t>
      </w:r>
    </w:p>
    <w:p w:rsidR="004653D6" w:rsidRPr="001D7F07" w:rsidRDefault="00660BCE" w:rsidP="004653D6">
      <w:pPr>
        <w:spacing w:before="100" w:beforeAutospacing="1" w:after="100" w:afterAutospacing="1" w:line="240" w:lineRule="auto"/>
        <w:jc w:val="both"/>
        <w:rPr>
          <w:rFonts w:ascii="Times New Roman" w:hAnsi="Times New Roman" w:cs="Times New Roman"/>
          <w:szCs w:val="24"/>
          <w:lang w:val="sv-SE" w:eastAsia="fi-FI"/>
        </w:rPr>
      </w:pPr>
      <w:r w:rsidRPr="001D7F07">
        <w:rPr>
          <w:rFonts w:ascii="Times New Roman" w:hAnsi="Times New Roman" w:cs="Times New Roman"/>
          <w:szCs w:val="24"/>
          <w:lang w:val="sv-SE" w:eastAsia="fi-FI"/>
        </w:rPr>
        <w:t>I förvaltningsdomstolens beslut får ändring sökas genom besvär hos högsta förvaltningsdomstolen endast om högsta förvaltningsdomstolen beviljar besvärstillstånd.</w:t>
      </w:r>
    </w:p>
    <w:p w:rsidR="0064052F" w:rsidRPr="001D7F07" w:rsidRDefault="0064052F" w:rsidP="0095105C">
      <w:pPr>
        <w:spacing w:before="100" w:beforeAutospacing="1" w:after="100" w:afterAutospacing="1"/>
        <w:jc w:val="center"/>
        <w:outlineLvl w:val="4"/>
        <w:rPr>
          <w:rFonts w:ascii="Times New Roman" w:hAnsi="Times New Roman" w:cs="Times New Roman"/>
          <w:bCs/>
          <w:lang w:val="sv-SE" w:eastAsia="fi-FI"/>
        </w:rPr>
      </w:pPr>
      <w:r w:rsidRPr="001D7F07">
        <w:rPr>
          <w:rFonts w:ascii="Times New Roman" w:hAnsi="Times New Roman" w:cs="Times New Roman"/>
          <w:bCs/>
          <w:lang w:val="sv-SE" w:eastAsia="fi-FI"/>
        </w:rPr>
        <w:t>97 §</w:t>
      </w:r>
    </w:p>
    <w:p w:rsidR="0064052F" w:rsidRPr="001D7F07" w:rsidRDefault="00660BCE" w:rsidP="00660BCE">
      <w:pPr>
        <w:spacing w:before="100" w:beforeAutospacing="1" w:after="100" w:afterAutospacing="1" w:line="280" w:lineRule="auto"/>
        <w:jc w:val="center"/>
        <w:outlineLvl w:val="4"/>
        <w:rPr>
          <w:rFonts w:ascii="Times New Roman" w:hAnsi="Times New Roman" w:cs="Times New Roman"/>
          <w:bCs/>
          <w:i/>
          <w:lang w:val="sv-SE" w:eastAsia="fi-FI"/>
        </w:rPr>
      </w:pPr>
      <w:r w:rsidRPr="001D7F07">
        <w:rPr>
          <w:rFonts w:ascii="Times New Roman" w:hAnsi="Times New Roman" w:cs="Times New Roman"/>
          <w:bCs/>
          <w:i/>
          <w:lang w:val="sv-SE" w:eastAsia="fi-FI"/>
        </w:rPr>
        <w:t>Sökande av ändring i fråga om disciplinstraff</w:t>
      </w:r>
    </w:p>
    <w:p w:rsidR="004653D6" w:rsidRPr="001D7F07" w:rsidRDefault="00660BCE" w:rsidP="004653D6">
      <w:pPr>
        <w:spacing w:before="100" w:beforeAutospacing="1" w:after="100" w:afterAutospacing="1" w:line="240" w:lineRule="auto"/>
        <w:rPr>
          <w:rFonts w:ascii="Times New Roman" w:hAnsi="Times New Roman" w:cs="Times New Roman"/>
          <w:szCs w:val="24"/>
          <w:lang w:val="sv-SE" w:eastAsia="fi-FI"/>
        </w:rPr>
      </w:pPr>
      <w:r w:rsidRPr="001D7F07">
        <w:rPr>
          <w:rFonts w:ascii="Times New Roman" w:hAnsi="Times New Roman" w:cs="Times New Roman"/>
          <w:szCs w:val="24"/>
          <w:lang w:val="sv-SE" w:eastAsia="fi-FI"/>
        </w:rPr>
        <w:t>En civiltjänstgörare som har påförts disciplinstraff får söka ändring i beslutet om straff genom besvär hos förvaltningsdomstolen inom 14 dagar från delgivningen av beslutet på det sätt som föreskrivs i förvaltningsprocesslagen.</w:t>
      </w:r>
      <w:r w:rsidR="004653D6" w:rsidRPr="001D7F07">
        <w:rPr>
          <w:rFonts w:ascii="Times New Roman" w:hAnsi="Times New Roman" w:cs="Times New Roman"/>
          <w:szCs w:val="24"/>
          <w:lang w:val="sv-SE" w:eastAsia="fi-FI"/>
        </w:rPr>
        <w:t xml:space="preserve"> </w:t>
      </w:r>
    </w:p>
    <w:p w:rsidR="004653D6" w:rsidRPr="001D7F07" w:rsidRDefault="00660BCE" w:rsidP="004653D6">
      <w:pPr>
        <w:spacing w:before="100" w:beforeAutospacing="1" w:after="100" w:afterAutospacing="1" w:line="240" w:lineRule="auto"/>
        <w:rPr>
          <w:rFonts w:ascii="Times New Roman" w:hAnsi="Times New Roman" w:cs="Times New Roman"/>
          <w:szCs w:val="24"/>
          <w:lang w:val="sv-SE" w:eastAsia="fi-FI"/>
        </w:rPr>
      </w:pPr>
      <w:r w:rsidRPr="001D7F07">
        <w:rPr>
          <w:rFonts w:ascii="Times New Roman" w:hAnsi="Times New Roman" w:cs="Times New Roman"/>
          <w:szCs w:val="24"/>
          <w:lang w:val="sv-SE" w:eastAsia="fi-FI"/>
        </w:rPr>
        <w:lastRenderedPageBreak/>
        <w:t>Ett disciplinstraff kan verkställas omedelbart efter det att civiltjänstcentralen meddelat sitt beslut, om verkställighet av disciplinstraffet inte annars är möjlig under civiltjänstgörarens återstående tjänstgöringstid.</w:t>
      </w:r>
    </w:p>
    <w:p w:rsidR="004653D6" w:rsidRPr="001D7F07" w:rsidRDefault="00660BCE" w:rsidP="004653D6">
      <w:pPr>
        <w:spacing w:before="100" w:beforeAutospacing="1" w:after="100" w:afterAutospacing="1" w:line="240" w:lineRule="auto"/>
        <w:rPr>
          <w:rFonts w:ascii="Times New Roman" w:hAnsi="Times New Roman" w:cs="Times New Roman"/>
          <w:szCs w:val="24"/>
          <w:lang w:val="sv-SE" w:eastAsia="fi-FI"/>
        </w:rPr>
      </w:pPr>
      <w:r w:rsidRPr="001D7F07">
        <w:rPr>
          <w:rFonts w:ascii="Times New Roman" w:hAnsi="Times New Roman" w:cs="Times New Roman"/>
          <w:szCs w:val="24"/>
          <w:lang w:val="sv-SE" w:eastAsia="fi-FI"/>
        </w:rPr>
        <w:t>I förvaltningsdomstolens beslut får ändring sökas genom besvär hos högsta förvaltningsdomstolen endast om högsta förvaltningsdomstolen beviljar besvärstillstånd.</w:t>
      </w:r>
    </w:p>
    <w:p w:rsidR="00AB5C49" w:rsidRPr="001D7F07" w:rsidRDefault="00AB5C49" w:rsidP="00AB5C49">
      <w:pPr>
        <w:spacing w:before="100" w:beforeAutospacing="1" w:after="100" w:afterAutospacing="1" w:line="240" w:lineRule="auto"/>
        <w:jc w:val="center"/>
        <w:outlineLvl w:val="4"/>
        <w:rPr>
          <w:rFonts w:ascii="Times New Roman" w:eastAsia="Times New Roman" w:hAnsi="Times New Roman" w:cs="Times New Roman"/>
          <w:bCs/>
          <w:lang w:val="sv-SE" w:eastAsia="fi-FI"/>
        </w:rPr>
      </w:pPr>
      <w:r w:rsidRPr="001D7F07">
        <w:rPr>
          <w:rFonts w:ascii="Times New Roman" w:eastAsia="Times New Roman" w:hAnsi="Times New Roman" w:cs="Times New Roman"/>
          <w:bCs/>
          <w:lang w:val="sv-SE" w:eastAsia="fi-FI"/>
        </w:rPr>
        <w:t>100 §</w:t>
      </w:r>
    </w:p>
    <w:p w:rsidR="00AB5C49" w:rsidRPr="001D7F07" w:rsidRDefault="00660BCE" w:rsidP="00AB5C49">
      <w:pPr>
        <w:spacing w:before="100" w:beforeAutospacing="1" w:after="100" w:afterAutospacing="1" w:line="240" w:lineRule="auto"/>
        <w:jc w:val="center"/>
        <w:outlineLvl w:val="4"/>
        <w:rPr>
          <w:rFonts w:ascii="Times New Roman" w:eastAsia="Times New Roman" w:hAnsi="Times New Roman" w:cs="Times New Roman"/>
          <w:bCs/>
          <w:i/>
          <w:lang w:val="sv-SE" w:eastAsia="fi-FI"/>
        </w:rPr>
      </w:pPr>
      <w:r w:rsidRPr="001D7F07">
        <w:rPr>
          <w:rFonts w:ascii="Times New Roman" w:eastAsia="Times New Roman" w:hAnsi="Times New Roman" w:cs="Times New Roman"/>
          <w:bCs/>
          <w:i/>
          <w:lang w:val="sv-SE" w:eastAsia="fi-FI"/>
        </w:rPr>
        <w:t>Ansökan om tjänstgöring enligt värnpliktslagen eller lagen om frivillig militärtjänst för kvinnor</w:t>
      </w:r>
    </w:p>
    <w:p w:rsidR="00AB5C49" w:rsidRPr="001D7F07" w:rsidRDefault="00660BCE" w:rsidP="00AB5C49">
      <w:pPr>
        <w:spacing w:before="100" w:beforeAutospacing="1" w:after="100" w:afterAutospacing="1" w:line="240" w:lineRule="auto"/>
        <w:rPr>
          <w:rFonts w:ascii="Times New Roman" w:eastAsia="Times New Roman" w:hAnsi="Times New Roman" w:cs="Times New Roman"/>
          <w:lang w:val="sv-SE" w:eastAsia="fi-FI"/>
        </w:rPr>
      </w:pPr>
      <w:r w:rsidRPr="001D7F07">
        <w:rPr>
          <w:rFonts w:ascii="Times New Roman" w:eastAsia="Times New Roman" w:hAnsi="Times New Roman" w:cs="Times New Roman"/>
          <w:lang w:val="sv-SE" w:eastAsia="fi-FI"/>
        </w:rPr>
        <w:t>En civiltjänstgörare som vill övergå till att fullgöra tjänstgöring enligt värnpliktslagen eller lagen om frivillig militärtjänst för kvinnor ska skriftligen ansöka om detta hos civiltjänstcentralen.</w:t>
      </w:r>
      <w:r w:rsidR="00AB5C49" w:rsidRPr="001D7F07">
        <w:rPr>
          <w:rFonts w:ascii="Times New Roman" w:eastAsia="Times New Roman" w:hAnsi="Times New Roman" w:cs="Times New Roman"/>
          <w:lang w:val="sv-SE" w:eastAsia="fi-FI"/>
        </w:rPr>
        <w:t xml:space="preserve"> </w:t>
      </w:r>
    </w:p>
    <w:p w:rsidR="00AB5C49" w:rsidRPr="001D7F07" w:rsidRDefault="00660BCE" w:rsidP="00AB5C49">
      <w:pPr>
        <w:spacing w:before="100" w:beforeAutospacing="1" w:after="100" w:afterAutospacing="1" w:line="240" w:lineRule="auto"/>
        <w:rPr>
          <w:rFonts w:ascii="Times New Roman" w:eastAsia="Times New Roman" w:hAnsi="Times New Roman" w:cs="Times New Roman"/>
          <w:lang w:val="sv-SE" w:eastAsia="fi-FI"/>
        </w:rPr>
      </w:pPr>
      <w:r w:rsidRPr="001D7F07">
        <w:rPr>
          <w:rFonts w:ascii="Times New Roman" w:eastAsia="Times New Roman" w:hAnsi="Times New Roman" w:cs="Times New Roman"/>
          <w:lang w:val="sv-SE" w:eastAsia="fi-FI"/>
        </w:rPr>
        <w:t>Civiltjänstcentralen ska godkänna ansökan utan dröjsmål, om det av ansökan framgår att den övertygelse som avses i 1 § inte längre hindrar civiltjänstgöraren att fullgöra tjänst enligt de nämnda lagarna och om civiltjänstgöraren inte tidigare på grundval av en motsvarande ansökan har beviljats tillstånd att övergå från civiltjänst till tjänst enligt de nämnda lagarna.</w:t>
      </w:r>
      <w:r w:rsidR="00AB5C49" w:rsidRPr="001D7F07">
        <w:rPr>
          <w:rFonts w:ascii="Times New Roman" w:eastAsia="Times New Roman" w:hAnsi="Times New Roman" w:cs="Times New Roman"/>
          <w:lang w:val="sv-SE" w:eastAsia="fi-FI"/>
        </w:rPr>
        <w:t xml:space="preserve"> </w:t>
      </w:r>
      <w:r w:rsidRPr="001D7F07">
        <w:rPr>
          <w:rFonts w:ascii="Times New Roman" w:eastAsia="Times New Roman" w:hAnsi="Times New Roman" w:cs="Times New Roman"/>
          <w:lang w:val="sv-SE" w:eastAsia="fi-FI"/>
        </w:rPr>
        <w:t>Ansökan kan inte längre godkännas efter det att civiltjänsten har inletts och inte efter utgången av det år då civiltjänstgöraren har fyllt 28 år.</w:t>
      </w:r>
    </w:p>
    <w:p w:rsidR="00AB5C49" w:rsidRPr="001D7F07" w:rsidRDefault="00660BCE" w:rsidP="00AB5C49">
      <w:pPr>
        <w:spacing w:line="240" w:lineRule="auto"/>
        <w:rPr>
          <w:rFonts w:ascii="Times New Roman" w:eastAsia="Times New Roman" w:hAnsi="Times New Roman" w:cs="Times New Roman"/>
          <w:lang w:val="sv-SE" w:eastAsia="fi-FI"/>
        </w:rPr>
      </w:pPr>
      <w:r w:rsidRPr="001D7F07">
        <w:rPr>
          <w:rFonts w:ascii="Times New Roman" w:eastAsia="Times New Roman" w:hAnsi="Times New Roman" w:cs="Times New Roman"/>
          <w:lang w:val="sv-SE" w:eastAsia="fi-FI"/>
        </w:rPr>
        <w:t>En i 58 § 1 mom. avsedd civiltjänstgörares ansökan om tjänstgöring enligt värnpliktslagen kan godkännas under de förutsättningar som anges i 2 mom. På godkännandet av ansökan tillämpas dock inte åldersgränsen enligt 2 mom.</w:t>
      </w:r>
      <w:r w:rsidR="00AB5C49" w:rsidRPr="001D7F07">
        <w:rPr>
          <w:rFonts w:ascii="Times New Roman" w:eastAsia="Times New Roman" w:hAnsi="Times New Roman" w:cs="Times New Roman"/>
          <w:lang w:val="sv-SE" w:eastAsia="fi-FI"/>
        </w:rPr>
        <w:t xml:space="preserve"> </w:t>
      </w:r>
    </w:p>
    <w:p w:rsidR="00AB5C49" w:rsidRPr="001D7F07" w:rsidRDefault="00660BCE" w:rsidP="00AB5C49">
      <w:pPr>
        <w:spacing w:line="240" w:lineRule="auto"/>
        <w:rPr>
          <w:rFonts w:ascii="Times New Roman" w:eastAsia="Times New Roman" w:hAnsi="Times New Roman" w:cs="Times New Roman"/>
          <w:lang w:val="sv-SE" w:eastAsia="fi-FI"/>
        </w:rPr>
      </w:pPr>
      <w:r w:rsidRPr="001D7F07">
        <w:rPr>
          <w:rFonts w:ascii="Times New Roman" w:eastAsia="Times New Roman" w:hAnsi="Times New Roman" w:cs="Times New Roman"/>
          <w:lang w:val="sv-SE" w:eastAsia="fi-FI"/>
        </w:rPr>
        <w:t>Om en ansökan som avses i 1 mom. har lämnats in efter det att civiltjänstgöraren har förordnats till civiltjänst, ska civiltjänstgöraren dock iaktta förordnandet tills civiltjänstcentralen avgör ansökan och återkallar sitt förordnande.</w:t>
      </w:r>
    </w:p>
    <w:p w:rsidR="00AB5C49" w:rsidRPr="001D7F07" w:rsidRDefault="00660BCE" w:rsidP="00AB5C49">
      <w:pPr>
        <w:spacing w:before="100" w:beforeAutospacing="1" w:after="100" w:afterAutospacing="1" w:line="240" w:lineRule="auto"/>
        <w:rPr>
          <w:rFonts w:ascii="Times New Roman" w:eastAsia="Times New Roman" w:hAnsi="Times New Roman" w:cs="Times New Roman"/>
          <w:lang w:val="sv-SE" w:eastAsia="fi-FI"/>
        </w:rPr>
      </w:pPr>
      <w:r w:rsidRPr="001D7F07">
        <w:rPr>
          <w:rFonts w:ascii="Times New Roman" w:eastAsia="Times New Roman" w:hAnsi="Times New Roman" w:cs="Times New Roman"/>
          <w:lang w:val="sv-SE" w:eastAsia="fi-FI"/>
        </w:rPr>
        <w:t>Civiltjänstcentralen ska utan dröjsmål underrätta försvarsmaktens regionalbyrå om att ansökan har godkänts.</w:t>
      </w:r>
    </w:p>
    <w:p w:rsidR="00AB5C49" w:rsidRPr="001D7F07" w:rsidRDefault="00AB5C49" w:rsidP="00A44929">
      <w:pPr>
        <w:pStyle w:val="LLPykala"/>
        <w:rPr>
          <w:lang w:val="sv-SE"/>
        </w:rPr>
      </w:pPr>
    </w:p>
    <w:p w:rsidR="00AB5C49" w:rsidRPr="001D7F07" w:rsidRDefault="00AB5C49" w:rsidP="00A44929">
      <w:pPr>
        <w:pStyle w:val="LLPykala"/>
        <w:rPr>
          <w:lang w:val="sv-SE"/>
        </w:rPr>
      </w:pPr>
    </w:p>
    <w:p w:rsidR="00A44929" w:rsidRPr="001D7F07" w:rsidRDefault="00A44929" w:rsidP="00A44929">
      <w:pPr>
        <w:pStyle w:val="LLPykala"/>
        <w:rPr>
          <w:lang w:val="sv-SE"/>
        </w:rPr>
      </w:pPr>
      <w:r w:rsidRPr="001D7F07">
        <w:rPr>
          <w:lang w:val="sv-SE"/>
        </w:rPr>
        <w:t>102 §</w:t>
      </w:r>
    </w:p>
    <w:p w:rsidR="00A44929" w:rsidRPr="001D7F07" w:rsidRDefault="00660BCE" w:rsidP="00A44929">
      <w:pPr>
        <w:pStyle w:val="LLPykalanOtsikko"/>
        <w:rPr>
          <w:lang w:val="sv-SE"/>
        </w:rPr>
      </w:pPr>
      <w:r w:rsidRPr="001D7F07">
        <w:rPr>
          <w:lang w:val="sv-SE"/>
        </w:rPr>
        <w:t>Tillämpningen av allmänna förvaltningslagar</w:t>
      </w:r>
    </w:p>
    <w:p w:rsidR="00A44929" w:rsidRPr="001D7F07" w:rsidRDefault="00660BCE" w:rsidP="0095105C">
      <w:pPr>
        <w:pStyle w:val="LLKappalejako"/>
        <w:rPr>
          <w:lang w:val="sv-SE"/>
        </w:rPr>
      </w:pPr>
      <w:r w:rsidRPr="001D7F07">
        <w:rPr>
          <w:lang w:val="sv-SE"/>
        </w:rPr>
        <w:t>Vid behandlingen av förvaltningsärenden enligt denna lag tillämpas förvaltningslagen (434/2003), språklagen (423/2003), dataskyddslagen ( / ), lagen om offentlighet i myndigheternas verksamhet och lagen om elektronisk kommunikation i myndigheternas verksamhet (13/2003), om inte något annat bestäms i denna lag.</w:t>
      </w:r>
    </w:p>
    <w:p w:rsidR="00A44929" w:rsidRPr="001D7F07" w:rsidRDefault="00A44929" w:rsidP="0095105C">
      <w:pPr>
        <w:pStyle w:val="LLNormaali"/>
        <w:spacing w:line="240" w:lineRule="auto"/>
        <w:jc w:val="center"/>
        <w:rPr>
          <w:lang w:val="sv-SE"/>
        </w:rPr>
      </w:pPr>
      <w:r w:rsidRPr="001D7F07">
        <w:rPr>
          <w:lang w:val="sv-SE"/>
        </w:rPr>
        <w:t>———</w:t>
      </w:r>
    </w:p>
    <w:p w:rsidR="0047081C" w:rsidRDefault="00660BCE" w:rsidP="0047081C">
      <w:pPr>
        <w:spacing w:line="240" w:lineRule="auto"/>
        <w:rPr>
          <w:rFonts w:ascii="Calibri" w:hAnsi="Calibri" w:cs="Calibri"/>
          <w:lang w:val="sv-SE"/>
        </w:rPr>
      </w:pPr>
      <w:r w:rsidRPr="001D7F07">
        <w:rPr>
          <w:lang w:val="sv-SE"/>
        </w:rPr>
        <w:t>Denna lag träder i kraft den    20  .</w:t>
      </w:r>
      <w:r w:rsidR="0095105C" w:rsidRPr="001D7F07">
        <w:rPr>
          <w:lang w:val="sv-SE"/>
        </w:rPr>
        <w:t xml:space="preserve"> </w:t>
      </w:r>
      <w:r w:rsidR="0047081C" w:rsidRPr="0047081C">
        <w:rPr>
          <w:rFonts w:ascii="Times New Roman" w:hAnsi="Times New Roman" w:cs="Times New Roman"/>
          <w:lang w:val="sv-SE"/>
        </w:rPr>
        <w:t>Bestämmelserna i 8 § 2 mom. 2 punkten och 65 a § 2 mom. 2 punkten tillämpas dock först från och med den 1 januari 2020.</w:t>
      </w:r>
    </w:p>
    <w:p w:rsidR="00A44929" w:rsidRPr="001D7F07" w:rsidRDefault="00A44929" w:rsidP="0095105C">
      <w:pPr>
        <w:pStyle w:val="LLVoimaantulokappale"/>
        <w:spacing w:line="240" w:lineRule="auto"/>
        <w:ind w:firstLine="0"/>
        <w:rPr>
          <w:lang w:val="sv-SE"/>
        </w:rPr>
      </w:pPr>
    </w:p>
    <w:p w:rsidR="00A44929" w:rsidRPr="001D7F07" w:rsidRDefault="00A44929" w:rsidP="00A44929">
      <w:pPr>
        <w:pStyle w:val="LLNormaali"/>
        <w:rPr>
          <w:lang w:val="sv-SE"/>
        </w:rPr>
      </w:pPr>
    </w:p>
    <w:p w:rsidR="00A44929" w:rsidRPr="001D7F07" w:rsidRDefault="00A44929" w:rsidP="00A44929">
      <w:pPr>
        <w:pStyle w:val="LLNormaali"/>
        <w:jc w:val="center"/>
        <w:rPr>
          <w:lang w:val="sv-SE"/>
        </w:rPr>
      </w:pPr>
      <w:r w:rsidRPr="001D7F07">
        <w:rPr>
          <w:lang w:val="sv-SE"/>
        </w:rPr>
        <w:t>—————</w:t>
      </w:r>
    </w:p>
    <w:p w:rsidR="00A44929" w:rsidRPr="001D7F07" w:rsidRDefault="00A44929" w:rsidP="00A44929">
      <w:pPr>
        <w:pStyle w:val="LLNormaali"/>
        <w:rPr>
          <w:lang w:val="sv-SE"/>
        </w:rPr>
      </w:pPr>
    </w:p>
    <w:p w:rsidR="00A44929" w:rsidRPr="001D7F07" w:rsidRDefault="00660BCE" w:rsidP="00A44929">
      <w:pPr>
        <w:pStyle w:val="LLPaivays"/>
        <w:rPr>
          <w:lang w:val="sv-SE"/>
        </w:rPr>
      </w:pPr>
      <w:r w:rsidRPr="001D7F07">
        <w:rPr>
          <w:lang w:val="sv-SE"/>
        </w:rPr>
        <w:t>Helsingfors den      2018</w:t>
      </w:r>
    </w:p>
    <w:p w:rsidR="00A44929" w:rsidRPr="001D7F07" w:rsidRDefault="00A44929" w:rsidP="00A44929">
      <w:pPr>
        <w:pStyle w:val="LLNormaali"/>
        <w:rPr>
          <w:lang w:val="sv-SE"/>
        </w:rPr>
      </w:pPr>
    </w:p>
    <w:p w:rsidR="00A44929" w:rsidRPr="001D7F07" w:rsidRDefault="00660BCE" w:rsidP="00A44929">
      <w:pPr>
        <w:pStyle w:val="LLAllekirjoitus"/>
        <w:rPr>
          <w:lang w:val="sv-SE"/>
        </w:rPr>
      </w:pPr>
      <w:r w:rsidRPr="001D7F07">
        <w:rPr>
          <w:lang w:val="sv-SE"/>
        </w:rPr>
        <w:t>Statsminister</w:t>
      </w: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660BCE" w:rsidP="00A44929">
      <w:pPr>
        <w:pStyle w:val="LLAllekirjoitus"/>
        <w:rPr>
          <w:lang w:val="sv-SE"/>
        </w:rPr>
      </w:pPr>
      <w:r w:rsidRPr="001D7F07">
        <w:rPr>
          <w:lang w:val="sv-SE"/>
        </w:rPr>
        <w:t>Juha Sipilä</w:t>
      </w: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Varmennus"/>
        <w:rPr>
          <w:lang w:val="sv-SE"/>
        </w:rPr>
      </w:pPr>
      <w:r w:rsidRPr="001D7F07">
        <w:rPr>
          <w:lang w:val="sv-SE"/>
        </w:rPr>
        <w:tab/>
      </w:r>
      <w:r w:rsidR="00660BCE" w:rsidRPr="001D7F07">
        <w:rPr>
          <w:lang w:val="sv-SE"/>
        </w:rPr>
        <w:t>Arbetsminister Jari Lindström</w:t>
      </w: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A44929" w:rsidRPr="001D7F07" w:rsidRDefault="00A44929" w:rsidP="00A44929">
      <w:pPr>
        <w:pStyle w:val="LLNormaali"/>
        <w:rPr>
          <w:lang w:val="sv-SE"/>
        </w:rPr>
      </w:pPr>
    </w:p>
    <w:p w:rsidR="009B230C" w:rsidRPr="001D7F07" w:rsidRDefault="009B230C" w:rsidP="00446E3A">
      <w:pPr>
        <w:rPr>
          <w:lang w:val="sv-SE"/>
        </w:rPr>
      </w:pPr>
    </w:p>
    <w:sectPr w:rsidR="009B230C" w:rsidRPr="001D7F07"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C0" w:rsidRDefault="005306C0" w:rsidP="008E0F4A">
      <w:r>
        <w:separator/>
      </w:r>
    </w:p>
  </w:endnote>
  <w:endnote w:type="continuationSeparator" w:id="0">
    <w:p w:rsidR="005306C0" w:rsidRDefault="005306C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C0" w:rsidRDefault="005306C0" w:rsidP="008E0F4A">
      <w:r>
        <w:separator/>
      </w:r>
    </w:p>
  </w:footnote>
  <w:footnote w:type="continuationSeparator" w:id="0">
    <w:p w:rsidR="005306C0" w:rsidRDefault="005306C0"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BD5C76" w:rsidP="00562E6B">
        <w:pPr>
          <w:ind w:right="-143" w:firstLine="8789"/>
          <w:jc w:val="center"/>
        </w:pPr>
        <w:r>
          <w:fldChar w:fldCharType="begin"/>
        </w:r>
        <w:r>
          <w:instrText xml:space="preserve"> PAGE   \* MERGEFORMAT </w:instrText>
        </w:r>
        <w:r>
          <w:fldChar w:fldCharType="separate"/>
        </w:r>
        <w:r w:rsidR="00355EB0">
          <w:rPr>
            <w:noProof/>
          </w:rPr>
          <w:t>4</w:t>
        </w:r>
        <w:r>
          <w:rPr>
            <w:noProof/>
          </w:rPr>
          <w:fldChar w:fldCharType="end"/>
        </w:r>
        <w:r w:rsidR="008E0F4A">
          <w:t>(</w:t>
        </w:r>
        <w:fldSimple w:instr=" NUMPAGES   \* MERGEFORMAT ">
          <w:r w:rsidR="00355EB0">
            <w:rPr>
              <w:noProof/>
            </w:rPr>
            <w:t>7</w:t>
          </w:r>
        </w:fldSimple>
        <w:r w:rsidR="008E0F4A">
          <w:t>)</w:t>
        </w:r>
      </w:p>
      <w:p w:rsidR="008E0F4A" w:rsidRDefault="008E0F4A" w:rsidP="00562E6B">
        <w:pPr>
          <w:tabs>
            <w:tab w:val="left" w:pos="5245"/>
          </w:tabs>
        </w:pPr>
        <w:r>
          <w:tab/>
        </w:r>
      </w:p>
      <w:p w:rsidR="00FA6ACE" w:rsidRDefault="00FA6ACE" w:rsidP="00562E6B"/>
      <w:p w:rsidR="008E0F4A" w:rsidRDefault="005306C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BD5C76" w:rsidP="00562E6B">
        <w:pPr>
          <w:ind w:right="-143" w:firstLine="8789"/>
          <w:jc w:val="right"/>
        </w:pPr>
        <w:r>
          <w:fldChar w:fldCharType="begin"/>
        </w:r>
        <w:r>
          <w:instrText xml:space="preserve"> PAGE   \* MERGEFORMAT </w:instrText>
        </w:r>
        <w:r>
          <w:fldChar w:fldCharType="separate"/>
        </w:r>
        <w:r w:rsidR="00355EB0">
          <w:rPr>
            <w:noProof/>
          </w:rPr>
          <w:t>1</w:t>
        </w:r>
        <w:r>
          <w:rPr>
            <w:noProof/>
          </w:rPr>
          <w:fldChar w:fldCharType="end"/>
        </w:r>
        <w:r w:rsidR="00FA6ACE">
          <w:t>(</w:t>
        </w:r>
        <w:fldSimple w:instr=" NUMPAGES   \* MERGEFORMAT ">
          <w:r w:rsidR="00355EB0">
            <w:rPr>
              <w:noProof/>
            </w:rPr>
            <w:t>7</w:t>
          </w:r>
        </w:fldSimple>
        <w:r w:rsidR="00FA6ACE">
          <w:t>)</w:t>
        </w:r>
      </w:p>
      <w:p w:rsidR="00FA6ACE" w:rsidRDefault="005306C0"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25987F1C"/>
    <w:multiLevelType w:val="hybridMultilevel"/>
    <w:tmpl w:val="C91270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F35BC9"/>
    <w:multiLevelType w:val="hybridMultilevel"/>
    <w:tmpl w:val="2ED031FA"/>
    <w:lvl w:ilvl="0" w:tplc="BC1C0868">
      <w:start w:val="1"/>
      <w:numFmt w:val="decimal"/>
      <w:lvlText w:val="%1)"/>
      <w:lvlJc w:val="left"/>
      <w:pPr>
        <w:ind w:left="644"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B436D84"/>
    <w:multiLevelType w:val="hybridMultilevel"/>
    <w:tmpl w:val="CDCCC0A6"/>
    <w:lvl w:ilvl="0" w:tplc="52A62DAE">
      <w:start w:val="1"/>
      <w:numFmt w:val="decimal"/>
      <w:lvlText w:val="%1)"/>
      <w:lvlJc w:val="left"/>
      <w:pPr>
        <w:ind w:left="502"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D18119E"/>
    <w:multiLevelType w:val="hybridMultilevel"/>
    <w:tmpl w:val="6D12CB0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8"/>
  </w:num>
  <w:num w:numId="2">
    <w:abstractNumId w:val="10"/>
  </w:num>
  <w:num w:numId="3">
    <w:abstractNumId w:val="0"/>
  </w:num>
  <w:num w:numId="4">
    <w:abstractNumId w:val="1"/>
  </w:num>
  <w:num w:numId="5">
    <w:abstractNumId w:val="9"/>
  </w:num>
  <w:num w:numId="6">
    <w:abstractNumId w:val="7"/>
  </w:num>
  <w:num w:numId="7">
    <w:abstractNumId w:val="7"/>
  </w:num>
  <w:num w:numId="8">
    <w:abstractNumId w:val="2"/>
  </w:num>
  <w:num w:numId="9">
    <w:abstractNumId w:val="6"/>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A44929"/>
    <w:rsid w:val="00014801"/>
    <w:rsid w:val="00016E55"/>
    <w:rsid w:val="00020721"/>
    <w:rsid w:val="0003182E"/>
    <w:rsid w:val="00053D44"/>
    <w:rsid w:val="00063ECB"/>
    <w:rsid w:val="00075991"/>
    <w:rsid w:val="000B3024"/>
    <w:rsid w:val="000C272A"/>
    <w:rsid w:val="000D21BC"/>
    <w:rsid w:val="000D3235"/>
    <w:rsid w:val="000D49E3"/>
    <w:rsid w:val="001431B7"/>
    <w:rsid w:val="00144D34"/>
    <w:rsid w:val="00147111"/>
    <w:rsid w:val="00155F3B"/>
    <w:rsid w:val="00156099"/>
    <w:rsid w:val="001776E9"/>
    <w:rsid w:val="001B078B"/>
    <w:rsid w:val="001C7185"/>
    <w:rsid w:val="001D7F07"/>
    <w:rsid w:val="001E5F86"/>
    <w:rsid w:val="001F70AF"/>
    <w:rsid w:val="00210152"/>
    <w:rsid w:val="002373F4"/>
    <w:rsid w:val="00260DF3"/>
    <w:rsid w:val="00292DED"/>
    <w:rsid w:val="002979F5"/>
    <w:rsid w:val="002A13C4"/>
    <w:rsid w:val="002D31CC"/>
    <w:rsid w:val="002D491A"/>
    <w:rsid w:val="002D72CF"/>
    <w:rsid w:val="002F65CF"/>
    <w:rsid w:val="00307C47"/>
    <w:rsid w:val="003268C9"/>
    <w:rsid w:val="00346B03"/>
    <w:rsid w:val="00355EB0"/>
    <w:rsid w:val="00367C90"/>
    <w:rsid w:val="00393411"/>
    <w:rsid w:val="003A2869"/>
    <w:rsid w:val="003D74BA"/>
    <w:rsid w:val="00415FE8"/>
    <w:rsid w:val="00426DF7"/>
    <w:rsid w:val="00431538"/>
    <w:rsid w:val="00436803"/>
    <w:rsid w:val="00446E3A"/>
    <w:rsid w:val="004653D6"/>
    <w:rsid w:val="0047081C"/>
    <w:rsid w:val="0047233E"/>
    <w:rsid w:val="00486BE8"/>
    <w:rsid w:val="004A196F"/>
    <w:rsid w:val="004C5212"/>
    <w:rsid w:val="004C6B33"/>
    <w:rsid w:val="005146D4"/>
    <w:rsid w:val="0051596E"/>
    <w:rsid w:val="00520088"/>
    <w:rsid w:val="005306C0"/>
    <w:rsid w:val="005512A4"/>
    <w:rsid w:val="00562542"/>
    <w:rsid w:val="00562E6B"/>
    <w:rsid w:val="00576F6A"/>
    <w:rsid w:val="005834E9"/>
    <w:rsid w:val="0059671F"/>
    <w:rsid w:val="005E32B5"/>
    <w:rsid w:val="006131C2"/>
    <w:rsid w:val="006329B7"/>
    <w:rsid w:val="0064052F"/>
    <w:rsid w:val="00660BCE"/>
    <w:rsid w:val="00676341"/>
    <w:rsid w:val="00684EF1"/>
    <w:rsid w:val="006A239A"/>
    <w:rsid w:val="006A4A91"/>
    <w:rsid w:val="006D40F8"/>
    <w:rsid w:val="006D6C2D"/>
    <w:rsid w:val="006F0E6C"/>
    <w:rsid w:val="0070786F"/>
    <w:rsid w:val="00722420"/>
    <w:rsid w:val="0076257D"/>
    <w:rsid w:val="007729CF"/>
    <w:rsid w:val="00775A28"/>
    <w:rsid w:val="00783B52"/>
    <w:rsid w:val="00785D97"/>
    <w:rsid w:val="00786242"/>
    <w:rsid w:val="007A74D4"/>
    <w:rsid w:val="007B4560"/>
    <w:rsid w:val="007B4E42"/>
    <w:rsid w:val="007C2B22"/>
    <w:rsid w:val="00801ECF"/>
    <w:rsid w:val="00810908"/>
    <w:rsid w:val="008111C9"/>
    <w:rsid w:val="00811D8D"/>
    <w:rsid w:val="008200A9"/>
    <w:rsid w:val="00831440"/>
    <w:rsid w:val="00833B99"/>
    <w:rsid w:val="00842AA3"/>
    <w:rsid w:val="008559F2"/>
    <w:rsid w:val="008676E5"/>
    <w:rsid w:val="0086798F"/>
    <w:rsid w:val="00885EDF"/>
    <w:rsid w:val="00887457"/>
    <w:rsid w:val="008953C7"/>
    <w:rsid w:val="008A0773"/>
    <w:rsid w:val="008A4280"/>
    <w:rsid w:val="008E0F4A"/>
    <w:rsid w:val="00906E49"/>
    <w:rsid w:val="009260E1"/>
    <w:rsid w:val="0095105C"/>
    <w:rsid w:val="009B0D75"/>
    <w:rsid w:val="009B230C"/>
    <w:rsid w:val="009B6311"/>
    <w:rsid w:val="009C68F6"/>
    <w:rsid w:val="009D222E"/>
    <w:rsid w:val="009F71A7"/>
    <w:rsid w:val="00A115EC"/>
    <w:rsid w:val="00A11A70"/>
    <w:rsid w:val="00A135F7"/>
    <w:rsid w:val="00A24604"/>
    <w:rsid w:val="00A44929"/>
    <w:rsid w:val="00A612FC"/>
    <w:rsid w:val="00A64BD2"/>
    <w:rsid w:val="00A75231"/>
    <w:rsid w:val="00A90735"/>
    <w:rsid w:val="00AA5350"/>
    <w:rsid w:val="00AB5C49"/>
    <w:rsid w:val="00AF2EBD"/>
    <w:rsid w:val="00AF3346"/>
    <w:rsid w:val="00B20776"/>
    <w:rsid w:val="00B279D3"/>
    <w:rsid w:val="00B42986"/>
    <w:rsid w:val="00B56B84"/>
    <w:rsid w:val="00B87F45"/>
    <w:rsid w:val="00BC10DB"/>
    <w:rsid w:val="00BD5C76"/>
    <w:rsid w:val="00BE4CA3"/>
    <w:rsid w:val="00BF06A8"/>
    <w:rsid w:val="00C025AA"/>
    <w:rsid w:val="00C21181"/>
    <w:rsid w:val="00CB4C78"/>
    <w:rsid w:val="00CD4A95"/>
    <w:rsid w:val="00D0366C"/>
    <w:rsid w:val="00D05785"/>
    <w:rsid w:val="00D25AD2"/>
    <w:rsid w:val="00D35E49"/>
    <w:rsid w:val="00D44B33"/>
    <w:rsid w:val="00D60C53"/>
    <w:rsid w:val="00D76D7A"/>
    <w:rsid w:val="00D81078"/>
    <w:rsid w:val="00D87C57"/>
    <w:rsid w:val="00DE107F"/>
    <w:rsid w:val="00DE217C"/>
    <w:rsid w:val="00E01C92"/>
    <w:rsid w:val="00E07440"/>
    <w:rsid w:val="00E2160A"/>
    <w:rsid w:val="00E24FBA"/>
    <w:rsid w:val="00E330A7"/>
    <w:rsid w:val="00E44094"/>
    <w:rsid w:val="00EA43F0"/>
    <w:rsid w:val="00F03839"/>
    <w:rsid w:val="00F47DF8"/>
    <w:rsid w:val="00F63379"/>
    <w:rsid w:val="00F7177D"/>
    <w:rsid w:val="00F734F9"/>
    <w:rsid w:val="00F73B15"/>
    <w:rsid w:val="00F93412"/>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103EB8-AA13-46D4-8027-48F74BCC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1078"/>
    <w:pPr>
      <w:spacing w:after="200" w:line="276" w:lineRule="auto"/>
    </w:pPr>
    <w:rPr>
      <w:rFonts w:asciiTheme="minorHAnsi" w:eastAsiaTheme="minorHAnsi" w:hAnsiTheme="minorHAnsi" w:cstheme="minorBid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LLNormaali">
    <w:name w:val="LLNormaali"/>
    <w:rsid w:val="00A44929"/>
    <w:pPr>
      <w:spacing w:line="220" w:lineRule="exact"/>
    </w:pPr>
    <w:rPr>
      <w:sz w:val="22"/>
      <w:szCs w:val="24"/>
    </w:rPr>
  </w:style>
  <w:style w:type="paragraph" w:customStyle="1" w:styleId="LLKappalejako">
    <w:name w:val="LLKappalejako"/>
    <w:link w:val="LLKappalejakoChar"/>
    <w:autoRedefine/>
    <w:rsid w:val="0095105C"/>
    <w:pPr>
      <w:jc w:val="both"/>
    </w:pPr>
    <w:rPr>
      <w:sz w:val="22"/>
      <w:szCs w:val="24"/>
    </w:rPr>
  </w:style>
  <w:style w:type="character" w:customStyle="1" w:styleId="LLKappalejakoChar">
    <w:name w:val="LLKappalejako Char"/>
    <w:link w:val="LLKappalejako"/>
    <w:locked/>
    <w:rsid w:val="0095105C"/>
    <w:rPr>
      <w:sz w:val="22"/>
      <w:szCs w:val="24"/>
    </w:rPr>
  </w:style>
  <w:style w:type="paragraph" w:customStyle="1" w:styleId="LLPykala">
    <w:name w:val="LLPykala"/>
    <w:next w:val="LLNormaali"/>
    <w:rsid w:val="00A44929"/>
    <w:pPr>
      <w:spacing w:line="220" w:lineRule="exact"/>
      <w:jc w:val="center"/>
    </w:pPr>
    <w:rPr>
      <w:sz w:val="22"/>
      <w:szCs w:val="24"/>
    </w:rPr>
  </w:style>
  <w:style w:type="paragraph" w:customStyle="1" w:styleId="LLPykalanOtsikko">
    <w:name w:val="LLPykalanOtsikko"/>
    <w:next w:val="LLNormaali"/>
    <w:rsid w:val="00A44929"/>
    <w:pPr>
      <w:spacing w:before="220" w:after="220" w:line="220" w:lineRule="exact"/>
      <w:jc w:val="center"/>
    </w:pPr>
    <w:rPr>
      <w:i/>
      <w:sz w:val="22"/>
      <w:szCs w:val="24"/>
    </w:rPr>
  </w:style>
  <w:style w:type="paragraph" w:customStyle="1" w:styleId="LLLuku">
    <w:name w:val="LLLuku"/>
    <w:next w:val="LLNormaali"/>
    <w:rsid w:val="00A44929"/>
    <w:pPr>
      <w:spacing w:after="220" w:line="220" w:lineRule="exact"/>
      <w:jc w:val="center"/>
    </w:pPr>
    <w:rPr>
      <w:sz w:val="22"/>
      <w:szCs w:val="24"/>
    </w:rPr>
  </w:style>
  <w:style w:type="paragraph" w:customStyle="1" w:styleId="LLLuvunOtsikko">
    <w:name w:val="LLLuvunOtsikko"/>
    <w:next w:val="LLNormaali"/>
    <w:rsid w:val="00A44929"/>
    <w:pPr>
      <w:spacing w:after="220" w:line="220" w:lineRule="exact"/>
      <w:jc w:val="center"/>
    </w:pPr>
    <w:rPr>
      <w:b/>
      <w:sz w:val="22"/>
      <w:szCs w:val="24"/>
    </w:rPr>
  </w:style>
  <w:style w:type="paragraph" w:customStyle="1" w:styleId="LLVoimaantulokappale">
    <w:name w:val="LLVoimaantulokappale"/>
    <w:rsid w:val="00A44929"/>
    <w:pPr>
      <w:spacing w:line="220" w:lineRule="exact"/>
      <w:ind w:firstLine="170"/>
      <w:jc w:val="both"/>
    </w:pPr>
    <w:rPr>
      <w:sz w:val="22"/>
      <w:szCs w:val="24"/>
    </w:rPr>
  </w:style>
  <w:style w:type="paragraph" w:customStyle="1" w:styleId="LLPaivays">
    <w:name w:val="LLPaivays"/>
    <w:next w:val="LLNormaali"/>
    <w:rsid w:val="00A44929"/>
    <w:pPr>
      <w:spacing w:after="220" w:line="220" w:lineRule="exact"/>
    </w:pPr>
    <w:rPr>
      <w:sz w:val="22"/>
      <w:szCs w:val="24"/>
    </w:rPr>
  </w:style>
  <w:style w:type="paragraph" w:customStyle="1" w:styleId="LLLakiehdotukset">
    <w:name w:val="LLLakiehdotukset"/>
    <w:next w:val="LLNormaali"/>
    <w:rsid w:val="00A44929"/>
    <w:pPr>
      <w:spacing w:line="220" w:lineRule="exact"/>
      <w:ind w:left="6691"/>
      <w:outlineLvl w:val="0"/>
    </w:pPr>
    <w:rPr>
      <w:i/>
      <w:sz w:val="22"/>
      <w:szCs w:val="24"/>
    </w:rPr>
  </w:style>
  <w:style w:type="paragraph" w:customStyle="1" w:styleId="LLLaki">
    <w:name w:val="LLLaki"/>
    <w:next w:val="LLNormaali"/>
    <w:rsid w:val="00A44929"/>
    <w:pPr>
      <w:spacing w:before="220" w:after="220" w:line="320" w:lineRule="exact"/>
      <w:jc w:val="center"/>
    </w:pPr>
    <w:rPr>
      <w:b/>
      <w:spacing w:val="22"/>
      <w:sz w:val="30"/>
      <w:szCs w:val="24"/>
    </w:rPr>
  </w:style>
  <w:style w:type="paragraph" w:customStyle="1" w:styleId="LLSaadoksenNimi">
    <w:name w:val="LLSaadoksenNimi"/>
    <w:next w:val="LLNormaali"/>
    <w:autoRedefine/>
    <w:rsid w:val="00A44929"/>
    <w:pPr>
      <w:spacing w:after="220" w:line="220" w:lineRule="exact"/>
      <w:jc w:val="center"/>
      <w:outlineLvl w:val="2"/>
    </w:pPr>
    <w:rPr>
      <w:b/>
      <w:sz w:val="21"/>
      <w:szCs w:val="24"/>
    </w:rPr>
  </w:style>
  <w:style w:type="paragraph" w:customStyle="1" w:styleId="LLJohtolauseKappaleet">
    <w:name w:val="LLJohtolauseKappaleet"/>
    <w:rsid w:val="00A44929"/>
    <w:pPr>
      <w:spacing w:line="220" w:lineRule="exact"/>
      <w:ind w:firstLine="170"/>
      <w:jc w:val="both"/>
    </w:pPr>
    <w:rPr>
      <w:sz w:val="22"/>
      <w:szCs w:val="24"/>
    </w:rPr>
  </w:style>
  <w:style w:type="paragraph" w:customStyle="1" w:styleId="LLAllekirjoitus">
    <w:name w:val="LLAllekirjoitus"/>
    <w:next w:val="LLNormaali"/>
    <w:rsid w:val="00A44929"/>
    <w:pPr>
      <w:jc w:val="center"/>
    </w:pPr>
    <w:rPr>
      <w:b/>
      <w:sz w:val="21"/>
      <w:szCs w:val="24"/>
    </w:rPr>
  </w:style>
  <w:style w:type="paragraph" w:customStyle="1" w:styleId="LLVarmennus">
    <w:name w:val="LLVarmennus"/>
    <w:next w:val="LLNormaali"/>
    <w:rsid w:val="00A44929"/>
    <w:pPr>
      <w:spacing w:before="220" w:line="220" w:lineRule="exact"/>
      <w:jc w:val="right"/>
    </w:pPr>
    <w:rPr>
      <w:sz w:val="22"/>
      <w:szCs w:val="24"/>
    </w:rPr>
  </w:style>
  <w:style w:type="paragraph" w:customStyle="1" w:styleId="py">
    <w:name w:val="py"/>
    <w:basedOn w:val="Normaali"/>
    <w:rsid w:val="00D8107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64052F"/>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13830</Characters>
  <Application>Microsoft Office Word</Application>
  <DocSecurity>0</DocSecurity>
  <Lines>115</Lines>
  <Paragraphs>31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Nieminen Elli (TEM)</dc:creator>
  <cp:lastModifiedBy>Nieminen Elli (TEM)</cp:lastModifiedBy>
  <cp:revision>2</cp:revision>
  <cp:lastPrinted>2018-06-18T12:29:00Z</cp:lastPrinted>
  <dcterms:created xsi:type="dcterms:W3CDTF">2018-06-21T09:17:00Z</dcterms:created>
  <dcterms:modified xsi:type="dcterms:W3CDTF">2018-06-21T09:17:00Z</dcterms:modified>
</cp:coreProperties>
</file>