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203A2"/>
    <w:p w:rsidR="002A6CD5"/>
    <w:p w:rsidR="002A6CD5" w:rsidP="0035265B">
      <w:pPr>
        <w:pStyle w:val="Vastaanottajatiedot"/>
      </w:pPr>
      <w:r>
        <w:t>Työ- ja elinkeinoministeriö</w:t>
      </w:r>
    </w:p>
    <w:p w:rsidR="002A6CD5" w:rsidP="0035265B">
      <w:pPr>
        <w:pStyle w:val="Vastaanottajatiedot"/>
      </w:pPr>
    </w:p>
    <w:p w:rsidR="008C5E06"/>
    <w:p w:rsidR="002A6CD5" w:rsidP="0035265B">
      <w:pPr>
        <w:pStyle w:val="Vastaanottajatiedot"/>
      </w:pPr>
    </w:p>
    <w:p w:rsidR="002A6CD5" w:rsidP="0035265B">
      <w:pPr>
        <w:pStyle w:val="Vastaanottajatiedot"/>
      </w:pPr>
    </w:p>
    <w:p w:rsidR="002A6CD5"/>
    <w:p w:rsidR="00F874C0"/>
    <w:p w:rsidR="002A6CD5">
      <w:r>
        <w:t>Lausuntopyyntönne 22.2.2081; TEM/2114/00.04.01/2017</w:t>
      </w:r>
    </w:p>
    <w:p w:rsidR="002A6CD5"/>
    <w:p w:rsidR="002A6CD5" w:rsidP="002A6CD5">
      <w:pPr>
        <w:pStyle w:val="Title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lausunto; siviilipalvelusvelvollisten poikkeusolojen aikaiset tehtävät</w:t>
      </w:r>
      <w:r>
        <w:fldChar w:fldCharType="end"/>
      </w:r>
    </w:p>
    <w:p w:rsidR="002A6CD5" w:rsidP="002A6CD5">
      <w:pPr>
        <w:pStyle w:val="BodyText"/>
      </w:pPr>
      <w:r>
        <w:t>Työ- ja elinkeinoministeriö on pyytänyt sisäministeriöltä lausuntoa liittyen siviilipalvelusvelvollisten poikkeusolojen aikaiin tehtäviin liittyen eri ministeriöiden hallinnonaloilla. Pyydettynä lausuntonaan sisäministeriö lausuu seuraavaa:</w:t>
      </w:r>
    </w:p>
    <w:p w:rsidR="00620823" w:rsidP="00620823">
      <w:pPr>
        <w:pStyle w:val="BodyText"/>
      </w:pPr>
      <w:r>
        <w:t>Poliisitoimessa</w:t>
      </w:r>
      <w:r>
        <w:t xml:space="preserve"> ei ole tehtäviä, joissa voitaisiin poikkeusoloissa käyttää</w:t>
      </w:r>
      <w:r>
        <w:t xml:space="preserve"> </w:t>
      </w:r>
      <w:r>
        <w:t>siviilipalvelusvelvollisia. Syynä tähän on poliisitoiminnan luonne, joka edellyttää</w:t>
      </w:r>
      <w:r>
        <w:t xml:space="preserve"> </w:t>
      </w:r>
      <w:r>
        <w:t>riittävää koulutusta yleisen järjestyksen ja turvallisuuden sekä rikostorjunnan</w:t>
      </w:r>
      <w:r>
        <w:t xml:space="preserve"> </w:t>
      </w:r>
      <w:r>
        <w:t>tehtäviin. Poliisitoiminnalle on lisäksi tyypillistä arkaluonteisten tietojen käsittely, mikä</w:t>
      </w:r>
      <w:r>
        <w:t xml:space="preserve"> </w:t>
      </w:r>
      <w:r>
        <w:t>edellyttää myös riittävää koulutusta ja perehdytystä aiheeseen.</w:t>
      </w:r>
    </w:p>
    <w:p w:rsidR="00620823" w:rsidP="00620823">
      <w:pPr>
        <w:pStyle w:val="BodyText"/>
      </w:pPr>
      <w:r>
        <w:t xml:space="preserve">Pelastustoimessa ei </w:t>
      </w:r>
      <w:r>
        <w:t xml:space="preserve">myöskään </w:t>
      </w:r>
      <w:r>
        <w:t>ole tehtäviä, joissa siviilipalvelusvelvollisia voitaisi ilman</w:t>
      </w:r>
      <w:r>
        <w:t xml:space="preserve"> </w:t>
      </w:r>
      <w:r>
        <w:t>erikoiskoulutusta käy</w:t>
      </w:r>
      <w:r>
        <w:t xml:space="preserve">ttää liikekannallepanon aikana. </w:t>
      </w:r>
      <w:r>
        <w:t>Yksittäisiä konkreettisia tehtäviä voisi löytyä, mutta se edellyttäisi erikoiskoulutusta ja tietojen ja taitojen jatkuvaa ylläpitoa. Lisäksi koulutettavat henkilöt</w:t>
      </w:r>
      <w:r>
        <w:t xml:space="preserve"> </w:t>
      </w:r>
      <w:r>
        <w:t>tulisi voida valita erikseen. Mikäli</w:t>
      </w:r>
      <w:r>
        <w:t xml:space="preserve"> </w:t>
      </w:r>
      <w:r>
        <w:t xml:space="preserve">henkilöllä on pelastusalan ammatillinen koulutus ja hänellä on tosiasiallinen kyky toimia </w:t>
      </w:r>
      <w:r>
        <w:t>ko</w:t>
      </w:r>
      <w:r>
        <w:t xml:space="preserve"> tehtävissä, häntä voitaisi</w:t>
      </w:r>
      <w:r>
        <w:t>in</w:t>
      </w:r>
      <w:r>
        <w:t xml:space="preserve"> käyttää koulutustaan vastaavissa tehtävissä pelastustoimessa.</w:t>
      </w:r>
      <w:r>
        <w:t xml:space="preserve"> </w:t>
      </w:r>
      <w:r>
        <w:t>Valmiussuunnittelussa ei ole huomioitu sivi</w:t>
      </w:r>
      <w:r>
        <w:t>ilipalvelusvelvollisten käyttöä edellä mainittuun perustuen</w:t>
      </w:r>
      <w:r>
        <w:t>.</w:t>
      </w:r>
    </w:p>
    <w:p w:rsidR="00620823" w:rsidP="00620823">
      <w:pPr>
        <w:pStyle w:val="BodyText"/>
      </w:pPr>
      <w:r>
        <w:t>Rajavartiolaitoksessa ei ole tehtäviä siviilipalvelusvelvollisille normaali- eikä</w:t>
      </w:r>
      <w:r>
        <w:t xml:space="preserve"> </w:t>
      </w:r>
      <w:r>
        <w:t>poikkeusoloissa.</w:t>
      </w:r>
      <w:bookmarkStart w:id="0" w:name="_GoBack"/>
      <w:bookmarkEnd w:id="0"/>
    </w:p>
    <w:p w:rsidR="00CF11FD" w:rsidP="002A6CD5">
      <w:pPr>
        <w:pStyle w:val="BodyText"/>
      </w:pPr>
    </w:p>
    <w:p w:rsidR="00CF11FD" w:rsidP="002A6CD5">
      <w:pPr>
        <w:pStyle w:val="BodyText"/>
      </w:pPr>
      <w:r>
        <w:t>Kansliapäällikkö</w:t>
      </w:r>
      <w:r w:rsidR="00246E5F">
        <w:tab/>
      </w:r>
      <w:r>
        <w:t>Esko Koskinen</w:t>
      </w:r>
    </w:p>
    <w:p w:rsidR="00CF11FD" w:rsidP="00CF11FD">
      <w:pPr>
        <w:pStyle w:val="BodyText"/>
      </w:pPr>
    </w:p>
    <w:p w:rsidR="00CF11FD" w:rsidP="00CF11FD">
      <w:pPr>
        <w:pStyle w:val="BodyText"/>
      </w:pPr>
      <w:r>
        <w:t>Erityisasiantuntija</w:t>
      </w:r>
      <w:r w:rsidR="00246E5F">
        <w:tab/>
      </w:r>
      <w:r>
        <w:t>Miia Lehmus-Niemi</w:t>
      </w:r>
    </w:p>
    <w:p w:rsidR="008C5E06" w:rsidP="00CF11FD">
      <w:pPr>
        <w:pStyle w:val="BodyText"/>
      </w:pPr>
    </w:p>
    <w:p w:rsidR="00CF11FD" w:rsidP="00CF11F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14.03.2018 klo 07:53. Allekirjoituksen oikeellisuuden</w:t>
      </w:r>
      <w:r>
        <w:t xml:space="preserve"> voi todentaa kirjaamosta.</w:t>
      </w:r>
      <w:r>
        <w:fldChar w:fldCharType="end"/>
      </w:r>
    </w:p>
    <w:p w:rsidR="00CF11FD" w:rsidP="00F874C0">
      <w:pPr>
        <w:pStyle w:val="BodyText"/>
      </w:pPr>
    </w:p>
    <w:tbl>
      <w:tblPr>
        <w:tblStyle w:val="Eireunaviivaa"/>
        <w:tblW w:w="0" w:type="auto"/>
        <w:tblLayout w:type="fixed"/>
        <w:tblLook w:val="04A0"/>
      </w:tblPr>
      <w:tblGrid>
        <w:gridCol w:w="2608"/>
        <w:gridCol w:w="7761"/>
      </w:tblGrid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P="00CF11FD">
            <w:r>
              <w:t>Ministeri Mykkänen</w:t>
            </w:r>
          </w:p>
          <w:p w:rsidR="00C62F59" w:rsidP="00CF11FD">
            <w:r>
              <w:t xml:space="preserve">Erityisavustajat </w:t>
            </w:r>
            <w:r>
              <w:t>Andersson-Bohren</w:t>
            </w:r>
            <w:r>
              <w:t xml:space="preserve"> ja Rautanen</w:t>
            </w:r>
          </w:p>
          <w:p w:rsidR="00C62F59" w:rsidP="00CF11FD">
            <w:r>
              <w:t>Poliisiosasto</w:t>
            </w:r>
          </w:p>
          <w:p w:rsidR="00C62F59" w:rsidP="00CF11FD">
            <w:r>
              <w:t>Pelastusosasto</w:t>
            </w:r>
          </w:p>
          <w:p w:rsidR="00C62F59" w:rsidRPr="00242B73" w:rsidP="00CF11FD">
            <w:pPr>
              <w:rPr>
                <w:sz w:val="20"/>
                <w:szCs w:val="20"/>
              </w:rPr>
            </w:pPr>
            <w:r>
              <w:t>Rajavartio-osasto</w:t>
            </w:r>
          </w:p>
        </w:tc>
      </w:tr>
    </w:tbl>
    <w:p w:rsidR="008C5E06" w:rsidRPr="00162585" w:rsidP="00246E5F"/>
    <w:sectPr w:rsidSect="002208F1">
      <w:headerReference w:type="default" r:id="rId4"/>
      <w:headerReference w:type="first" r:id="rId5"/>
      <w:footerReference w:type="first" r:id="rId6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275" w:type="dxa"/>
      <w:tblLayout w:type="fixed"/>
      <w:tblCellMar>
        <w:right w:w="0" w:type="dxa"/>
      </w:tblCellMar>
      <w:tblLook w:val="04A0"/>
    </w:tblPr>
    <w:tblGrid>
      <w:gridCol w:w="2586"/>
      <w:gridCol w:w="1809"/>
      <w:gridCol w:w="2126"/>
      <w:gridCol w:w="1843"/>
      <w:gridCol w:w="1911"/>
    </w:tblGrid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 w:rsidRPr="00755304">
            <w:rPr>
              <w:color w:val="59B5A4"/>
            </w:rPr>
            <w:t>Virkasähköpostiosoite: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Sisäministeriö</w:t>
          </w:r>
        </w:p>
      </w:tc>
      <w:tc>
        <w:tcPr>
          <w:tcW w:w="2126" w:type="dxa"/>
        </w:tcPr>
        <w:p w:rsidR="00C32D98" w:rsidRPr="00EF222F" w:rsidP="006A5C73">
          <w:pPr>
            <w:pStyle w:val="Footer"/>
          </w:pPr>
          <w:r>
            <w:t>Kirkko</w:t>
          </w:r>
          <w:r>
            <w:t xml:space="preserve">katu </w:t>
          </w:r>
          <w:r>
            <w:t>1</w:t>
          </w:r>
          <w:r>
            <w:t>2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t xml:space="preserve">Vaihde 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kirjaamo@intermin.fi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PL 26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>
            <w:t>Helsinki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6536B0">
            <w:t>0295 480 171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www.intermin.fi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00023 Valtioneuvosto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P="001811CD">
          <w:pPr>
            <w:pStyle w:val="Footer"/>
          </w:pP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P="002752F1">
          <w:pPr>
            <w:pStyle w:val="Footer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</w:tbl>
  <w:p w:rsidR="00EF222F" w:rsidP="00EF22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35265B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P="005E4795">
          <w:pPr>
            <w:pStyle w:val="Header"/>
          </w:pPr>
        </w:p>
      </w:tc>
      <w:tc>
        <w:tcPr>
          <w:tcW w:w="1054" w:type="dxa"/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14.03.2018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35265B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SM188809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1</w:t>
          </w:r>
          <w:r>
            <w:fldChar w:fldCharType="end"/>
          </w:r>
          <w:r>
            <w:t>)</w:t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SMDno-2018-449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14.03.2018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C27B62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2752F1"/>
  </w:style>
  <w:style w:type="paragraph" w:styleId="Heading1">
    <w:name w:val="heading 1"/>
    <w:basedOn w:val="Normal"/>
    <w:next w:val="BodyText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35265B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35265B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TOCHeading">
    <w:name w:val="TOC Heading"/>
    <w:next w:val="Normal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35265B"/>
    <w:rPr>
      <w:sz w:val="18"/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35265B"/>
    <w:rPr>
      <w:sz w:val="18"/>
      <w:szCs w:val="18"/>
    </w:rPr>
  </w:style>
  <w:style w:type="paragraph" w:styleId="NoSpacing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Lehmus-Niemi Miia SM</cp:lastModifiedBy>
  <cp:revision>8</cp:revision>
  <dcterms:created xsi:type="dcterms:W3CDTF">2015-04-15T10:06:00Z</dcterms:created>
  <dcterms:modified xsi:type="dcterms:W3CDTF">2018-03-13T12:48:00Z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14.03.2018 klo 07:53.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SMDno-2018-449</vt:lpwstr>
  </property>
  <property fmtid="{D5CDD505-2E9C-101B-9397-08002B2CF9AE}" pid="6" name="sm_id">
    <vt:lpwstr>SM188809</vt:lpwstr>
  </property>
  <property fmtid="{D5CDD505-2E9C-101B-9397-08002B2CF9AE}" pid="7" name="sm_käsittelyluokka">
    <vt:lpwstr/>
  </property>
  <property fmtid="{D5CDD505-2E9C-101B-9397-08002B2CF9AE}" pid="8" name="sm_laatija">
    <vt:lpwstr>Miia Lehmus-Niemi</vt:lpwstr>
  </property>
  <property fmtid="{D5CDD505-2E9C-101B-9397-08002B2CF9AE}" pid="9" name="sm_laatimispvm">
    <vt:lpwstr>13.03.2018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siviilipalvelusvelvollisten poikkeusolojen aikaiset tehtävät</vt:lpwstr>
  </property>
  <property fmtid="{D5CDD505-2E9C-101B-9397-08002B2CF9AE}" pid="15" name="sm_pvm">
    <vt:lpwstr>14.03.2018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