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ECDE" w14:textId="77777777" w:rsidR="00C014DF" w:rsidRDefault="00C014DF" w:rsidP="00C014DF">
      <w:pPr>
        <w:spacing w:after="0" w:line="240" w:lineRule="auto"/>
        <w:ind w:left="1080"/>
        <w:rPr>
          <w:sz w:val="20"/>
          <w:szCs w:val="20"/>
        </w:rPr>
      </w:pPr>
    </w:p>
    <w:p w14:paraId="169FB660" w14:textId="77777777" w:rsidR="00291193" w:rsidRDefault="00291193" w:rsidP="00291193">
      <w:pPr>
        <w:spacing w:after="0" w:line="240" w:lineRule="auto"/>
        <w:rPr>
          <w:b/>
          <w:sz w:val="32"/>
          <w:szCs w:val="20"/>
        </w:rPr>
      </w:pPr>
      <w:r w:rsidRPr="00291193">
        <w:rPr>
          <w:b/>
          <w:sz w:val="32"/>
          <w:szCs w:val="20"/>
        </w:rPr>
        <w:t>Suomen EU-p</w:t>
      </w:r>
      <w:r w:rsidR="008269B5">
        <w:rPr>
          <w:b/>
          <w:sz w:val="32"/>
          <w:szCs w:val="20"/>
        </w:rPr>
        <w:t>uheenjohtajuuskauden teemat ja ajankohtaiset asiat</w:t>
      </w:r>
    </w:p>
    <w:p w14:paraId="08243D6C" w14:textId="77777777" w:rsidR="008269B5" w:rsidRDefault="008269B5" w:rsidP="00291193">
      <w:pPr>
        <w:spacing w:after="0" w:line="240" w:lineRule="auto"/>
        <w:rPr>
          <w:b/>
          <w:sz w:val="32"/>
          <w:szCs w:val="20"/>
        </w:rPr>
      </w:pPr>
    </w:p>
    <w:p w14:paraId="715502B7" w14:textId="77777777" w:rsidR="008269B5" w:rsidRPr="00BA372B" w:rsidRDefault="00291193" w:rsidP="00291193">
      <w:pPr>
        <w:pStyle w:val="Yltunniste"/>
        <w:numPr>
          <w:ilvl w:val="0"/>
          <w:numId w:val="1"/>
        </w:numPr>
        <w:rPr>
          <w:b/>
        </w:rPr>
      </w:pPr>
      <w:r w:rsidRPr="00BA372B">
        <w:rPr>
          <w:b/>
        </w:rPr>
        <w:t>Teos- ja tekijätiedot osana kehit</w:t>
      </w:r>
      <w:r w:rsidR="00945BB8" w:rsidRPr="00BA372B">
        <w:rPr>
          <w:b/>
        </w:rPr>
        <w:t>tyvää t</w:t>
      </w:r>
      <w:r w:rsidRPr="00BA372B">
        <w:rPr>
          <w:b/>
        </w:rPr>
        <w:t>ekijänoikeuden infrastruktuuria</w:t>
      </w:r>
    </w:p>
    <w:p w14:paraId="6556264E" w14:textId="77777777" w:rsidR="008269B5" w:rsidRDefault="008269B5" w:rsidP="008269B5">
      <w:pPr>
        <w:pStyle w:val="Yltunniste"/>
        <w:ind w:left="720"/>
      </w:pPr>
    </w:p>
    <w:p w14:paraId="213ECD91" w14:textId="77777777" w:rsidR="008269B5" w:rsidRPr="00BC04AF" w:rsidRDefault="008269B5" w:rsidP="008269B5">
      <w:pPr>
        <w:spacing w:after="0" w:line="240" w:lineRule="auto"/>
        <w:ind w:left="1080"/>
        <w:rPr>
          <w:szCs w:val="20"/>
          <w:u w:val="single"/>
        </w:rPr>
      </w:pPr>
      <w:r w:rsidRPr="00BC04AF">
        <w:rPr>
          <w:szCs w:val="20"/>
          <w:u w:val="single"/>
        </w:rPr>
        <w:t>Tekijänoikeuden infrastruktuurin kehittäminen</w:t>
      </w:r>
    </w:p>
    <w:p w14:paraId="0160F7CA" w14:textId="77777777" w:rsidR="008269B5" w:rsidRPr="00BC04AF" w:rsidRDefault="008269B5" w:rsidP="008269B5">
      <w:pPr>
        <w:spacing w:after="0" w:line="240" w:lineRule="auto"/>
        <w:rPr>
          <w:szCs w:val="20"/>
        </w:rPr>
      </w:pPr>
    </w:p>
    <w:p w14:paraId="000EB822" w14:textId="77777777" w:rsidR="008269B5" w:rsidRPr="00BC04AF" w:rsidRDefault="008269B5" w:rsidP="008269B5">
      <w:pPr>
        <w:spacing w:after="0" w:line="240" w:lineRule="auto"/>
        <w:ind w:left="1080"/>
        <w:rPr>
          <w:szCs w:val="20"/>
        </w:rPr>
      </w:pPr>
      <w:r w:rsidRPr="00BC04AF">
        <w:rPr>
          <w:szCs w:val="20"/>
        </w:rPr>
        <w:t>Luovien alojen kasvupotentiaali edellyttää digitaalisten markkinoiden toimivuutta. Jotta EU:ssa toimivien luovien alojen yritykset voisivat kasvaa ja haastaa sisällöntuottajia kansainvälisillä markkinoilla, tarvitaan vahvat EU:n sisämarkkinat, jo</w:t>
      </w:r>
      <w:r w:rsidR="00EC44FE" w:rsidRPr="00BC04AF">
        <w:rPr>
          <w:szCs w:val="20"/>
        </w:rPr>
        <w:t>i</w:t>
      </w:r>
      <w:r w:rsidRPr="00BC04AF">
        <w:rPr>
          <w:szCs w:val="20"/>
        </w:rPr>
        <w:t xml:space="preserve">ssa eurooppalaisten sisältöjen löytämistä ja lisensiointia helpotetaan. Koska teoksilla käytävä kauppa siirtyy enenevästi digitaaliseen ympäristöön, tekijänoikeusjärjestelmän digitaalista infrastruktuuria ja ekosysteemiä on kehitettävä tukemaan teosten hyödyntämistä ja teosmarkkinoiden toimivuutta läpi teoksen koko elinkaaren teoksen luomisesta teoksen myyntiin ja loppukäyttöön. </w:t>
      </w:r>
    </w:p>
    <w:p w14:paraId="4FBAA939" w14:textId="77777777" w:rsidR="008269B5" w:rsidRPr="00BC04AF" w:rsidRDefault="008269B5" w:rsidP="008269B5">
      <w:pPr>
        <w:spacing w:after="0" w:line="240" w:lineRule="auto"/>
        <w:ind w:left="1080"/>
        <w:rPr>
          <w:szCs w:val="20"/>
        </w:rPr>
      </w:pPr>
    </w:p>
    <w:p w14:paraId="46FACFE0" w14:textId="28767B35" w:rsidR="008269B5" w:rsidRPr="00BC04AF" w:rsidRDefault="008269B5" w:rsidP="008269B5">
      <w:pPr>
        <w:spacing w:after="0" w:line="240" w:lineRule="auto"/>
        <w:ind w:left="1080"/>
        <w:rPr>
          <w:szCs w:val="20"/>
          <w:u w:val="single"/>
        </w:rPr>
      </w:pPr>
      <w:r w:rsidRPr="00BC04AF">
        <w:rPr>
          <w:szCs w:val="20"/>
          <w:u w:val="single"/>
        </w:rPr>
        <w:t>Puuttuvat</w:t>
      </w:r>
      <w:r w:rsidR="00D113F1">
        <w:rPr>
          <w:szCs w:val="20"/>
          <w:u w:val="single"/>
        </w:rPr>
        <w:t xml:space="preserve"> tai virheelliset</w:t>
      </w:r>
      <w:r w:rsidRPr="00BC04AF">
        <w:rPr>
          <w:szCs w:val="20"/>
          <w:u w:val="single"/>
        </w:rPr>
        <w:t xml:space="preserve"> teos- ja tekijätiedot estävät</w:t>
      </w:r>
      <w:r w:rsidR="00BA4182">
        <w:rPr>
          <w:szCs w:val="20"/>
          <w:u w:val="single"/>
        </w:rPr>
        <w:t xml:space="preserve"> oikeuksien </w:t>
      </w:r>
      <w:r w:rsidRPr="00BC04AF">
        <w:rPr>
          <w:szCs w:val="20"/>
          <w:u w:val="single"/>
        </w:rPr>
        <w:t>tehokkaan hyödyntämisen</w:t>
      </w:r>
    </w:p>
    <w:p w14:paraId="1F05A1BD" w14:textId="77777777" w:rsidR="008269B5" w:rsidRPr="00BC04AF" w:rsidRDefault="008269B5" w:rsidP="008269B5">
      <w:pPr>
        <w:spacing w:after="0" w:line="240" w:lineRule="auto"/>
        <w:ind w:left="1080"/>
        <w:rPr>
          <w:szCs w:val="20"/>
        </w:rPr>
      </w:pPr>
    </w:p>
    <w:p w14:paraId="361A8F93" w14:textId="010A7BBA" w:rsidR="008269B5" w:rsidRPr="00BC04AF" w:rsidRDefault="008269B5" w:rsidP="008269B5">
      <w:pPr>
        <w:spacing w:after="0" w:line="240" w:lineRule="auto"/>
        <w:ind w:left="1080"/>
        <w:rPr>
          <w:szCs w:val="20"/>
        </w:rPr>
      </w:pPr>
      <w:r w:rsidRPr="00BC04AF">
        <w:rPr>
          <w:szCs w:val="20"/>
        </w:rPr>
        <w:t>Tällä hetkellä kehitetään yhä enemmän suoraan lisensiointiin perustuvia blockchain-teknologiaan perustuvia järjestelmiä. Myös yksittäiset oikeudenhaltijat ovat alkaneet hyödyntää uusia tekniikoita oikeuksiensa täytäntöönpano</w:t>
      </w:r>
      <w:r w:rsidR="00F176FD" w:rsidRPr="00BC04AF">
        <w:rPr>
          <w:szCs w:val="20"/>
        </w:rPr>
        <w:t>ssa</w:t>
      </w:r>
      <w:r w:rsidRPr="00BC04AF">
        <w:rPr>
          <w:szCs w:val="20"/>
        </w:rPr>
        <w:t xml:space="preserve">. </w:t>
      </w:r>
    </w:p>
    <w:p w14:paraId="3402D1EB" w14:textId="77777777" w:rsidR="008269B5" w:rsidRPr="00BC04AF" w:rsidRDefault="008269B5" w:rsidP="008269B5">
      <w:pPr>
        <w:spacing w:after="0" w:line="240" w:lineRule="auto"/>
        <w:ind w:left="1080"/>
        <w:rPr>
          <w:szCs w:val="20"/>
        </w:rPr>
      </w:pPr>
      <w:r w:rsidRPr="00BC04AF">
        <w:rPr>
          <w:szCs w:val="20"/>
        </w:rPr>
        <w:t xml:space="preserve"> </w:t>
      </w:r>
    </w:p>
    <w:p w14:paraId="6B3C0434" w14:textId="4E30EF36" w:rsidR="008269B5" w:rsidRPr="00BC04AF" w:rsidRDefault="008269B5" w:rsidP="008269B5">
      <w:pPr>
        <w:spacing w:after="0" w:line="240" w:lineRule="auto"/>
        <w:ind w:left="1080"/>
        <w:rPr>
          <w:szCs w:val="20"/>
        </w:rPr>
      </w:pPr>
      <w:r w:rsidRPr="00BC04AF">
        <w:rPr>
          <w:szCs w:val="20"/>
        </w:rPr>
        <w:t xml:space="preserve">Toistaiseksi tekijänoikeusjärjestelmän digitaalisen infrastruktuurin osat ovat kehittyneet palvelemaan </w:t>
      </w:r>
      <w:r w:rsidR="0032763D">
        <w:rPr>
          <w:szCs w:val="20"/>
        </w:rPr>
        <w:t xml:space="preserve">erityisesti </w:t>
      </w:r>
      <w:r w:rsidR="00B06BC6">
        <w:rPr>
          <w:szCs w:val="20"/>
        </w:rPr>
        <w:t>musiikki</w:t>
      </w:r>
      <w:r w:rsidRPr="00BC04AF">
        <w:rPr>
          <w:szCs w:val="20"/>
        </w:rPr>
        <w:t xml:space="preserve">alan sisäistä </w:t>
      </w:r>
      <w:r w:rsidR="00303D1F">
        <w:rPr>
          <w:szCs w:val="20"/>
        </w:rPr>
        <w:t>lisensiointiin liittyvää toimintaa</w:t>
      </w:r>
      <w:r w:rsidR="00E6445E">
        <w:rPr>
          <w:szCs w:val="20"/>
        </w:rPr>
        <w:t xml:space="preserve"> </w:t>
      </w:r>
      <w:r w:rsidRPr="00BC04AF">
        <w:rPr>
          <w:szCs w:val="20"/>
        </w:rPr>
        <w:t xml:space="preserve">ja </w:t>
      </w:r>
      <w:r w:rsidR="00E6445E">
        <w:rPr>
          <w:szCs w:val="20"/>
        </w:rPr>
        <w:t xml:space="preserve">ovat </w:t>
      </w:r>
      <w:r w:rsidRPr="00BC04AF">
        <w:rPr>
          <w:szCs w:val="20"/>
        </w:rPr>
        <w:t>toisistaan irrallaan.  Tällaisia infrastruktuurin rakenneosia ovat esimerkiksi teosrekisterit (IPI, ISAN, ISRC-koodit jne.)</w:t>
      </w:r>
      <w:r w:rsidR="00315281" w:rsidRPr="00BC04AF">
        <w:rPr>
          <w:szCs w:val="20"/>
        </w:rPr>
        <w:t xml:space="preserve"> ja</w:t>
      </w:r>
      <w:r w:rsidRPr="00BC04AF">
        <w:rPr>
          <w:szCs w:val="20"/>
        </w:rPr>
        <w:t xml:space="preserve"> digitaalisten teosobjektien tunnistamiseen kehitetyt ISO-standardit. Lisäksi erilaisia sisällöntunnistamisteknologioita on kehitetty teosten käytön hallinnoimiseksi. </w:t>
      </w:r>
      <w:r w:rsidR="0085561F" w:rsidRPr="00BC04AF">
        <w:rPr>
          <w:szCs w:val="20"/>
        </w:rPr>
        <w:t xml:space="preserve">Tekoälyä käytetään yhä enemmän. </w:t>
      </w:r>
      <w:r w:rsidRPr="00BC04AF">
        <w:rPr>
          <w:szCs w:val="20"/>
        </w:rPr>
        <w:t xml:space="preserve">Eri </w:t>
      </w:r>
      <w:r w:rsidR="0056569C" w:rsidRPr="00BC04AF">
        <w:rPr>
          <w:szCs w:val="20"/>
        </w:rPr>
        <w:t xml:space="preserve">luovilla </w:t>
      </w:r>
      <w:r w:rsidRPr="00BC04AF">
        <w:rPr>
          <w:szCs w:val="20"/>
        </w:rPr>
        <w:t>aloilla on kehittynyt metadatastandardeja tai muita standardoituja oikeuksien hallinnointi- ja raportointijärjestelmiä, jotka eivät välttämättä toimi oman al</w:t>
      </w:r>
      <w:r w:rsidR="00315281" w:rsidRPr="00BC04AF">
        <w:rPr>
          <w:szCs w:val="20"/>
        </w:rPr>
        <w:t>a</w:t>
      </w:r>
      <w:r w:rsidRPr="00BC04AF">
        <w:rPr>
          <w:szCs w:val="20"/>
        </w:rPr>
        <w:t xml:space="preserve">nsa ulkopuolella. </w:t>
      </w:r>
    </w:p>
    <w:p w14:paraId="787A24F1" w14:textId="77777777" w:rsidR="008269B5" w:rsidRPr="00BC04AF" w:rsidRDefault="008269B5" w:rsidP="008269B5">
      <w:pPr>
        <w:spacing w:after="0" w:line="240" w:lineRule="auto"/>
        <w:ind w:left="1080"/>
        <w:rPr>
          <w:szCs w:val="20"/>
        </w:rPr>
      </w:pPr>
    </w:p>
    <w:p w14:paraId="00E81AAE" w14:textId="0369ED30" w:rsidR="008269B5" w:rsidRPr="00BC04AF" w:rsidRDefault="008269B5" w:rsidP="008269B5">
      <w:pPr>
        <w:spacing w:after="0" w:line="240" w:lineRule="auto"/>
        <w:ind w:left="1080"/>
        <w:rPr>
          <w:szCs w:val="20"/>
        </w:rPr>
      </w:pPr>
      <w:r w:rsidRPr="00BC04AF">
        <w:rPr>
          <w:szCs w:val="20"/>
        </w:rPr>
        <w:t xml:space="preserve">Toimivat teosten digitaaliset myyntiväylät ja blockchain-teknologiaan perustuvat sovellukset sekä digitaaliset markkinapaikat tarvitsevat luotettavan verkoston teos- ja tekijätietojen verifioinnille. </w:t>
      </w:r>
      <w:r w:rsidR="003C66BA">
        <w:rPr>
          <w:szCs w:val="20"/>
        </w:rPr>
        <w:t xml:space="preserve">Tämä koskee kaikkia digitaalisessa muodossa välitettäviä teoslajeja. </w:t>
      </w:r>
      <w:r w:rsidRPr="00BC04AF">
        <w:rPr>
          <w:szCs w:val="20"/>
        </w:rPr>
        <w:t xml:space="preserve">Tekijänoikeusjärjestelmän toimivuus digitaalisessa ympäristössä edellyttää välttämättä tekijänoikeusjärjestelmän ekosysteemin puuttuvien osien täydentämistä ja yhteentoimivuuden varmistamista. </w:t>
      </w:r>
    </w:p>
    <w:p w14:paraId="635432B1" w14:textId="77777777" w:rsidR="008269B5" w:rsidRPr="00BC04AF" w:rsidRDefault="008269B5" w:rsidP="008269B5">
      <w:pPr>
        <w:spacing w:after="0" w:line="240" w:lineRule="auto"/>
        <w:ind w:left="1080"/>
        <w:rPr>
          <w:szCs w:val="20"/>
        </w:rPr>
      </w:pPr>
    </w:p>
    <w:p w14:paraId="302993F5" w14:textId="0776A059" w:rsidR="008269B5" w:rsidRPr="00BC04AF" w:rsidRDefault="008269B5" w:rsidP="008269B5">
      <w:pPr>
        <w:spacing w:after="0" w:line="240" w:lineRule="auto"/>
        <w:ind w:left="1080"/>
        <w:rPr>
          <w:szCs w:val="20"/>
          <w:u w:val="single"/>
        </w:rPr>
      </w:pPr>
      <w:r w:rsidRPr="00BC04AF">
        <w:rPr>
          <w:szCs w:val="20"/>
          <w:u w:val="single"/>
        </w:rPr>
        <w:t>Teos- ja tekijätieto</w:t>
      </w:r>
      <w:r w:rsidR="00BC04AF">
        <w:rPr>
          <w:szCs w:val="20"/>
          <w:u w:val="single"/>
        </w:rPr>
        <w:t>jen laadun kehittäminen ja</w:t>
      </w:r>
      <w:r w:rsidR="00BA4182">
        <w:rPr>
          <w:szCs w:val="20"/>
          <w:u w:val="single"/>
        </w:rPr>
        <w:t xml:space="preserve"> EU:n</w:t>
      </w:r>
      <w:r w:rsidR="00BC04AF">
        <w:rPr>
          <w:szCs w:val="20"/>
          <w:u w:val="single"/>
        </w:rPr>
        <w:t xml:space="preserve"> yhteinen </w:t>
      </w:r>
      <w:r w:rsidR="00424675">
        <w:rPr>
          <w:szCs w:val="20"/>
          <w:u w:val="single"/>
        </w:rPr>
        <w:t>tekijätietohubi</w:t>
      </w:r>
      <w:r w:rsidRPr="00BC04AF">
        <w:rPr>
          <w:szCs w:val="20"/>
          <w:u w:val="single"/>
        </w:rPr>
        <w:t xml:space="preserve"> </w:t>
      </w:r>
    </w:p>
    <w:p w14:paraId="461DF346" w14:textId="77777777" w:rsidR="008269B5" w:rsidRPr="00BC04AF" w:rsidRDefault="008269B5" w:rsidP="008269B5">
      <w:pPr>
        <w:spacing w:after="0" w:line="240" w:lineRule="auto"/>
        <w:ind w:left="1080"/>
        <w:rPr>
          <w:szCs w:val="20"/>
        </w:rPr>
      </w:pPr>
    </w:p>
    <w:p w14:paraId="6F835814" w14:textId="6ADF9AC4" w:rsidR="003C66BA" w:rsidRDefault="00B06BC6" w:rsidP="003C66BA">
      <w:pPr>
        <w:spacing w:after="0" w:line="240" w:lineRule="auto"/>
        <w:ind w:left="1080"/>
        <w:rPr>
          <w:szCs w:val="20"/>
        </w:rPr>
      </w:pPr>
      <w:r>
        <w:rPr>
          <w:szCs w:val="20"/>
        </w:rPr>
        <w:t xml:space="preserve">Myös </w:t>
      </w:r>
      <w:r w:rsidR="008269B5" w:rsidRPr="00BC04AF">
        <w:rPr>
          <w:szCs w:val="20"/>
        </w:rPr>
        <w:t>EU</w:t>
      </w:r>
      <w:r>
        <w:rPr>
          <w:szCs w:val="20"/>
        </w:rPr>
        <w:t>-maiss</w:t>
      </w:r>
      <w:r w:rsidR="008269B5" w:rsidRPr="00BC04AF">
        <w:rPr>
          <w:szCs w:val="20"/>
        </w:rPr>
        <w:t>a on teosrekistereitä esimerkiksi kollektiivisen hallinnoinnin piiriin kuuluvan teosrepertoaarin osalta</w:t>
      </w:r>
      <w:r w:rsidR="00B51E23">
        <w:rPr>
          <w:szCs w:val="20"/>
        </w:rPr>
        <w:t xml:space="preserve"> (esim. C</w:t>
      </w:r>
      <w:r w:rsidR="00C93C5B">
        <w:rPr>
          <w:szCs w:val="20"/>
        </w:rPr>
        <w:t>I</w:t>
      </w:r>
      <w:r w:rsidR="00B51E23">
        <w:rPr>
          <w:szCs w:val="20"/>
        </w:rPr>
        <w:t>SACin CIS</w:t>
      </w:r>
      <w:r w:rsidR="00E222A4">
        <w:rPr>
          <w:szCs w:val="20"/>
        </w:rPr>
        <w:t>-</w:t>
      </w:r>
      <w:r w:rsidR="00B51E23">
        <w:rPr>
          <w:szCs w:val="20"/>
        </w:rPr>
        <w:t>net)</w:t>
      </w:r>
      <w:r w:rsidR="008269B5" w:rsidRPr="00BC04AF">
        <w:rPr>
          <w:szCs w:val="20"/>
        </w:rPr>
        <w:t xml:space="preserve">, sen sijaan teosten individuaalisen hallinnoinnin mahdollistavia rekisteröintijärjestelmiä ei ole </w:t>
      </w:r>
      <w:r w:rsidR="00315281" w:rsidRPr="00BC04AF">
        <w:rPr>
          <w:szCs w:val="20"/>
        </w:rPr>
        <w:t>käytössä</w:t>
      </w:r>
      <w:r w:rsidR="008269B5" w:rsidRPr="00BC04AF">
        <w:rPr>
          <w:szCs w:val="20"/>
        </w:rPr>
        <w:t xml:space="preserve">. </w:t>
      </w:r>
      <w:r w:rsidR="003C66BA">
        <w:rPr>
          <w:szCs w:val="20"/>
        </w:rPr>
        <w:t>Joitakin projektiluontoisia hankkeita on ollut vireillä mutta ne ovat aiemmin syystä tai toisesta päättyneet ilman jatkoa.</w:t>
      </w:r>
    </w:p>
    <w:p w14:paraId="7D31304D" w14:textId="77777777" w:rsidR="003C66BA" w:rsidRDefault="003C66BA" w:rsidP="003C66BA">
      <w:pPr>
        <w:spacing w:after="0" w:line="240" w:lineRule="auto"/>
        <w:ind w:left="1080"/>
        <w:rPr>
          <w:szCs w:val="20"/>
        </w:rPr>
      </w:pPr>
    </w:p>
    <w:p w14:paraId="060A9309" w14:textId="7948B569" w:rsidR="008269B5" w:rsidRPr="00BC04AF" w:rsidRDefault="00CA4167" w:rsidP="003C66BA">
      <w:pPr>
        <w:spacing w:after="0" w:line="240" w:lineRule="auto"/>
        <w:ind w:left="1080"/>
        <w:rPr>
          <w:szCs w:val="20"/>
        </w:rPr>
      </w:pPr>
      <w:r>
        <w:rPr>
          <w:szCs w:val="20"/>
        </w:rPr>
        <w:t xml:space="preserve">Tämä vaikeuttaa myös </w:t>
      </w:r>
      <w:r w:rsidR="008269B5" w:rsidRPr="00BC04AF">
        <w:rPr>
          <w:szCs w:val="20"/>
        </w:rPr>
        <w:t>yksilöllisen lisensioinnin piiri</w:t>
      </w:r>
      <w:r>
        <w:rPr>
          <w:szCs w:val="20"/>
        </w:rPr>
        <w:t>ssä olevien</w:t>
      </w:r>
      <w:r w:rsidR="008269B5" w:rsidRPr="00BC04AF">
        <w:rPr>
          <w:szCs w:val="20"/>
        </w:rPr>
        <w:t xml:space="preserve"> teosten oikeudenhaltijoiden selvittämistä lisenssien hankkimiseksi ja syö </w:t>
      </w:r>
      <w:r w:rsidR="00B31BFC">
        <w:rPr>
          <w:szCs w:val="20"/>
        </w:rPr>
        <w:t xml:space="preserve">koko luovan </w:t>
      </w:r>
      <w:r w:rsidR="008269B5" w:rsidRPr="00BC04AF">
        <w:rPr>
          <w:szCs w:val="20"/>
        </w:rPr>
        <w:t>alan kasvupotentiaalia. Vaikeudet oikeudenhaltijoiden selvittämisessä ja tavoittamisessa lisensiointia varten ruokki</w:t>
      </w:r>
      <w:r w:rsidR="006C44C2">
        <w:rPr>
          <w:szCs w:val="20"/>
        </w:rPr>
        <w:t>vat</w:t>
      </w:r>
      <w:r w:rsidR="008269B5" w:rsidRPr="00BC04AF">
        <w:rPr>
          <w:szCs w:val="20"/>
        </w:rPr>
        <w:t xml:space="preserve"> luvatonta </w:t>
      </w:r>
      <w:r w:rsidR="008269B5" w:rsidRPr="00BC04AF">
        <w:rPr>
          <w:szCs w:val="20"/>
        </w:rPr>
        <w:lastRenderedPageBreak/>
        <w:t>käyttöä</w:t>
      </w:r>
      <w:r w:rsidR="007A4401" w:rsidRPr="00BC04AF">
        <w:rPr>
          <w:szCs w:val="20"/>
        </w:rPr>
        <w:t xml:space="preserve"> ja piratismia</w:t>
      </w:r>
      <w:r w:rsidR="008269B5" w:rsidRPr="00BC04AF">
        <w:rPr>
          <w:szCs w:val="20"/>
        </w:rPr>
        <w:t>. Tekijänoikeusjärjestelmän toimivuus edellyttää</w:t>
      </w:r>
      <w:r w:rsidR="00315281" w:rsidRPr="00BC04AF">
        <w:rPr>
          <w:szCs w:val="20"/>
        </w:rPr>
        <w:t>kin</w:t>
      </w:r>
      <w:r w:rsidR="008269B5" w:rsidRPr="00BC04AF">
        <w:rPr>
          <w:szCs w:val="20"/>
        </w:rPr>
        <w:t xml:space="preserve"> toimenpiteitä myös oikeudenhaltijoilta</w:t>
      </w:r>
      <w:r w:rsidR="00E37A20">
        <w:rPr>
          <w:szCs w:val="20"/>
        </w:rPr>
        <w:t xml:space="preserve"> itseltään</w:t>
      </w:r>
      <w:r w:rsidR="008269B5" w:rsidRPr="00BC04AF">
        <w:rPr>
          <w:szCs w:val="20"/>
        </w:rPr>
        <w:t xml:space="preserve"> lisensoinnin mahdollistamiseksi. </w:t>
      </w:r>
    </w:p>
    <w:p w14:paraId="5EB76223" w14:textId="77777777" w:rsidR="008269B5" w:rsidRPr="00BC04AF" w:rsidRDefault="008269B5" w:rsidP="008269B5">
      <w:pPr>
        <w:spacing w:after="0" w:line="240" w:lineRule="auto"/>
        <w:ind w:left="1080"/>
        <w:rPr>
          <w:szCs w:val="20"/>
        </w:rPr>
      </w:pPr>
    </w:p>
    <w:p w14:paraId="484383B1" w14:textId="7FEF4B10" w:rsidR="00424675" w:rsidRDefault="0062676C" w:rsidP="008269B5">
      <w:pPr>
        <w:spacing w:after="0" w:line="240" w:lineRule="auto"/>
        <w:ind w:left="1080"/>
        <w:rPr>
          <w:szCs w:val="20"/>
        </w:rPr>
      </w:pPr>
      <w:r w:rsidRPr="00BC04AF">
        <w:rPr>
          <w:szCs w:val="20"/>
        </w:rPr>
        <w:t>Tietojen lisääminen teoskappaleisiin</w:t>
      </w:r>
      <w:r w:rsidRPr="00BC04AF" w:rsidDel="0062676C">
        <w:rPr>
          <w:szCs w:val="20"/>
        </w:rPr>
        <w:t xml:space="preserve"> </w:t>
      </w:r>
      <w:r w:rsidRPr="00BC04AF">
        <w:rPr>
          <w:szCs w:val="20"/>
        </w:rPr>
        <w:t>t</w:t>
      </w:r>
      <w:r w:rsidR="008269B5" w:rsidRPr="00BC04AF">
        <w:rPr>
          <w:szCs w:val="20"/>
        </w:rPr>
        <w:t>eo</w:t>
      </w:r>
      <w:r w:rsidRPr="00BC04AF">
        <w:rPr>
          <w:szCs w:val="20"/>
        </w:rPr>
        <w:t xml:space="preserve">ksesta ja </w:t>
      </w:r>
      <w:r w:rsidR="00FE2BB3" w:rsidRPr="00BC04AF">
        <w:rPr>
          <w:szCs w:val="20"/>
        </w:rPr>
        <w:t xml:space="preserve">sen </w:t>
      </w:r>
      <w:r w:rsidR="008269B5" w:rsidRPr="00BC04AF">
        <w:rPr>
          <w:szCs w:val="20"/>
        </w:rPr>
        <w:t>tekijöi</w:t>
      </w:r>
      <w:r w:rsidRPr="00BC04AF">
        <w:rPr>
          <w:szCs w:val="20"/>
        </w:rPr>
        <w:t>stä</w:t>
      </w:r>
      <w:r w:rsidR="008269B5" w:rsidRPr="00BC04AF">
        <w:rPr>
          <w:szCs w:val="20"/>
        </w:rPr>
        <w:t xml:space="preserve"> tulisi t</w:t>
      </w:r>
      <w:r w:rsidR="006C44C2">
        <w:rPr>
          <w:szCs w:val="20"/>
        </w:rPr>
        <w:t>ehdä</w:t>
      </w:r>
      <w:r w:rsidR="008269B5" w:rsidRPr="00BC04AF">
        <w:rPr>
          <w:szCs w:val="20"/>
        </w:rPr>
        <w:t xml:space="preserve"> ennen teoksen julkaisemista. Luovan työn tekijöitä o</w:t>
      </w:r>
      <w:r w:rsidR="006E6EFD" w:rsidRPr="00BC04AF">
        <w:rPr>
          <w:szCs w:val="20"/>
        </w:rPr>
        <w:t>lisi</w:t>
      </w:r>
      <w:r w:rsidR="008269B5" w:rsidRPr="00BC04AF">
        <w:rPr>
          <w:szCs w:val="20"/>
        </w:rPr>
        <w:t xml:space="preserve"> koulutettava</w:t>
      </w:r>
      <w:r w:rsidR="006422D2" w:rsidRPr="006422D2">
        <w:t xml:space="preserve"> </w:t>
      </w:r>
      <w:r w:rsidR="006422D2" w:rsidRPr="006422D2">
        <w:rPr>
          <w:szCs w:val="20"/>
        </w:rPr>
        <w:t>itse käyttämään ja vaatimaan tuottajia ja kustantajia käyttämään</w:t>
      </w:r>
      <w:r w:rsidR="006E6EFD" w:rsidRPr="00BC04AF">
        <w:rPr>
          <w:szCs w:val="20"/>
        </w:rPr>
        <w:t xml:space="preserve"> </w:t>
      </w:r>
      <w:r w:rsidR="006422D2">
        <w:rPr>
          <w:szCs w:val="20"/>
        </w:rPr>
        <w:t>t</w:t>
      </w:r>
      <w:r w:rsidR="008269B5" w:rsidRPr="00BC04AF">
        <w:rPr>
          <w:szCs w:val="20"/>
        </w:rPr>
        <w:t>eos- ja tekijätiedon merkitsemisen ja vahvistamisen mekanisme</w:t>
      </w:r>
      <w:r w:rsidR="006E6EFD" w:rsidRPr="00BC04AF">
        <w:rPr>
          <w:szCs w:val="20"/>
        </w:rPr>
        <w:t>ja</w:t>
      </w:r>
      <w:r w:rsidR="008269B5" w:rsidRPr="00BC04AF">
        <w:rPr>
          <w:szCs w:val="20"/>
        </w:rPr>
        <w:t xml:space="preserve">. </w:t>
      </w:r>
      <w:r w:rsidR="00424675">
        <w:rPr>
          <w:szCs w:val="20"/>
        </w:rPr>
        <w:t>Nykytilan selvittäminen metatiedon merkitsemisen käytänn</w:t>
      </w:r>
      <w:r w:rsidR="00CD77C3">
        <w:rPr>
          <w:szCs w:val="20"/>
        </w:rPr>
        <w:t>ö</w:t>
      </w:r>
      <w:r w:rsidR="00424675">
        <w:rPr>
          <w:szCs w:val="20"/>
        </w:rPr>
        <w:t>istä eri puolella EU:ta</w:t>
      </w:r>
      <w:r w:rsidR="00BA4182">
        <w:rPr>
          <w:szCs w:val="20"/>
        </w:rPr>
        <w:t xml:space="preserve"> ja yhteisten käytäntöjen, metadatastandardien ja järjestelmien luominen</w:t>
      </w:r>
      <w:r w:rsidR="00424675">
        <w:rPr>
          <w:szCs w:val="20"/>
        </w:rPr>
        <w:t xml:space="preserve"> edellyttä</w:t>
      </w:r>
      <w:r w:rsidR="00BA4182">
        <w:rPr>
          <w:szCs w:val="20"/>
        </w:rPr>
        <w:t>vät</w:t>
      </w:r>
      <w:r w:rsidR="00424675">
        <w:rPr>
          <w:szCs w:val="20"/>
        </w:rPr>
        <w:t xml:space="preserve"> </w:t>
      </w:r>
      <w:r w:rsidR="00BA4182">
        <w:rPr>
          <w:szCs w:val="20"/>
        </w:rPr>
        <w:t xml:space="preserve">EU:n </w:t>
      </w:r>
      <w:r w:rsidR="00424675">
        <w:rPr>
          <w:szCs w:val="20"/>
        </w:rPr>
        <w:t xml:space="preserve">rahoitusta. </w:t>
      </w:r>
    </w:p>
    <w:p w14:paraId="2144FE2B" w14:textId="77777777" w:rsidR="00424675" w:rsidRDefault="00424675" w:rsidP="008269B5">
      <w:pPr>
        <w:spacing w:after="0" w:line="240" w:lineRule="auto"/>
        <w:ind w:left="1080"/>
        <w:rPr>
          <w:szCs w:val="20"/>
        </w:rPr>
      </w:pPr>
    </w:p>
    <w:p w14:paraId="525CF41C" w14:textId="3F6A57DE" w:rsidR="0066780C" w:rsidRDefault="00424675" w:rsidP="00424675">
      <w:pPr>
        <w:spacing w:after="0" w:line="240" w:lineRule="auto"/>
        <w:ind w:left="1080"/>
        <w:rPr>
          <w:szCs w:val="20"/>
        </w:rPr>
      </w:pPr>
      <w:r>
        <w:rPr>
          <w:szCs w:val="20"/>
        </w:rPr>
        <w:t xml:space="preserve">Myös olemassa olevien tietokantojen sisältöjen avoimuus </w:t>
      </w:r>
      <w:r w:rsidR="00B31BFC">
        <w:rPr>
          <w:szCs w:val="20"/>
        </w:rPr>
        <w:t xml:space="preserve">ja läpinäkyvyys </w:t>
      </w:r>
      <w:r w:rsidR="0066780C">
        <w:rPr>
          <w:szCs w:val="20"/>
        </w:rPr>
        <w:t>on</w:t>
      </w:r>
      <w:r w:rsidR="00E37A20">
        <w:rPr>
          <w:szCs w:val="20"/>
        </w:rPr>
        <w:t xml:space="preserve"> tärkeää</w:t>
      </w:r>
      <w:r w:rsidR="0066780C">
        <w:rPr>
          <w:szCs w:val="20"/>
        </w:rPr>
        <w:t xml:space="preserve">. Jotta tekijänoikeuden infrastruktuuri tukisi teosten käyttöä ja lisensiointia parhaalla mahdollisella tavalla, </w:t>
      </w:r>
      <w:r w:rsidR="008269B5" w:rsidRPr="00BC04AF">
        <w:rPr>
          <w:szCs w:val="20"/>
        </w:rPr>
        <w:t>teo</w:t>
      </w:r>
      <w:r w:rsidR="0066780C">
        <w:rPr>
          <w:szCs w:val="20"/>
        </w:rPr>
        <w:t>ksen teos</w:t>
      </w:r>
      <w:r w:rsidR="008269B5" w:rsidRPr="00BC04AF">
        <w:rPr>
          <w:szCs w:val="20"/>
        </w:rPr>
        <w:t>- ja tekijätie</w:t>
      </w:r>
      <w:r w:rsidR="00315281" w:rsidRPr="00BC04AF">
        <w:rPr>
          <w:szCs w:val="20"/>
        </w:rPr>
        <w:t>dot</w:t>
      </w:r>
      <w:r w:rsidR="008269B5" w:rsidRPr="00BC04AF">
        <w:rPr>
          <w:szCs w:val="20"/>
        </w:rPr>
        <w:t xml:space="preserve"> </w:t>
      </w:r>
      <w:r w:rsidR="001624AB">
        <w:rPr>
          <w:szCs w:val="20"/>
        </w:rPr>
        <w:t xml:space="preserve">olisi </w:t>
      </w:r>
      <w:r w:rsidR="008269B5" w:rsidRPr="00BC04AF">
        <w:rPr>
          <w:szCs w:val="20"/>
        </w:rPr>
        <w:t xml:space="preserve">voitava </w:t>
      </w:r>
      <w:r w:rsidR="00EC6458" w:rsidRPr="00BC04AF">
        <w:rPr>
          <w:szCs w:val="20"/>
        </w:rPr>
        <w:t>varmentaa</w:t>
      </w:r>
      <w:r w:rsidR="008269B5" w:rsidRPr="00BC04AF">
        <w:rPr>
          <w:szCs w:val="20"/>
        </w:rPr>
        <w:t xml:space="preserve"> yhteis</w:t>
      </w:r>
      <w:r w:rsidR="00CE0D5B" w:rsidRPr="00BC04AF">
        <w:rPr>
          <w:szCs w:val="20"/>
        </w:rPr>
        <w:t>ten käytäntöjen kautta.</w:t>
      </w:r>
    </w:p>
    <w:p w14:paraId="6597009A" w14:textId="77777777" w:rsidR="00CD77C3" w:rsidRDefault="00CD77C3" w:rsidP="00424675">
      <w:pPr>
        <w:spacing w:after="0" w:line="240" w:lineRule="auto"/>
        <w:ind w:left="1080"/>
        <w:rPr>
          <w:szCs w:val="20"/>
        </w:rPr>
      </w:pPr>
    </w:p>
    <w:p w14:paraId="0CFFCAAC" w14:textId="24868ADA" w:rsidR="00A46EA1" w:rsidRDefault="0066780C" w:rsidP="005C0B93">
      <w:pPr>
        <w:spacing w:after="0" w:line="240" w:lineRule="auto"/>
        <w:ind w:left="1080"/>
        <w:rPr>
          <w:szCs w:val="20"/>
        </w:rPr>
      </w:pPr>
      <w:r>
        <w:rPr>
          <w:szCs w:val="20"/>
        </w:rPr>
        <w:t>Tekijänoikeuden syntymisen edellytykseksi ei voida asettaa muodollisuu</w:t>
      </w:r>
      <w:r w:rsidR="007221E9">
        <w:rPr>
          <w:szCs w:val="20"/>
        </w:rPr>
        <w:t>ksia, kuten rekisteröintiä</w:t>
      </w:r>
      <w:r>
        <w:rPr>
          <w:szCs w:val="20"/>
        </w:rPr>
        <w:t xml:space="preserve">. </w:t>
      </w:r>
      <w:r w:rsidR="00160207">
        <w:rPr>
          <w:szCs w:val="20"/>
        </w:rPr>
        <w:t>Tekijänoikeusjärjestelmän toimivuuden kehittämisessä</w:t>
      </w:r>
      <w:r>
        <w:rPr>
          <w:szCs w:val="20"/>
        </w:rPr>
        <w:t xml:space="preserve"> tulisi </w:t>
      </w:r>
      <w:r w:rsidR="00160207">
        <w:rPr>
          <w:szCs w:val="20"/>
        </w:rPr>
        <w:t>kuitenkin arvioitavaksi se</w:t>
      </w:r>
      <w:r w:rsidR="0085561F" w:rsidRPr="00BC04AF">
        <w:rPr>
          <w:szCs w:val="20"/>
        </w:rPr>
        <w:t>,</w:t>
      </w:r>
      <w:r w:rsidR="00FE2BB3" w:rsidRPr="00BC04AF">
        <w:rPr>
          <w:szCs w:val="20"/>
        </w:rPr>
        <w:t xml:space="preserve"> olisiko</w:t>
      </w:r>
      <w:r w:rsidR="006422D2" w:rsidRPr="006422D2">
        <w:t xml:space="preserve"> </w:t>
      </w:r>
      <w:r w:rsidR="006422D2" w:rsidRPr="006422D2">
        <w:rPr>
          <w:szCs w:val="20"/>
        </w:rPr>
        <w:t>teosten vapaaehtoisten rekisteröintijärjestelmien perustaminen ja käyttäminen</w:t>
      </w:r>
      <w:r w:rsidR="006B6DA6">
        <w:rPr>
          <w:szCs w:val="20"/>
        </w:rPr>
        <w:t xml:space="preserve"> ja v</w:t>
      </w:r>
      <w:r w:rsidR="00CF1412" w:rsidRPr="00BC04AF">
        <w:rPr>
          <w:szCs w:val="20"/>
        </w:rPr>
        <w:t>oisiko se esimerkiksi aiempaa paremmin edistää</w:t>
      </w:r>
      <w:r w:rsidR="008269B5" w:rsidRPr="00BC04AF">
        <w:rPr>
          <w:szCs w:val="20"/>
        </w:rPr>
        <w:t xml:space="preserve"> tekijänoikeuksien käyttämis</w:t>
      </w:r>
      <w:r w:rsidR="00CF1412" w:rsidRPr="00BC04AF">
        <w:rPr>
          <w:szCs w:val="20"/>
        </w:rPr>
        <w:t>tä</w:t>
      </w:r>
      <w:r w:rsidR="008269B5" w:rsidRPr="00BC04AF">
        <w:rPr>
          <w:szCs w:val="20"/>
        </w:rPr>
        <w:t xml:space="preserve"> vakuutena ja </w:t>
      </w:r>
      <w:r w:rsidR="00CF1412" w:rsidRPr="00BC04AF">
        <w:rPr>
          <w:szCs w:val="20"/>
        </w:rPr>
        <w:t>muita</w:t>
      </w:r>
      <w:r w:rsidR="008269B5" w:rsidRPr="00BC04AF">
        <w:rPr>
          <w:szCs w:val="20"/>
        </w:rPr>
        <w:t xml:space="preserve"> luovien alojen rahoitusjärjestelyjä. </w:t>
      </w:r>
    </w:p>
    <w:p w14:paraId="719A9837" w14:textId="77777777" w:rsidR="00A46EA1" w:rsidRDefault="00A46EA1" w:rsidP="005C0B93">
      <w:pPr>
        <w:spacing w:after="0" w:line="240" w:lineRule="auto"/>
        <w:ind w:left="1080"/>
        <w:rPr>
          <w:szCs w:val="20"/>
        </w:rPr>
      </w:pPr>
    </w:p>
    <w:p w14:paraId="7B250433" w14:textId="6D910A1E" w:rsidR="008269B5" w:rsidRPr="00BC04AF" w:rsidRDefault="00EC44FE" w:rsidP="005C0B93">
      <w:pPr>
        <w:spacing w:after="0" w:line="240" w:lineRule="auto"/>
        <w:ind w:left="1080"/>
        <w:rPr>
          <w:szCs w:val="20"/>
        </w:rPr>
      </w:pPr>
      <w:r w:rsidRPr="00BC04AF">
        <w:rPr>
          <w:szCs w:val="20"/>
        </w:rPr>
        <w:t>T</w:t>
      </w:r>
      <w:r w:rsidR="008269B5" w:rsidRPr="00BC04AF">
        <w:rPr>
          <w:szCs w:val="20"/>
        </w:rPr>
        <w:t>eos- ja tekijätietojärjestelmä</w:t>
      </w:r>
      <w:r w:rsidRPr="00BC04AF">
        <w:rPr>
          <w:szCs w:val="20"/>
        </w:rPr>
        <w:t>n</w:t>
      </w:r>
      <w:r w:rsidR="008269B5" w:rsidRPr="00BC04AF">
        <w:rPr>
          <w:szCs w:val="20"/>
        </w:rPr>
        <w:t xml:space="preserve"> </w:t>
      </w:r>
      <w:r w:rsidRPr="00BC04AF">
        <w:rPr>
          <w:szCs w:val="20"/>
        </w:rPr>
        <w:t>tu</w:t>
      </w:r>
      <w:r w:rsidR="008269B5" w:rsidRPr="00BC04AF">
        <w:rPr>
          <w:szCs w:val="20"/>
        </w:rPr>
        <w:t>lisi</w:t>
      </w:r>
      <w:r w:rsidRPr="00BC04AF">
        <w:rPr>
          <w:szCs w:val="20"/>
        </w:rPr>
        <w:t xml:space="preserve"> olla</w:t>
      </w:r>
      <w:r w:rsidR="008269B5" w:rsidRPr="00BC04AF">
        <w:rPr>
          <w:szCs w:val="20"/>
        </w:rPr>
        <w:t xml:space="preserve"> jatkuvasti päivittyvä, jolloin oikeuksien siirtäminen päivittyisi </w:t>
      </w:r>
      <w:r w:rsidR="00853B07" w:rsidRPr="00BC04AF">
        <w:rPr>
          <w:szCs w:val="20"/>
        </w:rPr>
        <w:t xml:space="preserve">viipymättä </w:t>
      </w:r>
      <w:r w:rsidR="008269B5" w:rsidRPr="00BC04AF">
        <w:rPr>
          <w:szCs w:val="20"/>
        </w:rPr>
        <w:t>kaikkialle teos- ja tekijätiet</w:t>
      </w:r>
      <w:r w:rsidRPr="00BC04AF">
        <w:rPr>
          <w:szCs w:val="20"/>
        </w:rPr>
        <w:t>o</w:t>
      </w:r>
      <w:r w:rsidR="008269B5" w:rsidRPr="00BC04AF">
        <w:rPr>
          <w:szCs w:val="20"/>
        </w:rPr>
        <w:t xml:space="preserve">rekistereihin. </w:t>
      </w:r>
      <w:r w:rsidR="004C3EC1">
        <w:t xml:space="preserve">Myös </w:t>
      </w:r>
      <w:r w:rsidR="00130059">
        <w:t>jo julkaistujen teosten teos- ja tekijätiedot</w:t>
      </w:r>
      <w:r w:rsidR="004C3EC1">
        <w:t xml:space="preserve"> tulisi saattaa ajan tasalle</w:t>
      </w:r>
      <w:r w:rsidR="008269B5" w:rsidRPr="00BC04AF">
        <w:rPr>
          <w:szCs w:val="20"/>
        </w:rPr>
        <w:t>. Esimerkiksi musiikin alalla on vaikeaa löytää teoksen oikeudenhaltijoita lukuisten</w:t>
      </w:r>
      <w:r w:rsidRPr="00BC04AF">
        <w:rPr>
          <w:szCs w:val="20"/>
        </w:rPr>
        <w:t xml:space="preserve"> musiikkikustantajien</w:t>
      </w:r>
      <w:r w:rsidR="008269B5" w:rsidRPr="00BC04AF">
        <w:rPr>
          <w:szCs w:val="20"/>
        </w:rPr>
        <w:t xml:space="preserve"> fuusioiden </w:t>
      </w:r>
      <w:r w:rsidR="00CA4167">
        <w:rPr>
          <w:szCs w:val="20"/>
        </w:rPr>
        <w:t xml:space="preserve">ja teoskatalogien myyntien </w:t>
      </w:r>
      <w:r w:rsidR="008269B5" w:rsidRPr="00BC04AF">
        <w:rPr>
          <w:szCs w:val="20"/>
        </w:rPr>
        <w:t>seurauksena.</w:t>
      </w:r>
    </w:p>
    <w:p w14:paraId="561F08D8" w14:textId="77777777" w:rsidR="00945BB8" w:rsidRPr="00BC04AF" w:rsidRDefault="00945BB8" w:rsidP="008269B5">
      <w:pPr>
        <w:spacing w:after="0" w:line="240" w:lineRule="auto"/>
        <w:ind w:left="1080"/>
        <w:rPr>
          <w:szCs w:val="20"/>
        </w:rPr>
      </w:pPr>
    </w:p>
    <w:p w14:paraId="7FA32B18" w14:textId="6FC0AC85" w:rsidR="009C4A5B" w:rsidRPr="00BC04AF" w:rsidRDefault="00A46EA1" w:rsidP="009C4A5B">
      <w:pPr>
        <w:spacing w:after="0" w:line="240" w:lineRule="auto"/>
        <w:ind w:left="1080"/>
        <w:rPr>
          <w:szCs w:val="20"/>
        </w:rPr>
      </w:pPr>
      <w:r>
        <w:rPr>
          <w:szCs w:val="20"/>
        </w:rPr>
        <w:t xml:space="preserve">Suomen </w:t>
      </w:r>
      <w:r w:rsidR="00945BB8" w:rsidRPr="00BC04AF">
        <w:rPr>
          <w:szCs w:val="20"/>
        </w:rPr>
        <w:t>puheenjohtajuuskaudella</w:t>
      </w:r>
      <w:r w:rsidR="00C073B8">
        <w:rPr>
          <w:szCs w:val="20"/>
        </w:rPr>
        <w:t xml:space="preserve"> edistetään edellä kuvattua tavoitetta seuraavasti:</w:t>
      </w:r>
    </w:p>
    <w:p w14:paraId="31B935C0" w14:textId="742B4BFC" w:rsidR="009C4A5B" w:rsidRDefault="009C4A5B" w:rsidP="009C4A5B">
      <w:pPr>
        <w:spacing w:after="0" w:line="240" w:lineRule="auto"/>
        <w:ind w:left="1080"/>
        <w:rPr>
          <w:sz w:val="20"/>
          <w:szCs w:val="20"/>
        </w:rPr>
      </w:pPr>
    </w:p>
    <w:p w14:paraId="5F9DCB76" w14:textId="77777777" w:rsidR="00D75021" w:rsidRDefault="00D75021" w:rsidP="00D75021">
      <w:pPr>
        <w:spacing w:after="0" w:line="240" w:lineRule="auto"/>
        <w:ind w:left="1080"/>
        <w:rPr>
          <w:sz w:val="20"/>
          <w:szCs w:val="20"/>
        </w:rPr>
      </w:pPr>
    </w:p>
    <w:p w14:paraId="43934D07" w14:textId="77777777" w:rsidR="00D75021" w:rsidRPr="00A46EA1" w:rsidRDefault="00D75021" w:rsidP="00D75021">
      <w:pPr>
        <w:pStyle w:val="Luettelokappale"/>
        <w:numPr>
          <w:ilvl w:val="0"/>
          <w:numId w:val="6"/>
        </w:numPr>
        <w:spacing w:after="0" w:line="240" w:lineRule="auto"/>
        <w:rPr>
          <w:sz w:val="20"/>
          <w:szCs w:val="20"/>
          <w:u w:val="single"/>
        </w:rPr>
      </w:pPr>
      <w:r w:rsidRPr="00A46EA1">
        <w:rPr>
          <w:u w:val="single"/>
        </w:rPr>
        <w:t xml:space="preserve">Teos- ja tekijätietojen laadun varmistaminen ja saatavuus EU-tasolla. </w:t>
      </w:r>
    </w:p>
    <w:p w14:paraId="04FED33F" w14:textId="77777777" w:rsidR="00D75021" w:rsidRDefault="00D75021" w:rsidP="00D75021">
      <w:pPr>
        <w:pStyle w:val="Yltunniste"/>
        <w:ind w:left="1080"/>
        <w:rPr>
          <w:i/>
        </w:rPr>
      </w:pPr>
    </w:p>
    <w:p w14:paraId="3EFAD939" w14:textId="71DF8FAF" w:rsidR="00D75021" w:rsidRDefault="00D75021" w:rsidP="00D75021">
      <w:pPr>
        <w:pStyle w:val="Yltunniste"/>
        <w:ind w:left="1080"/>
      </w:pPr>
      <w:r w:rsidRPr="00CD77C3">
        <w:t>Suomi pyrkii yhteistyössä komission kanssa varmistamaan EU-tasoista rahoitusta Digital Europe - ohjelmasta teos- ja tekijätietojen laadun varmistamiseen</w:t>
      </w:r>
      <w:r w:rsidR="006C44C2">
        <w:t>. T</w:t>
      </w:r>
      <w:r w:rsidRPr="00CD77C3">
        <w:t>avoitteena on</w:t>
      </w:r>
      <w:r w:rsidR="00121BB8">
        <w:t xml:space="preserve"> myös</w:t>
      </w:r>
      <w:r w:rsidRPr="00CD77C3">
        <w:t xml:space="preserve"> EU-taso</w:t>
      </w:r>
      <w:r w:rsidR="00BE0323">
        <w:t>lla</w:t>
      </w:r>
      <w:r w:rsidRPr="00CD77C3">
        <w:t xml:space="preserve"> </w:t>
      </w:r>
      <w:r w:rsidR="001F6BFD">
        <w:t xml:space="preserve">kehitetty ja </w:t>
      </w:r>
      <w:r w:rsidR="00BE0323">
        <w:t xml:space="preserve">hajautetusti </w:t>
      </w:r>
      <w:r w:rsidR="001F6BFD">
        <w:t xml:space="preserve">hallinnoitu </w:t>
      </w:r>
      <w:r w:rsidRPr="00CD77C3">
        <w:t>teos- ja tekijätietohubi, jo</w:t>
      </w:r>
      <w:r w:rsidR="00861152">
        <w:t>sta</w:t>
      </w:r>
      <w:r w:rsidR="00E15357">
        <w:t xml:space="preserve"> </w:t>
      </w:r>
      <w:r w:rsidR="00861152">
        <w:t>saisi</w:t>
      </w:r>
      <w:r w:rsidRPr="00CD77C3">
        <w:t xml:space="preserve"> </w:t>
      </w:r>
      <w:r w:rsidR="0041525C">
        <w:t xml:space="preserve">nykyisissä </w:t>
      </w:r>
      <w:r w:rsidRPr="00CD77C3">
        <w:t>teos- ja tekijätietoa sisältäv</w:t>
      </w:r>
      <w:r w:rsidR="0041525C">
        <w:t>i</w:t>
      </w:r>
      <w:r w:rsidR="00861152">
        <w:t>ss</w:t>
      </w:r>
      <w:r w:rsidRPr="00CD77C3">
        <w:t>ä tietokann</w:t>
      </w:r>
      <w:r w:rsidR="0041525C">
        <w:t>oissa</w:t>
      </w:r>
      <w:r w:rsidRPr="00CD77C3">
        <w:t xml:space="preserve"> </w:t>
      </w:r>
      <w:r w:rsidR="0041525C">
        <w:t>olevia tieto</w:t>
      </w:r>
      <w:r w:rsidR="00BE0323">
        <w:t>j</w:t>
      </w:r>
      <w:r w:rsidR="00861152">
        <w:t>en</w:t>
      </w:r>
      <w:r w:rsidR="0041525C">
        <w:t xml:space="preserve"> </w:t>
      </w:r>
      <w:r w:rsidRPr="00CD77C3">
        <w:t>sekä mahdollist</w:t>
      </w:r>
      <w:r w:rsidR="00C93C5B">
        <w:t>en</w:t>
      </w:r>
      <w:r w:rsidRPr="00CD77C3">
        <w:t xml:space="preserve"> </w:t>
      </w:r>
      <w:r w:rsidR="0092584F">
        <w:t>uu</w:t>
      </w:r>
      <w:r w:rsidR="00C93C5B">
        <w:t>sien</w:t>
      </w:r>
      <w:r w:rsidRPr="00CD77C3">
        <w:t xml:space="preserve"> teos- ja tekijätietokan</w:t>
      </w:r>
      <w:r w:rsidR="00C93C5B">
        <w:t>tojen tie</w:t>
      </w:r>
      <w:r w:rsidR="00861152">
        <w:t>tojen avulla</w:t>
      </w:r>
      <w:r w:rsidRPr="00CD77C3">
        <w:t xml:space="preserve">. </w:t>
      </w:r>
      <w:r w:rsidR="00CF6C58">
        <w:t xml:space="preserve">Portaali voisi samalla toimia </w:t>
      </w:r>
      <w:r w:rsidR="009263CE">
        <w:t xml:space="preserve">alustana, jolta eurooppalainen sisältöä tarjotaan maailmalle. </w:t>
      </w:r>
    </w:p>
    <w:p w14:paraId="386C4888" w14:textId="77777777" w:rsidR="00D75021" w:rsidRPr="00A46EA1" w:rsidRDefault="00D75021" w:rsidP="00D75021">
      <w:pPr>
        <w:pStyle w:val="Yltunniste"/>
        <w:ind w:left="1080"/>
      </w:pPr>
    </w:p>
    <w:p w14:paraId="2D2767AB" w14:textId="77777777" w:rsidR="00D75021" w:rsidRPr="00D113F1" w:rsidRDefault="00D75021" w:rsidP="00D75021">
      <w:pPr>
        <w:pStyle w:val="Yltunniste"/>
        <w:numPr>
          <w:ilvl w:val="0"/>
          <w:numId w:val="6"/>
        </w:numPr>
        <w:rPr>
          <w:u w:val="single"/>
        </w:rPr>
      </w:pPr>
      <w:r w:rsidRPr="00D113F1">
        <w:rPr>
          <w:u w:val="single"/>
        </w:rPr>
        <w:t xml:space="preserve">Teos- ja tekijätietojen laadun varmistaminen ja saatavuus kansainvälisellä tasolla. </w:t>
      </w:r>
    </w:p>
    <w:p w14:paraId="5BC0D1ED" w14:textId="77777777" w:rsidR="00D75021" w:rsidRDefault="00D75021" w:rsidP="00D75021">
      <w:pPr>
        <w:pStyle w:val="Yltunniste"/>
        <w:ind w:left="1080"/>
      </w:pPr>
    </w:p>
    <w:p w14:paraId="0F4263E4" w14:textId="329C3611" w:rsidR="00D75021" w:rsidRPr="00777097" w:rsidRDefault="00D75021" w:rsidP="00D75021">
      <w:pPr>
        <w:pStyle w:val="Yltunniste"/>
        <w:ind w:left="1080"/>
        <w:rPr>
          <w:sz w:val="20"/>
        </w:rPr>
      </w:pPr>
      <w:r w:rsidRPr="00D113F1">
        <w:t xml:space="preserve">Suomi pyrkii yhdessä EU-maiden </w:t>
      </w:r>
      <w:r w:rsidR="00176154">
        <w:t xml:space="preserve">ja komission </w:t>
      </w:r>
      <w:r w:rsidRPr="00D113F1">
        <w:t xml:space="preserve">kanssa </w:t>
      </w:r>
      <w:r>
        <w:t>tukemaan</w:t>
      </w:r>
      <w:r w:rsidRPr="00D113F1">
        <w:t xml:space="preserve"> Maailman henkisen omaisuuden järjestön </w:t>
      </w:r>
      <w:r w:rsidR="00C71BCF">
        <w:t xml:space="preserve">WIPOn </w:t>
      </w:r>
      <w:r w:rsidR="00786925">
        <w:t xml:space="preserve">valmisteilla olevaa </w:t>
      </w:r>
      <w:r w:rsidRPr="00D113F1">
        <w:t>teollis</w:t>
      </w:r>
      <w:r>
        <w:t>- ja tekijän</w:t>
      </w:r>
      <w:r w:rsidRPr="00D113F1">
        <w:t>oikeuksien omistajuuden vahvistamiseen</w:t>
      </w:r>
      <w:r w:rsidR="00C856F4">
        <w:t xml:space="preserve"> keskitty</w:t>
      </w:r>
      <w:r w:rsidR="00C71BCF">
        <w:t>vää</w:t>
      </w:r>
      <w:r w:rsidR="00C856F4">
        <w:t xml:space="preserve"> metadatapalvelua (ns. WIPO time stamp</w:t>
      </w:r>
      <w:r w:rsidR="00C71BCF">
        <w:t xml:space="preserve"> </w:t>
      </w:r>
      <w:r w:rsidR="00C856F4">
        <w:t>-aloite</w:t>
      </w:r>
      <w:r>
        <w:t>) sekä strategiaa, jossa kehitetään IP-oikeusjärjestelmän kansainvälistä infrastruktuuria (”Coordination and Development of Global IP Infrastructure”)</w:t>
      </w:r>
      <w:r w:rsidRPr="00D113F1">
        <w:t xml:space="preserve">. Lisäksi tavoitteena on varmistaa rahoitusta teos- ja tekijätiedon laadun varmistamiselle </w:t>
      </w:r>
      <w:r>
        <w:t xml:space="preserve">tämän </w:t>
      </w:r>
      <w:r w:rsidRPr="00D113F1">
        <w:t xml:space="preserve">WIPOn </w:t>
      </w:r>
      <w:r>
        <w:t>strategisen tavoitteen alla</w:t>
      </w:r>
      <w:r w:rsidRPr="00777097">
        <w:rPr>
          <w:i/>
          <w:sz w:val="20"/>
        </w:rPr>
        <w:t>.</w:t>
      </w:r>
    </w:p>
    <w:p w14:paraId="00FEDFCC" w14:textId="77777777" w:rsidR="00D75021" w:rsidRDefault="00D75021" w:rsidP="00D75021">
      <w:pPr>
        <w:pStyle w:val="Yltunniste"/>
        <w:ind w:left="1080"/>
      </w:pPr>
    </w:p>
    <w:p w14:paraId="4CDC50E7" w14:textId="76CBA0DC" w:rsidR="00D75021" w:rsidRPr="00D113F1" w:rsidRDefault="00D75021" w:rsidP="00D75021">
      <w:pPr>
        <w:pStyle w:val="Yltunniste"/>
        <w:numPr>
          <w:ilvl w:val="0"/>
          <w:numId w:val="6"/>
        </w:numPr>
        <w:rPr>
          <w:u w:val="single"/>
        </w:rPr>
      </w:pPr>
      <w:r w:rsidRPr="00D113F1">
        <w:rPr>
          <w:u w:val="single"/>
        </w:rPr>
        <w:t>Suomen EU-pj-kaudella järjestettävä Datatalouskonferenssi (LVM, VM, OKM)</w:t>
      </w:r>
      <w:r w:rsidR="00121BB8">
        <w:rPr>
          <w:u w:val="single"/>
        </w:rPr>
        <w:t>.</w:t>
      </w:r>
    </w:p>
    <w:p w14:paraId="3B1885D0" w14:textId="77777777" w:rsidR="00D75021" w:rsidRPr="00777097" w:rsidRDefault="00D75021" w:rsidP="00D75021">
      <w:pPr>
        <w:spacing w:after="0" w:line="240" w:lineRule="auto"/>
        <w:ind w:left="1080"/>
        <w:rPr>
          <w:i/>
          <w:sz w:val="20"/>
          <w:szCs w:val="20"/>
          <w:u w:val="single"/>
        </w:rPr>
      </w:pPr>
    </w:p>
    <w:p w14:paraId="36F29664" w14:textId="70B4F4D7" w:rsidR="00D75021" w:rsidRDefault="00D75021" w:rsidP="00417155">
      <w:pPr>
        <w:spacing w:after="0" w:line="240" w:lineRule="auto"/>
        <w:ind w:left="1080"/>
        <w:rPr>
          <w:b/>
        </w:rPr>
      </w:pPr>
      <w:r w:rsidRPr="00D113F1">
        <w:rPr>
          <w:szCs w:val="20"/>
        </w:rPr>
        <w:t xml:space="preserve">Opetus- ja kulttuuriministeriö </w:t>
      </w:r>
      <w:r>
        <w:rPr>
          <w:szCs w:val="20"/>
        </w:rPr>
        <w:t>järjestää yhdessä</w:t>
      </w:r>
      <w:r w:rsidRPr="00D113F1">
        <w:rPr>
          <w:szCs w:val="20"/>
        </w:rPr>
        <w:t xml:space="preserve"> liikenne- ja viestintäministeriön ja valtiovarainministeriön </w:t>
      </w:r>
      <w:r>
        <w:rPr>
          <w:szCs w:val="20"/>
        </w:rPr>
        <w:t>kanssa</w:t>
      </w:r>
      <w:r w:rsidRPr="00D113F1">
        <w:rPr>
          <w:szCs w:val="20"/>
        </w:rPr>
        <w:t xml:space="preserve"> Datatalouskonferenssin marraskuussa 2019. Tekijänoikeudet ja </w:t>
      </w:r>
      <w:r w:rsidRPr="00D113F1">
        <w:rPr>
          <w:szCs w:val="20"/>
        </w:rPr>
        <w:lastRenderedPageBreak/>
        <w:t>sisältöala tuodaan tässä yhteydessä esiin tärkeänä osana EU:n digitaalisten sisämarkkinoiden ja luovien alojen kasvua. On välttämätöntä edistää tekijänoikeusjärjestelmän</w:t>
      </w:r>
      <w:r w:rsidR="00417155">
        <w:rPr>
          <w:szCs w:val="20"/>
        </w:rPr>
        <w:t xml:space="preserve"> toimivuutta</w:t>
      </w:r>
      <w:r w:rsidR="009263CE" w:rsidRPr="009263CE">
        <w:t xml:space="preserve"> </w:t>
      </w:r>
      <w:r w:rsidR="009263CE">
        <w:t>niin, että se parhaiten tukee myös datatalouden kehitystä</w:t>
      </w:r>
      <w:r w:rsidR="00D153BB">
        <w:t>.</w:t>
      </w:r>
      <w:r w:rsidR="00417155">
        <w:rPr>
          <w:szCs w:val="20"/>
        </w:rPr>
        <w:t xml:space="preserve"> </w:t>
      </w:r>
    </w:p>
    <w:p w14:paraId="3C0EE83A" w14:textId="22EFBF48" w:rsidR="00D75021" w:rsidRDefault="00D75021" w:rsidP="009C4A5B">
      <w:pPr>
        <w:spacing w:after="0" w:line="240" w:lineRule="auto"/>
        <w:ind w:left="1080"/>
        <w:rPr>
          <w:sz w:val="20"/>
          <w:szCs w:val="20"/>
        </w:rPr>
      </w:pPr>
    </w:p>
    <w:p w14:paraId="6289E833" w14:textId="77777777" w:rsidR="00D75021" w:rsidRDefault="00D75021" w:rsidP="009C4A5B">
      <w:pPr>
        <w:spacing w:after="0" w:line="240" w:lineRule="auto"/>
        <w:ind w:left="1080"/>
        <w:rPr>
          <w:sz w:val="20"/>
          <w:szCs w:val="20"/>
        </w:rPr>
      </w:pPr>
    </w:p>
    <w:p w14:paraId="2214B910" w14:textId="3DB07327" w:rsidR="0012632A" w:rsidRPr="0077540A" w:rsidRDefault="00AC5725" w:rsidP="0077540A">
      <w:pPr>
        <w:spacing w:after="0" w:line="240" w:lineRule="auto"/>
        <w:rPr>
          <w:sz w:val="20"/>
          <w:szCs w:val="20"/>
        </w:rPr>
      </w:pPr>
      <w:r>
        <w:rPr>
          <w:b/>
        </w:rPr>
        <w:t xml:space="preserve">2. </w:t>
      </w:r>
      <w:r w:rsidR="009C4A5B" w:rsidRPr="0077540A">
        <w:rPr>
          <w:b/>
        </w:rPr>
        <w:t>Maailman henkisen omaisuuden järjestö</w:t>
      </w:r>
      <w:r w:rsidR="00D533AE">
        <w:rPr>
          <w:b/>
        </w:rPr>
        <w:t>n</w:t>
      </w:r>
      <w:r w:rsidR="009C4A5B" w:rsidRPr="0077540A">
        <w:rPr>
          <w:b/>
        </w:rPr>
        <w:t xml:space="preserve"> WIPOn yleiskokouksessa </w:t>
      </w:r>
      <w:r w:rsidR="00D533AE" w:rsidRPr="0077540A">
        <w:rPr>
          <w:b/>
        </w:rPr>
        <w:t xml:space="preserve">ratkaistavaksi tulevat </w:t>
      </w:r>
      <w:r w:rsidR="009C4A5B" w:rsidRPr="0077540A">
        <w:rPr>
          <w:b/>
        </w:rPr>
        <w:t>tekijänoikeu</w:t>
      </w:r>
      <w:r w:rsidR="00D533AE">
        <w:rPr>
          <w:b/>
        </w:rPr>
        <w:t>k</w:t>
      </w:r>
      <w:r w:rsidR="009C4A5B" w:rsidRPr="0077540A">
        <w:rPr>
          <w:b/>
        </w:rPr>
        <w:t>siin liittyvät asiat</w:t>
      </w:r>
    </w:p>
    <w:p w14:paraId="6B54D011" w14:textId="77777777" w:rsidR="00553A5A" w:rsidRPr="00BA372B" w:rsidRDefault="00553A5A" w:rsidP="00553A5A">
      <w:pPr>
        <w:pStyle w:val="Luettelokappale"/>
        <w:rPr>
          <w:b/>
        </w:rPr>
      </w:pPr>
    </w:p>
    <w:p w14:paraId="481225C8" w14:textId="54538EA6" w:rsidR="00BA372B" w:rsidRPr="00553A5A" w:rsidRDefault="00E94BDE" w:rsidP="00553A5A">
      <w:pPr>
        <w:pStyle w:val="Luettelokappale"/>
        <w:numPr>
          <w:ilvl w:val="0"/>
          <w:numId w:val="7"/>
        </w:numPr>
        <w:rPr>
          <w:u w:val="single"/>
        </w:rPr>
      </w:pPr>
      <w:r w:rsidRPr="00553A5A">
        <w:rPr>
          <w:u w:val="single"/>
        </w:rPr>
        <w:t>L</w:t>
      </w:r>
      <w:r w:rsidR="00BA372B" w:rsidRPr="00553A5A">
        <w:rPr>
          <w:u w:val="single"/>
        </w:rPr>
        <w:t xml:space="preserve">ähettäjäyritysten suojaa koskevan sopimuksen </w:t>
      </w:r>
      <w:r w:rsidR="00560341">
        <w:rPr>
          <w:u w:val="single"/>
        </w:rPr>
        <w:t>jatko</w:t>
      </w:r>
      <w:r w:rsidR="00BA372B" w:rsidRPr="00553A5A">
        <w:rPr>
          <w:u w:val="single"/>
        </w:rPr>
        <w:t>neuvottel</w:t>
      </w:r>
      <w:r w:rsidRPr="00553A5A">
        <w:rPr>
          <w:u w:val="single"/>
        </w:rPr>
        <w:t>u</w:t>
      </w:r>
      <w:r w:rsidR="00560341">
        <w:rPr>
          <w:u w:val="single"/>
        </w:rPr>
        <w:t>t</w:t>
      </w:r>
    </w:p>
    <w:p w14:paraId="0567ED8E" w14:textId="1619CD45" w:rsidR="001556B4" w:rsidRPr="00D533AE" w:rsidRDefault="009C4A5B" w:rsidP="007623EC">
      <w:pPr>
        <w:pStyle w:val="Alatunniste"/>
        <w:tabs>
          <w:tab w:val="clear" w:pos="4819"/>
          <w:tab w:val="clear" w:pos="9638"/>
        </w:tabs>
        <w:spacing w:after="200" w:line="276" w:lineRule="auto"/>
        <w:ind w:left="720"/>
        <w:contextualSpacing/>
      </w:pPr>
      <w:r w:rsidRPr="00AC5725">
        <w:t xml:space="preserve">Tekijänoikeutta ja lähioikeuksia koskevan pysyvän komitean </w:t>
      </w:r>
      <w:r w:rsidRPr="00D533AE">
        <w:t>(SCCR)</w:t>
      </w:r>
      <w:r w:rsidR="00253572" w:rsidRPr="00D533AE">
        <w:t xml:space="preserve"> 38. kokous huhtikuussa 2019 </w:t>
      </w:r>
      <w:r w:rsidR="00FF62BE" w:rsidRPr="00D533AE">
        <w:t>hyväksyi puheenjohtajan suosituksen Suomen puheenjohtajuuskaude</w:t>
      </w:r>
      <w:r w:rsidR="00F614C6">
        <w:t>n aikana pidettävä</w:t>
      </w:r>
      <w:r w:rsidR="00FF62BE" w:rsidRPr="00D533AE">
        <w:t>lle WIPOn yleiskokoukse</w:t>
      </w:r>
      <w:r w:rsidR="00F614C6">
        <w:t>lle</w:t>
      </w:r>
      <w:r w:rsidR="00FF62BE" w:rsidRPr="00D533AE">
        <w:t xml:space="preserve"> 30.9</w:t>
      </w:r>
      <w:r w:rsidR="00F614C6">
        <w:t>.</w:t>
      </w:r>
      <w:r w:rsidR="00FF62BE" w:rsidRPr="00D533AE">
        <w:t xml:space="preserve"> – 9.10.2019, jonka mukaan</w:t>
      </w:r>
      <w:r w:rsidR="007623EC" w:rsidRPr="00D533AE">
        <w:t xml:space="preserve">: </w:t>
      </w:r>
    </w:p>
    <w:p w14:paraId="4DAB9671" w14:textId="77777777" w:rsidR="001556B4" w:rsidRPr="00D533AE" w:rsidRDefault="001556B4" w:rsidP="007623EC">
      <w:pPr>
        <w:pStyle w:val="Alatunniste"/>
        <w:tabs>
          <w:tab w:val="clear" w:pos="4819"/>
          <w:tab w:val="clear" w:pos="9638"/>
        </w:tabs>
        <w:spacing w:after="200" w:line="276" w:lineRule="auto"/>
        <w:ind w:left="720"/>
        <w:contextualSpacing/>
      </w:pPr>
    </w:p>
    <w:p w14:paraId="228DF228" w14:textId="7F1116FB" w:rsidR="007623EC" w:rsidRPr="007623EC" w:rsidRDefault="007623EC" w:rsidP="001556B4">
      <w:pPr>
        <w:pStyle w:val="Alatunniste"/>
        <w:tabs>
          <w:tab w:val="clear" w:pos="4819"/>
          <w:tab w:val="clear" w:pos="9638"/>
        </w:tabs>
        <w:spacing w:after="200" w:line="276" w:lineRule="auto"/>
        <w:ind w:left="1888"/>
        <w:contextualSpacing/>
        <w:rPr>
          <w:lang w:val="en-US"/>
        </w:rPr>
      </w:pPr>
      <w:r w:rsidRPr="007623EC">
        <w:rPr>
          <w:i/>
          <w:lang w:val="en-US"/>
        </w:rPr>
        <w:t>”In view of the steady progress made in recent SCCR sessions, the GA invites the SCCR to continue its work towards convening a diplomatic conference for the adoption</w:t>
      </w:r>
      <w:r w:rsidRPr="007623EC">
        <w:rPr>
          <w:i/>
          <w:color w:val="FF0000"/>
          <w:lang w:val="en-US"/>
        </w:rPr>
        <w:t xml:space="preserve"> </w:t>
      </w:r>
      <w:r w:rsidRPr="007623EC">
        <w:rPr>
          <w:i/>
          <w:lang w:val="en-US"/>
        </w:rPr>
        <w:t>of a treaty on the protection of broadcasting organizations, aiming for the 2020/2021 biennium, subject to Member States reaching consensus in the SCCR on the fundamental issues, including specific scope, object of protection and rights to be granted.”</w:t>
      </w:r>
    </w:p>
    <w:p w14:paraId="69536010" w14:textId="5C16BAD5" w:rsidR="00FF62BE" w:rsidRDefault="007623EC" w:rsidP="00FF62BE">
      <w:pPr>
        <w:pStyle w:val="Luettelokappale"/>
      </w:pPr>
      <w:r>
        <w:t xml:space="preserve">Käytännössä tämä merkitsee sitä, että Suomen odotetaan </w:t>
      </w:r>
      <w:r w:rsidR="00C6123E">
        <w:t xml:space="preserve">puheenjohtajakaudella </w:t>
      </w:r>
      <w:r>
        <w:t xml:space="preserve">pyrkivän </w:t>
      </w:r>
      <w:r w:rsidR="00C6123E">
        <w:t>avustamaan sovun syntymisessä</w:t>
      </w:r>
      <w:r w:rsidR="00484F60">
        <w:t xml:space="preserve">. Itse </w:t>
      </w:r>
      <w:r w:rsidR="00253572">
        <w:t xml:space="preserve">päätös </w:t>
      </w:r>
      <w:r w:rsidR="00D35DAD">
        <w:t xml:space="preserve">diplomaattikonferenssin </w:t>
      </w:r>
      <w:r w:rsidR="008555BD">
        <w:t xml:space="preserve">koolle kutsumiseksi lähettäjäyritysten suojaa (Broadcasting treaty) koskevan sopimuksen tekemiseksi </w:t>
      </w:r>
      <w:r w:rsidR="00484F60">
        <w:t xml:space="preserve">voidaan tehdä aikaisintaan syyskuussa 2020 tai, mikäli tilanne niin vaatii, </w:t>
      </w:r>
      <w:r w:rsidR="00C6123E">
        <w:t>aikaisemmin</w:t>
      </w:r>
      <w:r w:rsidR="00484F60">
        <w:t xml:space="preserve">. </w:t>
      </w:r>
      <w:r w:rsidR="0068778B">
        <w:t>Varmuutta sovun syntymiselle ei vielä ole mutta vuosilukujen</w:t>
      </w:r>
      <w:r w:rsidR="00131478">
        <w:t xml:space="preserve"> kirjaami</w:t>
      </w:r>
      <w:r w:rsidR="00F614C6">
        <w:t>n</w:t>
      </w:r>
      <w:r w:rsidR="00131478">
        <w:t>en suositukseen ylläpitää viime vuonna alkanutta momentumia, jo</w:t>
      </w:r>
      <w:r w:rsidR="008B76D4">
        <w:t>ka oikein hyödynnettynä voisi viedä tämän asian ratkaistavaksi ja siten vähentää</w:t>
      </w:r>
      <w:r w:rsidR="00131478">
        <w:t xml:space="preserve"> WIPOn SCCR</w:t>
      </w:r>
      <w:r w:rsidR="008B76D4">
        <w:t>-komitean</w:t>
      </w:r>
      <w:r w:rsidR="00131478">
        <w:t xml:space="preserve"> </w:t>
      </w:r>
      <w:r w:rsidR="008B76D4">
        <w:t xml:space="preserve">käsiteltävänä olevien </w:t>
      </w:r>
      <w:r w:rsidR="00131478">
        <w:t>asioiden määrää.</w:t>
      </w:r>
    </w:p>
    <w:p w14:paraId="30CA7BA6" w14:textId="77777777" w:rsidR="00402471" w:rsidRPr="001556B4" w:rsidRDefault="00402471" w:rsidP="00FF62BE">
      <w:pPr>
        <w:pStyle w:val="Luettelokappale"/>
      </w:pPr>
    </w:p>
    <w:p w14:paraId="3D7CFA54" w14:textId="272BDA87" w:rsidR="00FF62BE" w:rsidRPr="00A56DCD" w:rsidRDefault="00A56DCD" w:rsidP="00FF62BE">
      <w:pPr>
        <w:pStyle w:val="Luettelokappale"/>
        <w:rPr>
          <w:i/>
          <w:u w:val="single"/>
        </w:rPr>
      </w:pPr>
      <w:r w:rsidRPr="00A56DCD">
        <w:rPr>
          <w:i/>
          <w:u w:val="single"/>
        </w:rPr>
        <w:t>Tausta</w:t>
      </w:r>
    </w:p>
    <w:p w14:paraId="3E3D8041" w14:textId="03115932" w:rsidR="00553A5A" w:rsidRDefault="00D35DAD" w:rsidP="00FF62BE">
      <w:pPr>
        <w:pStyle w:val="Luettelokappale"/>
      </w:pPr>
      <w:r>
        <w:t>Sopimus</w:t>
      </w:r>
      <w:r w:rsidR="00A47EF5">
        <w:t>neuvotteluissa</w:t>
      </w:r>
      <w:r>
        <w:t xml:space="preserve"> </w:t>
      </w:r>
      <w:r w:rsidR="00A47EF5">
        <w:t xml:space="preserve">päästiin </w:t>
      </w:r>
      <w:r>
        <w:t xml:space="preserve">pitkälle vuoteen 2007 </w:t>
      </w:r>
      <w:r w:rsidR="00A47EF5">
        <w:t xml:space="preserve">mennessä </w:t>
      </w:r>
      <w:r w:rsidR="00ED72A7">
        <w:t>Jukka Liedeksen johdolla</w:t>
      </w:r>
      <w:r w:rsidR="00A47EF5">
        <w:t>,</w:t>
      </w:r>
      <w:r w:rsidR="00ED72A7">
        <w:t xml:space="preserve"> </w:t>
      </w:r>
      <w:r>
        <w:t xml:space="preserve">mutta </w:t>
      </w:r>
      <w:r w:rsidR="00D40ADE">
        <w:t>itse diplomaattikonferenssia ei kuitenkaan järjestetty. Myöhemmin WIPO:n työ kaikilla normatiivisilla alueilla pysähtyi myös</w:t>
      </w:r>
      <w:r w:rsidR="00A47EF5">
        <w:t xml:space="preserve"> </w:t>
      </w:r>
      <w:r>
        <w:t xml:space="preserve">kehitysagendan mukanaan tuomien uusien </w:t>
      </w:r>
      <w:r w:rsidR="00ED72A7">
        <w:t xml:space="preserve">poliittisten paineiden </w:t>
      </w:r>
      <w:r>
        <w:t xml:space="preserve">vuoksi. Neuvottelut aloitettiin uudelleen 2012 ja </w:t>
      </w:r>
      <w:r w:rsidR="00724208">
        <w:t>neuvottelut ovat</w:t>
      </w:r>
      <w:r w:rsidR="00ED72A7">
        <w:t xml:space="preserve"> sen jälkeen</w:t>
      </w:r>
      <w:r w:rsidR="00724208">
        <w:t xml:space="preserve"> edenneet</w:t>
      </w:r>
      <w:r w:rsidR="006F04AE">
        <w:t xml:space="preserve"> hitaasti.</w:t>
      </w:r>
      <w:r w:rsidR="00866FF8">
        <w:t xml:space="preserve"> Keskeistä on ollut</w:t>
      </w:r>
      <w:r w:rsidR="00724208">
        <w:t xml:space="preserve"> </w:t>
      </w:r>
      <w:r w:rsidR="00ED72A7">
        <w:t>v</w:t>
      </w:r>
      <w:r w:rsidR="00866FF8">
        <w:t>armi</w:t>
      </w:r>
      <w:r w:rsidR="00BF1A5F">
        <w:t>staa, että sopimuksen sisältö kattaa</w:t>
      </w:r>
      <w:r w:rsidR="00866FF8">
        <w:t xml:space="preserve"> lähettäjäyritysten </w:t>
      </w:r>
      <w:r w:rsidR="00724208">
        <w:t xml:space="preserve">toiminnan kannalta </w:t>
      </w:r>
      <w:r w:rsidR="00BF1A5F">
        <w:t xml:space="preserve">välttämättömät suojan kohteet </w:t>
      </w:r>
      <w:r w:rsidR="00866FF8">
        <w:t>ja että se estää uusilla teknisillä tavoilla tapahtuvan</w:t>
      </w:r>
      <w:r w:rsidR="00724208">
        <w:t xml:space="preserve"> lähetysten</w:t>
      </w:r>
      <w:r w:rsidR="00866FF8">
        <w:t xml:space="preserve"> luvattoman käytön.</w:t>
      </w:r>
      <w:r w:rsidR="006F04AE">
        <w:t xml:space="preserve"> V</w:t>
      </w:r>
      <w:r>
        <w:t>iime vuonna Yhdysvallat ja Argentiina esitt</w:t>
      </w:r>
      <w:r w:rsidR="00ED72A7">
        <w:t>ivät</w:t>
      </w:r>
      <w:r w:rsidR="00D153BB">
        <w:t xml:space="preserve"> uusia tekstiehdotuksia</w:t>
      </w:r>
      <w:r w:rsidR="00CA7D9B">
        <w:t>,</w:t>
      </w:r>
      <w:r>
        <w:t xml:space="preserve"> </w:t>
      </w:r>
      <w:r w:rsidR="00CC48B5">
        <w:t xml:space="preserve">joilla muutamat keskeiset näkemyserot olisi mahdollista </w:t>
      </w:r>
      <w:r w:rsidR="00EC3AAC">
        <w:t xml:space="preserve">tasoittaa. </w:t>
      </w:r>
      <w:r w:rsidR="00824269">
        <w:t xml:space="preserve">EU </w:t>
      </w:r>
      <w:r w:rsidR="00ED72A7">
        <w:t>on ollut valmis jatkamaan neuvotteluja mutta on katsonut</w:t>
      </w:r>
      <w:r w:rsidR="00824269">
        <w:t>, että on edelleen keskityttävä parantamaan muotoiluja ja varmistettava, että kaikki sopimuksen osapuolet</w:t>
      </w:r>
      <w:r w:rsidR="0022420B">
        <w:t xml:space="preserve"> </w:t>
      </w:r>
      <w:r w:rsidR="0066775F">
        <w:t xml:space="preserve">tulevat </w:t>
      </w:r>
      <w:r w:rsidR="00824269">
        <w:t xml:space="preserve">riittävällä tavalla suojaamaan lähettäjäyrityksiä sopimuksen tavoitteiden mukaisesti. </w:t>
      </w:r>
      <w:r w:rsidR="00C7765F">
        <w:t xml:space="preserve">Keskustelut </w:t>
      </w:r>
      <w:r w:rsidR="00D40ADE">
        <w:t xml:space="preserve">ovat perustuneet </w:t>
      </w:r>
      <w:r w:rsidR="00824269">
        <w:t xml:space="preserve">SCCR:n puheenjohtajan Daren Tangin tekemään puheenjohtajan paperiin </w:t>
      </w:r>
      <w:r w:rsidR="00BF78B1">
        <w:t xml:space="preserve">suojan kohteesta ja </w:t>
      </w:r>
      <w:r w:rsidR="00CF6E83">
        <w:t xml:space="preserve">myönnettävistä </w:t>
      </w:r>
      <w:r w:rsidR="00BF78B1">
        <w:t>oikeuksista</w:t>
      </w:r>
      <w:r w:rsidR="00FD3E40">
        <w:t xml:space="preserve">, </w:t>
      </w:r>
      <w:r w:rsidR="00FD3E40" w:rsidRPr="00FD3E40">
        <w:t>Revised Consolidated Text on Definitions, Object of Protection, Rights to be Granted and Other Issues</w:t>
      </w:r>
      <w:r w:rsidR="00FD3E40">
        <w:t xml:space="preserve"> </w:t>
      </w:r>
      <w:r w:rsidR="00AE4936">
        <w:t>(</w:t>
      </w:r>
      <w:r w:rsidR="00FD3E40">
        <w:t>WIPO/SCCR/37/8)</w:t>
      </w:r>
      <w:r w:rsidR="00D70291">
        <w:t xml:space="preserve">. </w:t>
      </w:r>
      <w:r w:rsidR="00C7765F" w:rsidRPr="00C7765F">
        <w:rPr>
          <w:lang w:val="en-US"/>
        </w:rPr>
        <w:t xml:space="preserve">Lisäksi </w:t>
      </w:r>
      <w:r w:rsidR="00D40ADE">
        <w:rPr>
          <w:lang w:val="en-US"/>
        </w:rPr>
        <w:t>on käsitelty</w:t>
      </w:r>
      <w:r w:rsidR="00D40ADE" w:rsidRPr="00C7765F">
        <w:rPr>
          <w:lang w:val="en-US"/>
        </w:rPr>
        <w:t xml:space="preserve"> </w:t>
      </w:r>
      <w:r w:rsidR="00D70291" w:rsidRPr="00FF62BE">
        <w:rPr>
          <w:lang w:val="en-US"/>
        </w:rPr>
        <w:t>Yhdysvaltojen ja Argentiina</w:t>
      </w:r>
      <w:r w:rsidR="00CF6E83" w:rsidRPr="00FF62BE">
        <w:rPr>
          <w:lang w:val="en-US"/>
        </w:rPr>
        <w:t>n</w:t>
      </w:r>
      <w:r w:rsidR="00D70291" w:rsidRPr="00FF62BE">
        <w:rPr>
          <w:lang w:val="en-US"/>
        </w:rPr>
        <w:t xml:space="preserve"> ehdotuks</w:t>
      </w:r>
      <w:r w:rsidR="00C7765F">
        <w:rPr>
          <w:lang w:val="en-US"/>
        </w:rPr>
        <w:t>ia</w:t>
      </w:r>
      <w:r w:rsidR="00D70291" w:rsidRPr="00FF62BE">
        <w:rPr>
          <w:lang w:val="en-US"/>
        </w:rPr>
        <w:t xml:space="preserve"> Proposal of the United States of America on the Scope and Implementation of Rights, </w:t>
      </w:r>
      <w:r w:rsidR="00D70291" w:rsidRPr="00FF62BE">
        <w:rPr>
          <w:lang w:val="en-US"/>
        </w:rPr>
        <w:lastRenderedPageBreak/>
        <w:t xml:space="preserve">WIPO Draft Treaty on the Protection of Broadcasting Organizations (WIPO/SCCR/37/7) ja </w:t>
      </w:r>
      <w:r w:rsidR="008F1415" w:rsidRPr="00FF62BE">
        <w:rPr>
          <w:lang w:val="en-US"/>
        </w:rPr>
        <w:t>Proposal by the Delegation of Argentina (WIPO/SCCR/37/2).</w:t>
      </w:r>
      <w:r w:rsidR="005B51E5" w:rsidRPr="005B51E5">
        <w:rPr>
          <w:lang w:val="en-US"/>
        </w:rPr>
        <w:t xml:space="preserve"> </w:t>
      </w:r>
      <w:r w:rsidR="005B51E5" w:rsidRPr="005B51E5">
        <w:t>Asiakirjat löytyvät täältä</w:t>
      </w:r>
      <w:r w:rsidR="00A05D44">
        <w:t>:</w:t>
      </w:r>
      <w:r w:rsidR="00C7765F">
        <w:t xml:space="preserve"> </w:t>
      </w:r>
      <w:hyperlink r:id="rId7" w:history="1">
        <w:r w:rsidR="00C7765F" w:rsidRPr="00877552">
          <w:rPr>
            <w:rStyle w:val="Hyperlinkki"/>
          </w:rPr>
          <w:t>https://www.wipo.int/meetings/en/details.jsp?meeting_id=50418</w:t>
        </w:r>
      </w:hyperlink>
      <w:r w:rsidR="00C7765F">
        <w:t>.</w:t>
      </w:r>
    </w:p>
    <w:p w14:paraId="4B979420" w14:textId="77777777" w:rsidR="00CA7D9B" w:rsidRPr="005B51E5" w:rsidRDefault="00CA7D9B" w:rsidP="00FF62BE">
      <w:pPr>
        <w:pStyle w:val="Luettelokappale"/>
        <w:rPr>
          <w:b/>
        </w:rPr>
      </w:pPr>
    </w:p>
    <w:p w14:paraId="69EA634F" w14:textId="6D7E029F" w:rsidR="00361E6E" w:rsidRPr="008004B2" w:rsidRDefault="00361E6E" w:rsidP="00553A5A">
      <w:pPr>
        <w:pStyle w:val="Luettelokappale"/>
        <w:numPr>
          <w:ilvl w:val="0"/>
          <w:numId w:val="7"/>
        </w:numPr>
        <w:rPr>
          <w:b/>
          <w:u w:val="single"/>
        </w:rPr>
      </w:pPr>
      <w:r w:rsidRPr="008004B2">
        <w:rPr>
          <w:b/>
          <w:u w:val="single"/>
        </w:rPr>
        <w:t>WIPOn IGC-komitean jatko</w:t>
      </w:r>
    </w:p>
    <w:p w14:paraId="1389432D" w14:textId="77777777" w:rsidR="00553A5A" w:rsidRPr="00553A5A" w:rsidRDefault="00553A5A" w:rsidP="00553A5A">
      <w:pPr>
        <w:pStyle w:val="Luettelokappale"/>
        <w:rPr>
          <w:u w:val="single"/>
        </w:rPr>
      </w:pPr>
    </w:p>
    <w:p w14:paraId="008E8B55" w14:textId="54CC469C" w:rsidR="00CE1A5E" w:rsidRDefault="003B31A4" w:rsidP="00BA372B">
      <w:pPr>
        <w:pStyle w:val="Luettelokappale"/>
      </w:pPr>
      <w:r>
        <w:t xml:space="preserve">Suomen puheenjohtajuuskaudelle osuu vuodesta 2000 toimineen </w:t>
      </w:r>
      <w:r w:rsidR="00525141">
        <w:t xml:space="preserve">geenivarojen, perinnetiedon ja perinteisten kulttuuri-ilmausten suojaa koskevan </w:t>
      </w:r>
      <w:r>
        <w:t xml:space="preserve">hallitusten välisen komitean </w:t>
      </w:r>
      <w:r w:rsidR="00525141">
        <w:t xml:space="preserve">(IGC) </w:t>
      </w:r>
      <w:r>
        <w:t xml:space="preserve">mandaatin uusiminen. </w:t>
      </w:r>
      <w:r w:rsidR="00764CFE">
        <w:t>Mandaatti uudistetaa</w:t>
      </w:r>
      <w:r w:rsidR="00944D0A">
        <w:t xml:space="preserve">n WIPO:n yleiskokouksessa syys-lokakuussa. </w:t>
      </w:r>
      <w:r w:rsidR="00525141">
        <w:t xml:space="preserve">Yleensä mandaatti on ollut kahden vuoden mittainen. Muutama vuosi sitten </w:t>
      </w:r>
      <w:r w:rsidR="008C1980">
        <w:t>ehdotettiin</w:t>
      </w:r>
      <w:r w:rsidR="00525141">
        <w:t xml:space="preserve">, että komitea muutettaisiin pysyväksi komiteaksi, jonka työohjelmaa ei erikseen vahvistettaisi. </w:t>
      </w:r>
      <w:r w:rsidR="00722B9C">
        <w:t>Tämä ei saanut vastakaikua</w:t>
      </w:r>
      <w:r w:rsidR="00AA6BEA">
        <w:t>,</w:t>
      </w:r>
      <w:r w:rsidR="00722B9C">
        <w:t xml:space="preserve"> </w:t>
      </w:r>
      <w:r w:rsidR="00944D0A">
        <w:t>koska tämä</w:t>
      </w:r>
      <w:r w:rsidR="003B6DB9">
        <w:t>n</w:t>
      </w:r>
      <w:r w:rsidR="00944D0A">
        <w:t xml:space="preserve"> seurauksena</w:t>
      </w:r>
      <w:r w:rsidR="00AC5725">
        <w:t xml:space="preserve"> </w:t>
      </w:r>
      <w:r w:rsidR="00944D0A">
        <w:t xml:space="preserve">normatiiviseen </w:t>
      </w:r>
      <w:r w:rsidR="00722B9C">
        <w:t xml:space="preserve">työskentelyyn varattu aika todennäköisesti </w:t>
      </w:r>
      <w:r w:rsidR="000C1E36">
        <w:t>vähenisi</w:t>
      </w:r>
      <w:r w:rsidR="00300DFA">
        <w:t>,</w:t>
      </w:r>
      <w:r w:rsidR="000C1E36">
        <w:t xml:space="preserve"> </w:t>
      </w:r>
      <w:r w:rsidR="00300DFA">
        <w:t xml:space="preserve">mikä </w:t>
      </w:r>
      <w:r w:rsidR="000C1E36">
        <w:t>samalla</w:t>
      </w:r>
      <w:r w:rsidR="00155E69">
        <w:t xml:space="preserve"> </w:t>
      </w:r>
      <w:r w:rsidR="003B6DB9">
        <w:t xml:space="preserve">vähentäisi </w:t>
      </w:r>
      <w:r w:rsidR="00722B9C">
        <w:t>myös poliitti</w:t>
      </w:r>
      <w:r w:rsidR="000C1E36">
        <w:t>s</w:t>
      </w:r>
      <w:r w:rsidR="00155E69">
        <w:t>ta</w:t>
      </w:r>
      <w:r w:rsidR="00722B9C">
        <w:t xml:space="preserve"> paine</w:t>
      </w:r>
      <w:r w:rsidR="00155E69">
        <w:t>tta saada jokin ratkaisu näihin kysymyksiin</w:t>
      </w:r>
      <w:r w:rsidR="00722B9C">
        <w:t xml:space="preserve">. </w:t>
      </w:r>
      <w:r w:rsidR="00357202">
        <w:t>Suomen puheenjohtajuuskaudella t</w:t>
      </w:r>
      <w:r w:rsidR="008004B2">
        <w:t>avoi</w:t>
      </w:r>
      <w:r w:rsidR="00357202">
        <w:t>t</w:t>
      </w:r>
      <w:r w:rsidR="008004B2">
        <w:t>te</w:t>
      </w:r>
      <w:r w:rsidR="00357202">
        <w:t>ena</w:t>
      </w:r>
      <w:r w:rsidR="008004B2">
        <w:t xml:space="preserve"> o</w:t>
      </w:r>
      <w:r w:rsidR="00357202">
        <w:t>n</w:t>
      </w:r>
      <w:r w:rsidR="008004B2">
        <w:t xml:space="preserve"> kehittää </w:t>
      </w:r>
      <w:r w:rsidR="009B4780">
        <w:t>WIPO-</w:t>
      </w:r>
      <w:r w:rsidR="008004B2">
        <w:t xml:space="preserve">työtä entistä käytännönläheisemmäksi, jotta </w:t>
      </w:r>
      <w:r w:rsidR="00952147">
        <w:t>työ kansainvälisellä tasolla hyödyttäisi myös tilannetta kansallisella ja alueellisella tasolla. Täss</w:t>
      </w:r>
      <w:r w:rsidR="006932F9">
        <w:t xml:space="preserve">ä yksi vaihtoehto olisi </w:t>
      </w:r>
      <w:r w:rsidR="00952147">
        <w:t>suositusten laatiminen perinnetiedon ja perinteisten kulttuuri-ilmausten käsittelylle IP-järjestelmässä.</w:t>
      </w:r>
    </w:p>
    <w:p w14:paraId="190CC40F" w14:textId="00287D3B" w:rsidR="00CE1A5E" w:rsidRDefault="00CE1A5E" w:rsidP="00BA372B">
      <w:pPr>
        <w:pStyle w:val="Luettelokappale"/>
      </w:pPr>
    </w:p>
    <w:p w14:paraId="2C58F08A" w14:textId="111A7BFA" w:rsidR="003D26A8" w:rsidRDefault="00CB1DBD" w:rsidP="00BA372B">
      <w:pPr>
        <w:pStyle w:val="Luettelokappale"/>
      </w:pPr>
      <w:r>
        <w:t>Yleiskokouksen</w:t>
      </w:r>
      <w:r w:rsidR="002F27AF">
        <w:t xml:space="preserve"> käsiteltäväksi tulee mahdollisesti </w:t>
      </w:r>
      <w:r w:rsidR="008C1980">
        <w:t xml:space="preserve">myös </w:t>
      </w:r>
      <w:r w:rsidR="002F27AF">
        <w:t xml:space="preserve">päätös </w:t>
      </w:r>
      <w:r>
        <w:t>diplomaattikonferenssin koolle kutsumi</w:t>
      </w:r>
      <w:r w:rsidR="002F27AF">
        <w:t>sesta</w:t>
      </w:r>
      <w:r>
        <w:t xml:space="preserve"> liittyen </w:t>
      </w:r>
      <w:r w:rsidR="005323DD">
        <w:t>geenivarojen ja niihin liittyvän perinnetiedon suojaa</w:t>
      </w:r>
      <w:r w:rsidR="002F27AF">
        <w:t>n</w:t>
      </w:r>
      <w:r w:rsidR="00FD7155">
        <w:t xml:space="preserve"> (GR)</w:t>
      </w:r>
      <w:r w:rsidR="005323DD">
        <w:t xml:space="preserve">. Suojamuoto on täsmentynyt </w:t>
      </w:r>
      <w:r>
        <w:t>pakolliseen ilmoitusvelvollisuuteen patenttihakemuksissa (MDR</w:t>
      </w:r>
      <w:r w:rsidR="0004773B">
        <w:t xml:space="preserve">). </w:t>
      </w:r>
      <w:r w:rsidR="00A32581">
        <w:t>Afrikka on ollut vastaanottavai</w:t>
      </w:r>
      <w:r w:rsidR="00AA0259">
        <w:t>sempi</w:t>
      </w:r>
      <w:r w:rsidR="00A32581">
        <w:t xml:space="preserve"> </w:t>
      </w:r>
      <w:r w:rsidR="0004773B">
        <w:t xml:space="preserve">tälle </w:t>
      </w:r>
      <w:r w:rsidR="00A32581">
        <w:t>EU:n ehdotukselle jo viime mandaattikaudella</w:t>
      </w:r>
      <w:r w:rsidR="00300DFA">
        <w:t>,</w:t>
      </w:r>
      <w:r w:rsidR="00A32581">
        <w:t xml:space="preserve"> mutta v</w:t>
      </w:r>
      <w:r w:rsidR="005323DD">
        <w:t>asta nyt muut maaryhmät</w:t>
      </w:r>
      <w:r w:rsidR="002F27AF">
        <w:t xml:space="preserve"> (lähinnä Latinalainen Amerikka ja Aasia nk. Like Minded Countries</w:t>
      </w:r>
      <w:r w:rsidR="008C1980">
        <w:t xml:space="preserve"> </w:t>
      </w:r>
      <w:r w:rsidR="002F27AF">
        <w:t>-ryhmässä)</w:t>
      </w:r>
      <w:r w:rsidR="00155E69">
        <w:t xml:space="preserve"> ovat luopumassa kovi</w:t>
      </w:r>
      <w:r w:rsidR="005323DD">
        <w:t>mmista</w:t>
      </w:r>
      <w:r w:rsidR="00742F0F">
        <w:t xml:space="preserve"> vaatimuksistaan</w:t>
      </w:r>
      <w:r w:rsidR="005323DD">
        <w:t xml:space="preserve"> ja tyytymässä </w:t>
      </w:r>
      <w:r w:rsidR="001E2F68">
        <w:t xml:space="preserve">lähinnä läpinäkyvyyttä patenttijärjestelmään </w:t>
      </w:r>
      <w:r w:rsidR="005323DD">
        <w:t xml:space="preserve">tuovaan </w:t>
      </w:r>
      <w:r w:rsidR="00155E69">
        <w:t xml:space="preserve">pakolliseen </w:t>
      </w:r>
      <w:r w:rsidR="005323DD">
        <w:t xml:space="preserve">ilmoitusvelvollisuuteen. </w:t>
      </w:r>
      <w:r w:rsidR="00C5096B">
        <w:t xml:space="preserve">Tämä malli oli alun perin EU:n ehdottama keskitie vuonna 2005. </w:t>
      </w:r>
      <w:r w:rsidR="005323DD">
        <w:t>Edelleen auki olevia seikkoja o</w:t>
      </w:r>
      <w:r w:rsidR="00AF6A2F">
        <w:t>vat</w:t>
      </w:r>
      <w:r w:rsidR="005323DD">
        <w:t xml:space="preserve"> </w:t>
      </w:r>
      <w:r w:rsidR="00AF6A2F">
        <w:t>mm.</w:t>
      </w:r>
      <w:r w:rsidR="005323DD">
        <w:t xml:space="preserve"> milloin ilmoitusvelvollisuus syntyy (”keksintö joka perustuu suoraan geenivaraan tai siihen liittyvään perinnetietoon”</w:t>
      </w:r>
      <w:r w:rsidR="0077540A">
        <w:t>) ja</w:t>
      </w:r>
      <w:r w:rsidR="005323DD">
        <w:t xml:space="preserve"> mikä </w:t>
      </w:r>
      <w:r w:rsidR="008C1980">
        <w:t xml:space="preserve">on </w:t>
      </w:r>
      <w:r w:rsidR="005323DD">
        <w:t xml:space="preserve">ilmoitusvelvollisuuden laajuus ja vaikutus, </w:t>
      </w:r>
      <w:r w:rsidR="00131BB3">
        <w:t>tai seuraus.</w:t>
      </w:r>
      <w:r w:rsidR="007647B4">
        <w:t xml:space="preserve"> EU:n ehdotuksen mukaisella ilmoitusvelvollisuudella</w:t>
      </w:r>
      <w:r w:rsidR="00131BB3">
        <w:t xml:space="preserve"> ei olisi mitään vaikutuksia patentin voimassaoloon</w:t>
      </w:r>
      <w:r w:rsidR="00300DFA">
        <w:t>,</w:t>
      </w:r>
      <w:r w:rsidR="00131BB3">
        <w:t xml:space="preserve"> vaan </w:t>
      </w:r>
      <w:r w:rsidR="00300DFA">
        <w:t xml:space="preserve">se </w:t>
      </w:r>
      <w:r w:rsidR="006C0D1B">
        <w:t xml:space="preserve">tukisi </w:t>
      </w:r>
      <w:r w:rsidR="00131BB3">
        <w:t xml:space="preserve">geenivarojen saantia ja </w:t>
      </w:r>
      <w:r w:rsidR="000724B8">
        <w:t>hyötyjenjakoa</w:t>
      </w:r>
      <w:r w:rsidR="00131BB3">
        <w:t xml:space="preserve"> koskeva</w:t>
      </w:r>
      <w:r w:rsidR="00432A37">
        <w:t>n</w:t>
      </w:r>
      <w:r w:rsidR="00131BB3">
        <w:t xml:space="preserve"> ABS-järjestelmä</w:t>
      </w:r>
      <w:r w:rsidR="00432A37">
        <w:t>n toimivuutta</w:t>
      </w:r>
      <w:r w:rsidR="00131BB3">
        <w:t xml:space="preserve">. </w:t>
      </w:r>
      <w:r w:rsidR="0077540A">
        <w:t>IGC:n puheenjohtaja on julkaisemassa</w:t>
      </w:r>
      <w:r w:rsidR="001E2F68">
        <w:t xml:space="preserve"> </w:t>
      </w:r>
      <w:r w:rsidR="008C1980">
        <w:t xml:space="preserve">lähiaikoina </w:t>
      </w:r>
      <w:r w:rsidR="001E2F68">
        <w:t>puheenjohtajan ehdotuksen, jo</w:t>
      </w:r>
      <w:r w:rsidR="00EE4A1E">
        <w:t xml:space="preserve">nka perusteella </w:t>
      </w:r>
      <w:r w:rsidR="00722982">
        <w:t>koordinoidaan EU:n kanta N</w:t>
      </w:r>
      <w:r w:rsidR="00AA0259">
        <w:t>euvoston työryhmässä</w:t>
      </w:r>
      <w:r w:rsidR="00722982">
        <w:t xml:space="preserve"> Brysselissä</w:t>
      </w:r>
      <w:r w:rsidR="00EE4A1E">
        <w:t>.</w:t>
      </w:r>
    </w:p>
    <w:p w14:paraId="51CB05F9" w14:textId="77777777" w:rsidR="00334541" w:rsidRDefault="00334541" w:rsidP="00BA372B">
      <w:pPr>
        <w:pStyle w:val="Luettelokappale"/>
      </w:pPr>
    </w:p>
    <w:p w14:paraId="0D4B8929" w14:textId="4265EC26" w:rsidR="00334541" w:rsidRDefault="00334541" w:rsidP="00764CFE">
      <w:pPr>
        <w:pStyle w:val="Luettelokappale"/>
      </w:pPr>
      <w:r>
        <w:t xml:space="preserve">EU on viime vuosina pyrkinyt entistä aktiivisemmin korostamaan perinnetiedon ja perinteisten kulttuuri-ilmausten </w:t>
      </w:r>
      <w:r w:rsidR="00FD7155">
        <w:t xml:space="preserve">(TK/TCE) </w:t>
      </w:r>
      <w:r w:rsidR="00764CFE">
        <w:t>suojan tarpeen arvioimiseksi</w:t>
      </w:r>
      <w:r>
        <w:t xml:space="preserve"> evidence-based lähestymistapaa, jossa edellytetään selvitysten tekemistä ja tiedon hankkimista, jotta saa</w:t>
      </w:r>
      <w:r w:rsidR="00764CFE">
        <w:t>taisiin</w:t>
      </w:r>
      <w:r>
        <w:t xml:space="preserve"> parempi käsitys nykyisessä IP-järjestelmässä olevista aukoista. Kyse on siitä, miten nykyistä järjestelmää on pyritty kansallisen lainsäädäntökehyksen ja tilanteen valossa hyödyntämään tietyn tunnustetun alkuperäiskansan perinnetiedon tai -ilmausten selvitetyn suojantarpeen täyttämiseksi. Tämän lähestymistavan johdosta myös Suomessa on opetus- ja kulttuuriministeriön aloitteesta tai rahoituksella valmistettu kaksi selvitystä saamelaisten tarpeesta henkisen omaisuuden suojaan. Käsitöitä ja saamenpukua koskeva selvitys valmistui joulukuussa 2018 (liitteenä) ja saamelaismusiikkia koskeva selvitys on valmistumassa keväällä 2019. </w:t>
      </w:r>
    </w:p>
    <w:p w14:paraId="25D9A850" w14:textId="77777777" w:rsidR="00334541" w:rsidRDefault="00334541" w:rsidP="00334541">
      <w:pPr>
        <w:pStyle w:val="Luettelokappale"/>
      </w:pPr>
    </w:p>
    <w:p w14:paraId="2A1AC44E" w14:textId="04E201C2" w:rsidR="00334541" w:rsidRDefault="00334541" w:rsidP="00334541">
      <w:pPr>
        <w:pStyle w:val="Luettelokappale"/>
      </w:pPr>
      <w:r>
        <w:t>EU ei ole toistaiseksi katsonut tarpeelliseksi kehittää alkuperäiskansojen perinnetiedon tai kulttuuri-ilmausten suojaamiseksi nykyisen IP-järjestelmän lisäksi uusia sitovaan sopimukseen perustuvia suojamuotoja, eikä</w:t>
      </w:r>
      <w:r w:rsidR="00432A37">
        <w:t xml:space="preserve"> EU</w:t>
      </w:r>
      <w:r>
        <w:t xml:space="preserve"> siten ole toiminut aktiivisesti </w:t>
      </w:r>
      <w:r w:rsidR="00300DFA">
        <w:t xml:space="preserve">edistääkseen </w:t>
      </w:r>
      <w:r>
        <w:t>sovun syntymistä IGC:ssä. Toisaalta Suomi on komission</w:t>
      </w:r>
      <w:r w:rsidR="00505518">
        <w:t xml:space="preserve"> ja muiden jäsenvaltioiden tuella</w:t>
      </w:r>
      <w:r>
        <w:t xml:space="preserve"> jakanut tietoa Suomessa tehdyistä selvityksistä niin B-ryhmän maille kuin muillekin kiinnostuneille. EU on kannattanut pehmeämpiä keinoja, kuten suosituksia ja muita instrumentteja sitovien sopimusten sijaan. Suomella </w:t>
      </w:r>
      <w:r w:rsidR="003424DE">
        <w:t>samoin kuin</w:t>
      </w:r>
      <w:r>
        <w:t xml:space="preserve"> Ruotsilla on kansallisia velvoitteita saamelaisten oikeuksien ja intressien toteutumisesta</w:t>
      </w:r>
      <w:r w:rsidR="003424DE">
        <w:t>,</w:t>
      </w:r>
      <w:r>
        <w:t xml:space="preserve"> ja myös Pohjoismainen saamelaissopimus sisältää säännöksiä perinnetiedon suojaamisesta. </w:t>
      </w:r>
      <w:r w:rsidR="00505518">
        <w:t>Näiden velvoitteiden täyttäminen edellyttää, että suojan tarve tunnustetaan myös EU:n piirissä.</w:t>
      </w:r>
    </w:p>
    <w:p w14:paraId="5FE9A380" w14:textId="77777777" w:rsidR="00334541" w:rsidRDefault="00334541" w:rsidP="00334541">
      <w:pPr>
        <w:pStyle w:val="Luettelokappale"/>
      </w:pPr>
    </w:p>
    <w:p w14:paraId="21324410" w14:textId="166352CD" w:rsidR="00334541" w:rsidRDefault="00334541" w:rsidP="00DC58FB">
      <w:pPr>
        <w:pStyle w:val="Luettelokappale"/>
      </w:pPr>
      <w:r>
        <w:t xml:space="preserve">On selvää, että ennen kuin EU voi hyväksyä minkäänlaista (sitovaa) sopimusta kansainvälisellä tasolla tarvitaan tarkempaa tietoa siitä, mitkä suojan tarpeet ovat ja miten niihin parhaiten voidaan vastata henkisen omaisuuden suojan periaatteita noudattaen. Suomi pyrkii puheenjohtajuuskaudellaan edistämään alkuperäiskansojen </w:t>
      </w:r>
      <w:r w:rsidR="00155DED">
        <w:t xml:space="preserve">oikeuksien </w:t>
      </w:r>
      <w:r>
        <w:t>toteutumista nykyistä paremmin tavoilla, jotka ovat</w:t>
      </w:r>
      <w:r w:rsidR="00DC58FB">
        <w:t xml:space="preserve"> jo</w:t>
      </w:r>
      <w:r>
        <w:t xml:space="preserve"> EU:n nykyisen kannan mukaisia. </w:t>
      </w:r>
      <w:r w:rsidR="00DC58FB">
        <w:t>Suomi pyrkii myös vaikuttamaan siihen, että EU:n kantoihin tehdään tarpeellisia tarkistuksia.</w:t>
      </w:r>
    </w:p>
    <w:p w14:paraId="1CFF107E" w14:textId="3474A4D8" w:rsidR="003D26A8" w:rsidRDefault="003D26A8" w:rsidP="00BA372B">
      <w:pPr>
        <w:pStyle w:val="Luettelokappale"/>
      </w:pPr>
    </w:p>
    <w:p w14:paraId="79E4BE71" w14:textId="044DAD03" w:rsidR="003D26A8" w:rsidRDefault="003D26A8" w:rsidP="00BA372B">
      <w:pPr>
        <w:pStyle w:val="Luettelokappale"/>
        <w:rPr>
          <w:i/>
          <w:u w:val="single"/>
        </w:rPr>
      </w:pPr>
      <w:r w:rsidRPr="009A510D">
        <w:rPr>
          <w:i/>
          <w:u w:val="single"/>
        </w:rPr>
        <w:t>Tausta</w:t>
      </w:r>
    </w:p>
    <w:p w14:paraId="32F30B8E" w14:textId="77777777" w:rsidR="00D12E33" w:rsidRPr="009A510D" w:rsidRDefault="00D12E33" w:rsidP="00BA372B">
      <w:pPr>
        <w:pStyle w:val="Luettelokappale"/>
        <w:rPr>
          <w:i/>
          <w:u w:val="single"/>
        </w:rPr>
      </w:pPr>
    </w:p>
    <w:p w14:paraId="4AB41E8F" w14:textId="75E967C1" w:rsidR="00F90385" w:rsidRDefault="000F395C" w:rsidP="00CA3A2A">
      <w:pPr>
        <w:pStyle w:val="Luettelokappale"/>
      </w:pPr>
      <w:r>
        <w:t>V</w:t>
      </w:r>
      <w:r w:rsidR="00B52A1C">
        <w:t xml:space="preserve">uosien saatossa </w:t>
      </w:r>
      <w:r>
        <w:t xml:space="preserve">on tullut </w:t>
      </w:r>
      <w:r w:rsidR="00AA6BEA">
        <w:t>selvä</w:t>
      </w:r>
      <w:r w:rsidR="00B52A1C">
        <w:t>ksi</w:t>
      </w:r>
      <w:r w:rsidR="00AA6BEA">
        <w:t xml:space="preserve">, että mikään nykyisistä </w:t>
      </w:r>
      <w:r w:rsidR="00B51B7C">
        <w:t>IP-</w:t>
      </w:r>
      <w:r w:rsidR="00AA6BEA">
        <w:t xml:space="preserve">järjestelmistä ei yksinään riitä </w:t>
      </w:r>
      <w:r w:rsidR="00B52A1C">
        <w:t>ja että IGC-neuvotteluilla olisi tarkoitus peittää nykyisessä lainsäädännössä olevat ”aukot” (gaps)</w:t>
      </w:r>
      <w:r w:rsidR="00B51B7C">
        <w:t xml:space="preserve"> perinnetiedon tai perinteisten kulttuuri-ilmausten suoja</w:t>
      </w:r>
      <w:r w:rsidR="001E56FD">
        <w:t>ssa</w:t>
      </w:r>
      <w:r w:rsidR="00B52A1C">
        <w:t xml:space="preserve">. </w:t>
      </w:r>
      <w:r w:rsidR="00B51B7C">
        <w:t xml:space="preserve">Nykyisessä IP-järjestelmässä katsotaan, että suojan ulkopuolella olevat suojankohteet tai </w:t>
      </w:r>
      <w:r w:rsidR="001E56FD">
        <w:t xml:space="preserve">suojan </w:t>
      </w:r>
      <w:r w:rsidR="00B51B7C">
        <w:t xml:space="preserve">piiristä suoja-ajan päätyttyä </w:t>
      </w:r>
      <w:r w:rsidR="00825140">
        <w:t>poistuvat ilmaukset ovat</w:t>
      </w:r>
      <w:r w:rsidR="00B51B7C">
        <w:t xml:space="preserve"> </w:t>
      </w:r>
      <w:r w:rsidR="00825140">
        <w:t>”</w:t>
      </w:r>
      <w:r w:rsidR="00B51B7C">
        <w:t>kaikkien vapaata omaisuutta</w:t>
      </w:r>
      <w:r w:rsidR="00825140">
        <w:t>”</w:t>
      </w:r>
      <w:r w:rsidR="00B51B7C">
        <w:t xml:space="preserve">. </w:t>
      </w:r>
      <w:r w:rsidR="001F1041">
        <w:t xml:space="preserve">Edes kaikki nykyiset IP-oikeudelliset järjestelmät yhdessä eivät voisi suojella </w:t>
      </w:r>
      <w:r w:rsidR="009F4D09">
        <w:t xml:space="preserve">alkuperäiskansojen perinnetietoa ja perinteisiä kulttuuri-ilmauksia </w:t>
      </w:r>
      <w:r w:rsidR="001F1041">
        <w:t xml:space="preserve">tavalla, jota kansainvälinen oikeus ja </w:t>
      </w:r>
      <w:r w:rsidR="001405F2">
        <w:t xml:space="preserve">vuonna 2007 hyväksytty </w:t>
      </w:r>
      <w:r w:rsidR="001928B9">
        <w:t>YK:n alkuperäiskansajulistus</w:t>
      </w:r>
      <w:r w:rsidR="001F1041">
        <w:t xml:space="preserve"> </w:t>
      </w:r>
      <w:r w:rsidR="001928B9">
        <w:t xml:space="preserve">(UNDRIP) </w:t>
      </w:r>
      <w:r w:rsidR="001F1041">
        <w:t>edellyttä</w:t>
      </w:r>
      <w:r w:rsidR="00300DFA">
        <w:t>v</w:t>
      </w:r>
      <w:r w:rsidR="001F1041">
        <w:t>ä</w:t>
      </w:r>
      <w:r w:rsidR="00300DFA">
        <w:t>t</w:t>
      </w:r>
      <w:r w:rsidR="001F1041">
        <w:t xml:space="preserve">. </w:t>
      </w:r>
      <w:r w:rsidR="00B51B7C">
        <w:t>Erityisesti teollisuusmaiden on ollut vaikea hyväksyä, että erityisesti alkuperäiskansoille olisi tarvetta säätää uusista IP-oikeudellisista keinoista, kun nykyisetkin järjestelmät osaltaan voivat suojata mainittuja suojankohteita. Toisaalta Australia ja Uusi-Seelanti ovat</w:t>
      </w:r>
      <w:r w:rsidR="0028431F">
        <w:t xml:space="preserve"> jo</w:t>
      </w:r>
      <w:r w:rsidR="00B51B7C">
        <w:t xml:space="preserve"> tunnustaneet tarpeen </w:t>
      </w:r>
      <w:r w:rsidR="001F1041">
        <w:t xml:space="preserve">selvittää tarpeita paremmin </w:t>
      </w:r>
      <w:r w:rsidR="00B51B7C">
        <w:t>kansallisella tasolla</w:t>
      </w:r>
      <w:r w:rsidR="001F1041">
        <w:t>, samoin Suomi</w:t>
      </w:r>
      <w:r w:rsidR="0028431F">
        <w:t xml:space="preserve"> ja Kanada</w:t>
      </w:r>
      <w:r w:rsidR="00B51B7C">
        <w:t xml:space="preserve">. </w:t>
      </w:r>
      <w:r w:rsidR="001F1041">
        <w:t xml:space="preserve">Vasta </w:t>
      </w:r>
      <w:r w:rsidR="001E56FD">
        <w:t xml:space="preserve">IGC-komitean </w:t>
      </w:r>
      <w:r w:rsidR="001F1041">
        <w:t>viime</w:t>
      </w:r>
      <w:r w:rsidR="0072723D">
        <w:t xml:space="preserve"> kokouksessa on viimein alettu ymmärtää, että a</w:t>
      </w:r>
      <w:r w:rsidR="00825140">
        <w:t xml:space="preserve">lkuperäiskansojen näkökulma </w:t>
      </w:r>
      <w:r w:rsidR="0072723D">
        <w:t xml:space="preserve">immateriaalioikeuteen ja kulttuuriperintöön </w:t>
      </w:r>
      <w:r w:rsidR="00825140">
        <w:t>poikkea</w:t>
      </w:r>
      <w:r w:rsidR="0072723D">
        <w:t>a keskeisillä tavoilla</w:t>
      </w:r>
      <w:r w:rsidR="00825140">
        <w:t xml:space="preserve"> länsimaalaisesta tulkinnasta. </w:t>
      </w:r>
      <w:r w:rsidR="00DE2059">
        <w:t xml:space="preserve">Alkuperäiskansat haluavat, että </w:t>
      </w:r>
      <w:r w:rsidR="0028431F">
        <w:t>heidän kulttuuriin</w:t>
      </w:r>
      <w:r w:rsidR="00300DFA">
        <w:t>sa</w:t>
      </w:r>
      <w:r w:rsidR="00DC527F">
        <w:t xml:space="preserve"> kuuluvia </w:t>
      </w:r>
      <w:r w:rsidR="0028431F">
        <w:t>elementtejä</w:t>
      </w:r>
      <w:r w:rsidR="00DE2059">
        <w:t xml:space="preserve"> ei kä</w:t>
      </w:r>
      <w:r w:rsidR="008400B1">
        <w:t>ytettäisi vastoin niitä sääteleviä</w:t>
      </w:r>
      <w:r w:rsidR="00DE2059">
        <w:t xml:space="preserve"> </w:t>
      </w:r>
      <w:r w:rsidR="00C71667">
        <w:t xml:space="preserve">sisäisiä tapaoikeudellisia </w:t>
      </w:r>
      <w:r w:rsidR="00DE2059">
        <w:t>sääntöjä</w:t>
      </w:r>
      <w:r w:rsidR="008400B1">
        <w:t>. Suojan tarve on suurin erityisesti sellaisten kulttuuri-ilmausten</w:t>
      </w:r>
      <w:r w:rsidR="00DE2059">
        <w:t xml:space="preserve"> </w:t>
      </w:r>
      <w:r w:rsidR="008400B1">
        <w:t xml:space="preserve">osalta, joita pidetään </w:t>
      </w:r>
      <w:r w:rsidR="00DE2059">
        <w:t>pyhi</w:t>
      </w:r>
      <w:r w:rsidR="008400B1">
        <w:t>nä tai</w:t>
      </w:r>
      <w:r w:rsidR="00C71667">
        <w:t xml:space="preserve"> </w:t>
      </w:r>
      <w:r w:rsidR="00DE2059">
        <w:t>salaisi</w:t>
      </w:r>
      <w:r w:rsidR="008400B1">
        <w:t>na</w:t>
      </w:r>
      <w:r w:rsidR="00B323E7">
        <w:t>. Tällä on ratkaiseva</w:t>
      </w:r>
      <w:r w:rsidR="008400B1">
        <w:t xml:space="preserve"> vaikutus </w:t>
      </w:r>
      <w:r w:rsidR="00C71667">
        <w:t>kyseisen kulttuurin säilymisen kannalta</w:t>
      </w:r>
      <w:r w:rsidR="0096221F">
        <w:t xml:space="preserve"> (”moraaliset oikeudet”)</w:t>
      </w:r>
      <w:r w:rsidR="00C71667">
        <w:t xml:space="preserve"> ja </w:t>
      </w:r>
      <w:r w:rsidR="008400B1">
        <w:t xml:space="preserve">myös kansan perinteisen </w:t>
      </w:r>
      <w:r w:rsidR="008A0491">
        <w:t xml:space="preserve">elinkeinojen ja </w:t>
      </w:r>
      <w:r w:rsidR="00C71667">
        <w:t>tulonmuodostuksen kannalta</w:t>
      </w:r>
      <w:r w:rsidR="0096221F">
        <w:t xml:space="preserve"> (”taloudelliset oikeudet”)</w:t>
      </w:r>
      <w:r w:rsidR="00DE2059">
        <w:t xml:space="preserve">. </w:t>
      </w:r>
      <w:r w:rsidR="001E56FD">
        <w:t>P</w:t>
      </w:r>
      <w:r w:rsidR="00C71667">
        <w:t xml:space="preserve">erinnetieto ja </w:t>
      </w:r>
      <w:r w:rsidR="00DD6F56">
        <w:t>perinteiset kulttuuri</w:t>
      </w:r>
      <w:r w:rsidR="00B34292">
        <w:t>-</w:t>
      </w:r>
      <w:r w:rsidR="008400B1">
        <w:t>ilmaisut leviävät</w:t>
      </w:r>
      <w:r w:rsidR="00CE1A5E">
        <w:t xml:space="preserve"> </w:t>
      </w:r>
      <w:r w:rsidR="00EA58CC">
        <w:t>erityisesti turismin ja verkkoyhteyksien kautta ja</w:t>
      </w:r>
      <w:r w:rsidR="00CE1A5E">
        <w:t xml:space="preserve"> </w:t>
      </w:r>
      <w:r w:rsidR="00C71667">
        <w:t>kolman</w:t>
      </w:r>
      <w:r w:rsidR="00EA58CC">
        <w:t>net käytt</w:t>
      </w:r>
      <w:r w:rsidR="004A3DA5">
        <w:t>ä</w:t>
      </w:r>
      <w:r w:rsidR="00EA58CC">
        <w:t>vät niitä</w:t>
      </w:r>
      <w:r w:rsidR="00C71667">
        <w:t xml:space="preserve"> </w:t>
      </w:r>
      <w:r w:rsidR="00CE1A5E">
        <w:t xml:space="preserve">ilman </w:t>
      </w:r>
      <w:r w:rsidR="00EA58CC">
        <w:t>alkuperäiskansan tai paikallisen yhteisön</w:t>
      </w:r>
      <w:r w:rsidR="004A3DA5">
        <w:t xml:space="preserve"> suostumusta. Yleisimmin</w:t>
      </w:r>
      <w:r w:rsidR="008A0491">
        <w:t xml:space="preserve"> suostumuksella</w:t>
      </w:r>
      <w:r w:rsidR="004A3DA5">
        <w:t xml:space="preserve"> tarkoitetaan vapaata ja ennalta annettu</w:t>
      </w:r>
      <w:r w:rsidR="00783B30">
        <w:t>un</w:t>
      </w:r>
      <w:r w:rsidR="00E406C8">
        <w:t xml:space="preserve"> ja saatuun</w:t>
      </w:r>
      <w:r w:rsidR="00783B30">
        <w:t xml:space="preserve"> tietoon perustuvaa</w:t>
      </w:r>
      <w:r w:rsidR="00EA58CC">
        <w:t xml:space="preserve"> </w:t>
      </w:r>
      <w:r w:rsidR="00CE1A5E">
        <w:t xml:space="preserve">suostumusta (FPIC). </w:t>
      </w:r>
      <w:r w:rsidR="00D91004">
        <w:t>Toisaalta myös esim. valtion ja alk</w:t>
      </w:r>
      <w:r w:rsidR="0096221F">
        <w:t xml:space="preserve">uperäiskansan yhdessä </w:t>
      </w:r>
      <w:r w:rsidR="00461C0D">
        <w:t xml:space="preserve">valmistelemat </w:t>
      </w:r>
      <w:r w:rsidR="00D91004">
        <w:lastRenderedPageBreak/>
        <w:t xml:space="preserve">erilaiset eettiset ohjeet voivat edesauttaa </w:t>
      </w:r>
      <w:r w:rsidR="00773FF6">
        <w:t>hyvien käytäntöjen syntymistä kulttuuristen elementtien käytössä esim. turismissa ja sitä kautta alkuperäi</w:t>
      </w:r>
      <w:r w:rsidR="002A65DD">
        <w:t>skansojen oikeuksien toteutumista</w:t>
      </w:r>
      <w:r w:rsidR="00773FF6">
        <w:t xml:space="preserve"> YK:n alkuperäiskansajulistuksen </w:t>
      </w:r>
      <w:r w:rsidR="002A65DD">
        <w:t xml:space="preserve">31 artiklan </w:t>
      </w:r>
      <w:r w:rsidR="00773FF6">
        <w:t>mukaisesti.</w:t>
      </w:r>
    </w:p>
    <w:p w14:paraId="4937ACF2" w14:textId="77777777" w:rsidR="00AC5159" w:rsidRDefault="00AC5159" w:rsidP="00AC5159">
      <w:pPr>
        <w:pStyle w:val="Luettelokappale"/>
      </w:pPr>
    </w:p>
    <w:p w14:paraId="1A13AAA2" w14:textId="163E3F1E" w:rsidR="00AC5159" w:rsidRDefault="00AC5159" w:rsidP="00AC5159">
      <w:pPr>
        <w:pStyle w:val="Luettelokappale"/>
      </w:pPr>
      <w:r>
        <w:t>Suomi on jo 10 vuotta sitten alkanut tuoda</w:t>
      </w:r>
      <w:r w:rsidR="00773FF6">
        <w:t xml:space="preserve"> EU-koordinaatioissa</w:t>
      </w:r>
      <w:r>
        <w:t xml:space="preserve"> esiin niitä seikkoja, joiden selvittäminen on välttämätöntä, jotta EU voisi muodostaa </w:t>
      </w:r>
      <w:r w:rsidR="00E406C8">
        <w:t xml:space="preserve">neuvoston </w:t>
      </w:r>
      <w:r>
        <w:t>työryhmässä WIPO:n IGC-neuvotteluihin sekä EU:n että yksittäisten EU-maiden, ja myös Pohjoismaiden muilla foorumeilla (YK:n pysyvät alkuperäiskansafoorumi</w:t>
      </w:r>
      <w:r w:rsidR="00BE0184">
        <w:t xml:space="preserve"> (UNPFII)</w:t>
      </w:r>
      <w:r>
        <w:t xml:space="preserve">, </w:t>
      </w:r>
      <w:r w:rsidR="001863E4">
        <w:t xml:space="preserve">Luonnon monimuotoisuuden suojaa koskeva yleissopimus </w:t>
      </w:r>
      <w:r>
        <w:t>CB</w:t>
      </w:r>
      <w:r w:rsidR="000E69EE">
        <w:t>D</w:t>
      </w:r>
      <w:r>
        <w:t xml:space="preserve"> jne.) noudattamaa alkuperäiskansapolitiikkaa vastaavan kannan. Puheenjohtajuuskaudellaan Suomi voisi pyrkiä yhdessä jäsenvaltioiden ja komission kanssa neuvotellen </w:t>
      </w:r>
      <w:r w:rsidR="00300DFA">
        <w:t xml:space="preserve">edistämään </w:t>
      </w:r>
      <w:r>
        <w:t xml:space="preserve">tämän tavoitteen </w:t>
      </w:r>
      <w:r w:rsidR="00300DFA">
        <w:t>toteutumista</w:t>
      </w:r>
      <w:r>
        <w:t xml:space="preserve">. </w:t>
      </w:r>
    </w:p>
    <w:p w14:paraId="11080C91" w14:textId="77777777" w:rsidR="00F90385" w:rsidRDefault="00F90385" w:rsidP="00CA3A2A">
      <w:pPr>
        <w:pStyle w:val="Luettelokappale"/>
      </w:pPr>
    </w:p>
    <w:p w14:paraId="6C41A9BF" w14:textId="6D0819DE" w:rsidR="0028162D" w:rsidRDefault="0077540A" w:rsidP="00CA3A2A">
      <w:pPr>
        <w:pStyle w:val="Luettelokappale"/>
      </w:pPr>
      <w:r>
        <w:t>Komiteassa on</w:t>
      </w:r>
      <w:r w:rsidR="003B31A4">
        <w:t xml:space="preserve"> erittäin vaikeaa saavuttaa </w:t>
      </w:r>
      <w:r w:rsidR="00525141">
        <w:t>yhteisymmärrystä</w:t>
      </w:r>
      <w:r w:rsidR="00F90385">
        <w:t xml:space="preserve"> poliittisella</w:t>
      </w:r>
      <w:r w:rsidR="004A7061">
        <w:t>,</w:t>
      </w:r>
      <w:r w:rsidR="00F90385">
        <w:t xml:space="preserve"> saati teknisellä tasolla. Kaikkia kolmea osa-aluetta </w:t>
      </w:r>
      <w:r w:rsidR="00B323E7">
        <w:t xml:space="preserve">(geenivarat, perinnetieto, perinteiset kulttuuri-ilmaukset) </w:t>
      </w:r>
      <w:r w:rsidR="00F90385">
        <w:t>koskevia t</w:t>
      </w:r>
      <w:r w:rsidR="000F5719">
        <w:t>ekste</w:t>
      </w:r>
      <w:r w:rsidR="00F90385">
        <w:t>jä käsitellään erillään</w:t>
      </w:r>
      <w:r w:rsidR="00AA6904">
        <w:t xml:space="preserve">, </w:t>
      </w:r>
      <w:r w:rsidR="00BB17E4">
        <w:t xml:space="preserve">minkä </w:t>
      </w:r>
      <w:r w:rsidR="00AA6904">
        <w:t>vuoksi ne ovat kehittyneet eri tahdissa. Niissä on</w:t>
      </w:r>
      <w:r w:rsidR="00B323E7">
        <w:t xml:space="preserve"> edelleen</w:t>
      </w:r>
      <w:r w:rsidR="000F5719">
        <w:t xml:space="preserve"> </w:t>
      </w:r>
      <w:r w:rsidR="00AA6904">
        <w:t xml:space="preserve">myös </w:t>
      </w:r>
      <w:r w:rsidR="000F5719">
        <w:t>paljon oikeudellista epävarmuutta.</w:t>
      </w:r>
      <w:r w:rsidR="000D13EE">
        <w:t xml:space="preserve"> </w:t>
      </w:r>
      <w:r w:rsidR="00AA6904">
        <w:t>Tämä</w:t>
      </w:r>
      <w:r w:rsidR="00CA3A2A">
        <w:t xml:space="preserve"> on havaittavissa erityisesti </w:t>
      </w:r>
      <w:r w:rsidR="00AA6904">
        <w:t>määritelmissä ja suojan laaj</w:t>
      </w:r>
      <w:r w:rsidR="004A7061">
        <w:t>u</w:t>
      </w:r>
      <w:r w:rsidR="00AA6904">
        <w:t>udessa</w:t>
      </w:r>
      <w:r w:rsidR="008A0491">
        <w:t xml:space="preserve">. Vaikeudet hyväksyä määritelmiä ilmenevät </w:t>
      </w:r>
      <w:r w:rsidR="00B323E7">
        <w:t>erityisesti sellaisten maiden kannoissa,</w:t>
      </w:r>
      <w:r w:rsidR="00AA6904">
        <w:t xml:space="preserve"> joissa</w:t>
      </w:r>
      <w:r w:rsidR="00CA3A2A">
        <w:t xml:space="preserve"> ei tunnisteta alkuperäiskansojen oikeuksia</w:t>
      </w:r>
      <w:r w:rsidR="00783B30">
        <w:t xml:space="preserve"> </w:t>
      </w:r>
      <w:r w:rsidR="00E406C8">
        <w:t xml:space="preserve">eivätkä </w:t>
      </w:r>
      <w:r w:rsidR="00783B30">
        <w:t xml:space="preserve">näiden </w:t>
      </w:r>
      <w:r w:rsidR="0028162D">
        <w:t>oikeuksien hyväksikäyttöön</w:t>
      </w:r>
      <w:r w:rsidR="00E836B5">
        <w:t xml:space="preserve"> (misappropriation)</w:t>
      </w:r>
      <w:r w:rsidR="00CA3A2A">
        <w:t xml:space="preserve"> liittyvät kysymykset </w:t>
      </w:r>
      <w:r w:rsidR="00B323E7">
        <w:t xml:space="preserve">myöskään </w:t>
      </w:r>
      <w:r w:rsidR="00CA3A2A">
        <w:t xml:space="preserve">ole olleet </w:t>
      </w:r>
      <w:r w:rsidR="005F051B">
        <w:t xml:space="preserve">kansallisesti </w:t>
      </w:r>
      <w:r w:rsidR="00CA3A2A">
        <w:t xml:space="preserve">esillä. </w:t>
      </w:r>
    </w:p>
    <w:p w14:paraId="33327470" w14:textId="77777777" w:rsidR="0028162D" w:rsidRDefault="0028162D" w:rsidP="00CA3A2A">
      <w:pPr>
        <w:pStyle w:val="Luettelokappale"/>
      </w:pPr>
    </w:p>
    <w:p w14:paraId="3C0BCDD6" w14:textId="6AD54DC9" w:rsidR="000773C2" w:rsidRDefault="003A4135" w:rsidP="000773C2">
      <w:pPr>
        <w:pStyle w:val="Luettelokappale"/>
      </w:pPr>
      <w:r>
        <w:t xml:space="preserve">Toukokuussa 2017 hyväksytyissä alkuperäiskansoja koskevissa </w:t>
      </w:r>
      <w:r w:rsidR="00E406C8">
        <w:t xml:space="preserve">neuvoston </w:t>
      </w:r>
      <w:r>
        <w:t xml:space="preserve">päätelmissä EU:n alkuperäiskansapolitiikan pääperiaatteeksi vahvistettiin oikeuksien toteutumisen tukeminen YK:n alkuperäiskansajulistuksen linjan mukaisesti.  </w:t>
      </w:r>
      <w:r w:rsidR="005A38B2">
        <w:t>Komission ulkoasioiden pääosasto</w:t>
      </w:r>
      <w:r w:rsidR="005F051B">
        <w:t xml:space="preserve"> (DG EEAS)</w:t>
      </w:r>
      <w:r w:rsidR="005A38B2">
        <w:t xml:space="preserve"> sekä myös </w:t>
      </w:r>
      <w:r w:rsidR="000773C2">
        <w:t>Suomi on välittänyt EU-maille ja komissiolle tietoa siitä, että EU:n aluee</w:t>
      </w:r>
      <w:r w:rsidR="001928B9">
        <w:t>n</w:t>
      </w:r>
      <w:r w:rsidR="00300DFA">
        <w:t xml:space="preserve"> alkuperäiskansan</w:t>
      </w:r>
      <w:r w:rsidR="000773C2">
        <w:t xml:space="preserve">, </w:t>
      </w:r>
      <w:r w:rsidR="00300DFA">
        <w:t>eli</w:t>
      </w:r>
      <w:r w:rsidR="000773C2">
        <w:t xml:space="preserve"> saamelai</w:t>
      </w:r>
      <w:r w:rsidR="001928B9">
        <w:t>sten intressit olisi</w:t>
      </w:r>
      <w:r w:rsidR="005A38B2">
        <w:t xml:space="preserve"> otettava EU:n kannassa huomioon</w:t>
      </w:r>
      <w:r w:rsidR="007F612E">
        <w:t xml:space="preserve">. </w:t>
      </w:r>
      <w:r w:rsidR="001863E4">
        <w:t>Myös Grönlannin inuiiteilla saattaa olla vastaavia suojan tarpeita.</w:t>
      </w:r>
    </w:p>
    <w:p w14:paraId="3821A48C" w14:textId="106A0F25" w:rsidR="007B6B1E" w:rsidRDefault="00406265" w:rsidP="00BA6B81">
      <w:pPr>
        <w:ind w:left="720"/>
      </w:pPr>
      <w:r>
        <w:t>Alkuperäiskansojen oikeuksien tärkein poliittinen instrumentti on YK:n alkuperäiskansajulistus</w:t>
      </w:r>
      <w:r w:rsidR="0075421B">
        <w:t xml:space="preserve">. Siihen </w:t>
      </w:r>
      <w:r w:rsidR="00E406C8">
        <w:t>ovat sitoutuneet</w:t>
      </w:r>
      <w:r w:rsidR="0075421B">
        <w:t xml:space="preserve"> lähes kaikki maailman maat. N</w:t>
      </w:r>
      <w:r>
        <w:t>imenomaise</w:t>
      </w:r>
      <w:r w:rsidR="0075421B">
        <w:t>en</w:t>
      </w:r>
      <w:r>
        <w:t xml:space="preserve"> alkuperäiskansojen oikeuksia koskeva</w:t>
      </w:r>
      <w:r w:rsidR="0075421B">
        <w:t>an</w:t>
      </w:r>
      <w:r>
        <w:t xml:space="preserve"> instrumentt</w:t>
      </w:r>
      <w:r w:rsidR="0075421B">
        <w:t>iin, kuten</w:t>
      </w:r>
      <w:r>
        <w:t xml:space="preserve"> ILO 169</w:t>
      </w:r>
      <w:r w:rsidR="0075421B">
        <w:t xml:space="preserve"> </w:t>
      </w:r>
      <w:r w:rsidR="00E406C8">
        <w:t xml:space="preserve">–sopimukseen </w:t>
      </w:r>
      <w:r w:rsidR="0075421B">
        <w:t>on liittynyt noin 25 maata ml. Norja, Espanja ja Hollanti.</w:t>
      </w:r>
      <w:r>
        <w:t xml:space="preserve"> </w:t>
      </w:r>
      <w:r w:rsidR="00633450">
        <w:t>Luxemburg on liittymässä sopimuksen kesäkuun alussa. Suomi on yrittänyt kahden hallituskauden ajan päättää sopimukseen liittymisestä, siinä kuitenkaan onnistumatta.</w:t>
      </w:r>
    </w:p>
    <w:p w14:paraId="50D263B5" w14:textId="43891224" w:rsidR="00DA1D06" w:rsidRDefault="00DA1D06" w:rsidP="00BA6B81">
      <w:pPr>
        <w:ind w:left="720"/>
      </w:pPr>
      <w:r>
        <w:t xml:space="preserve">IP-oikeuksien lisäksi perinnetiedon ja perinteisten kulttuuri-ilmausten suojaan </w:t>
      </w:r>
      <w:r w:rsidR="00E406C8">
        <w:t>liittyvät myös</w:t>
      </w:r>
      <w:r>
        <w:t xml:space="preserve"> </w:t>
      </w:r>
      <w:r w:rsidR="007647E2">
        <w:t xml:space="preserve">YK:ssa ja EU:ssa säädetty </w:t>
      </w:r>
      <w:r>
        <w:t xml:space="preserve">ihmisoikeuksien suoja, kulttuuriperinnön suoja UNESCO:n piirissä sekä </w:t>
      </w:r>
      <w:r w:rsidR="007647E2">
        <w:t>l</w:t>
      </w:r>
      <w:r>
        <w:t>uonnon monimuotoisuu</w:t>
      </w:r>
      <w:r w:rsidR="007647E2">
        <w:t>den suojaa</w:t>
      </w:r>
      <w:r>
        <w:t xml:space="preserve"> koskeva yleissopimu</w:t>
      </w:r>
      <w:r w:rsidR="007647E2">
        <w:t>s (CBD)</w:t>
      </w:r>
      <w:r>
        <w:t xml:space="preserve"> ja sen Nagoyan pöytäkirja</w:t>
      </w:r>
      <w:r w:rsidR="007647E2">
        <w:t>ageenivarojen saannista ja hyötyjenjaosta</w:t>
      </w:r>
      <w:r>
        <w:t>. Ilman</w:t>
      </w:r>
      <w:r w:rsidR="00FA5462">
        <w:t xml:space="preserve"> perehtymistä</w:t>
      </w:r>
      <w:r>
        <w:t xml:space="preserve"> näihin oikeudenaloihin ei voida muodostaa kattavaa</w:t>
      </w:r>
      <w:r w:rsidR="00FA5462">
        <w:t xml:space="preserve"> kantaa IGC-kysymyksissä.</w:t>
      </w:r>
      <w:r>
        <w:t xml:space="preserve"> </w:t>
      </w:r>
    </w:p>
    <w:p w14:paraId="2EBBECA0" w14:textId="4FF92058" w:rsidR="003C74EE" w:rsidRPr="00361E6E" w:rsidRDefault="00EB0870" w:rsidP="00EB0870">
      <w:pPr>
        <w:pStyle w:val="Luettelokappale"/>
        <w:jc w:val="center"/>
      </w:pPr>
      <w:bookmarkStart w:id="0" w:name="_GoBack"/>
      <w:r>
        <w:t>***</w:t>
      </w:r>
      <w:bookmarkEnd w:id="0"/>
    </w:p>
    <w:sectPr w:rsidR="003C74EE" w:rsidRPr="00361E6E">
      <w:headerReference w:type="default" r:id="rId8"/>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85559" w16cid:durableId="2069CEB6"/>
  <w16cid:commentId w16cid:paraId="5BD267A0" w16cid:durableId="2069CC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B3EC" w14:textId="77777777" w:rsidR="001C7044" w:rsidRDefault="001C7044" w:rsidP="003F2362">
      <w:pPr>
        <w:spacing w:after="0" w:line="240" w:lineRule="auto"/>
      </w:pPr>
      <w:r>
        <w:separator/>
      </w:r>
    </w:p>
  </w:endnote>
  <w:endnote w:type="continuationSeparator" w:id="0">
    <w:p w14:paraId="37C2ADC3" w14:textId="77777777" w:rsidR="001C7044" w:rsidRDefault="001C7044" w:rsidP="003F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241E" w14:textId="77777777" w:rsidR="001C7044" w:rsidRDefault="001C7044" w:rsidP="003F2362">
      <w:pPr>
        <w:spacing w:after="0" w:line="240" w:lineRule="auto"/>
      </w:pPr>
      <w:r>
        <w:separator/>
      </w:r>
    </w:p>
  </w:footnote>
  <w:footnote w:type="continuationSeparator" w:id="0">
    <w:p w14:paraId="6B5BBE98" w14:textId="77777777" w:rsidR="001C7044" w:rsidRDefault="001C7044" w:rsidP="003F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1190" w14:textId="10DB6E66" w:rsidR="003F2362" w:rsidRPr="00291193" w:rsidRDefault="00945BB8" w:rsidP="00291193">
    <w:pPr>
      <w:pStyle w:val="Yltunniste"/>
      <w:rPr>
        <w:b/>
      </w:rPr>
    </w:pPr>
    <w:r>
      <w:rPr>
        <w:b/>
      </w:rPr>
      <w:t>TEKIJÄNOIKEUSASIOIDEN NEUVOTTELUK</w:t>
    </w:r>
    <w:r w:rsidRPr="00291193">
      <w:rPr>
        <w:b/>
      </w:rPr>
      <w:t>UNNALLE</w:t>
    </w:r>
    <w:r w:rsidR="000D4025">
      <w:rPr>
        <w:b/>
      </w:rPr>
      <w:tab/>
    </w:r>
    <w:r w:rsidR="000D4025">
      <w:rPr>
        <w:b/>
      </w:rPr>
      <w:tab/>
    </w:r>
  </w:p>
  <w:p w14:paraId="76509B13" w14:textId="77777777" w:rsidR="00291193" w:rsidRDefault="00291193" w:rsidP="00291193">
    <w:pPr>
      <w:pStyle w:val="Yltunniste"/>
    </w:pPr>
  </w:p>
  <w:p w14:paraId="0D5A18F9" w14:textId="301C3DA1" w:rsidR="00291193" w:rsidRDefault="00A03322" w:rsidP="00291193">
    <w:pPr>
      <w:pStyle w:val="Yltunniste"/>
    </w:pPr>
    <w:r>
      <w:t>Näkemyksiä aiheisiin liittyen voi toimittaa neuvottelukunnan sihteerille Anna Vuopalalle (anna</w:t>
    </w:r>
    <w:r w:rsidR="00F47DC2">
      <w:t>.v</w:t>
    </w:r>
    <w:r w:rsidR="00221C6E">
      <w:t>uopala@minedu.fi) viimeistään 13</w:t>
    </w:r>
    <w:r w:rsidR="008269B5">
      <w:t>.</w:t>
    </w:r>
    <w:r w:rsidR="00221C6E">
      <w:t>5</w:t>
    </w:r>
    <w:r w:rsidR="008269B5">
      <w:t>.2019</w:t>
    </w:r>
    <w:r>
      <w:t xml:space="preserve">. </w:t>
    </w:r>
  </w:p>
  <w:p w14:paraId="547CBFAE" w14:textId="77777777" w:rsidR="003F2362" w:rsidRDefault="003F236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38F"/>
    <w:multiLevelType w:val="hybridMultilevel"/>
    <w:tmpl w:val="679C3FBE"/>
    <w:lvl w:ilvl="0" w:tplc="8A822E02">
      <w:start w:val="1"/>
      <w:numFmt w:val="decimal"/>
      <w:lvlText w:val="%1)"/>
      <w:lvlJc w:val="left"/>
      <w:pPr>
        <w:ind w:left="1440" w:hanging="360"/>
      </w:pPr>
      <w:rPr>
        <w:rFonts w:hint="default"/>
        <w:sz w:val="22"/>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19D378E6"/>
    <w:multiLevelType w:val="hybridMultilevel"/>
    <w:tmpl w:val="100851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A3693E"/>
    <w:multiLevelType w:val="hybridMultilevel"/>
    <w:tmpl w:val="48545022"/>
    <w:lvl w:ilvl="0" w:tplc="EBCC7C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BB294C"/>
    <w:multiLevelType w:val="hybridMultilevel"/>
    <w:tmpl w:val="8ACC5312"/>
    <w:lvl w:ilvl="0" w:tplc="D0B689DE">
      <w:start w:val="1"/>
      <w:numFmt w:val="lowerLetter"/>
      <w:lvlText w:val="%1)"/>
      <w:lvlJc w:val="left"/>
      <w:pPr>
        <w:ind w:left="1440" w:hanging="360"/>
      </w:pPr>
      <w:rPr>
        <w:rFonts w:hint="default"/>
        <w:i w:val="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59734B75"/>
    <w:multiLevelType w:val="hybridMultilevel"/>
    <w:tmpl w:val="1E249E60"/>
    <w:lvl w:ilvl="0" w:tplc="20E6809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7486023F"/>
    <w:multiLevelType w:val="hybridMultilevel"/>
    <w:tmpl w:val="270C39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5C54BE9"/>
    <w:multiLevelType w:val="hybridMultilevel"/>
    <w:tmpl w:val="A80657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AEE5BC5"/>
    <w:multiLevelType w:val="hybridMultilevel"/>
    <w:tmpl w:val="C4D0E5C2"/>
    <w:lvl w:ilvl="0" w:tplc="3FA8952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DF"/>
    <w:rsid w:val="000227A0"/>
    <w:rsid w:val="000450CE"/>
    <w:rsid w:val="0004773B"/>
    <w:rsid w:val="000724B8"/>
    <w:rsid w:val="000773C2"/>
    <w:rsid w:val="0009629A"/>
    <w:rsid w:val="00097B38"/>
    <w:rsid w:val="000C1776"/>
    <w:rsid w:val="000C1E36"/>
    <w:rsid w:val="000D13EE"/>
    <w:rsid w:val="000D2CB3"/>
    <w:rsid w:val="000D4025"/>
    <w:rsid w:val="000E69EE"/>
    <w:rsid w:val="000F395C"/>
    <w:rsid w:val="000F5719"/>
    <w:rsid w:val="000F73A3"/>
    <w:rsid w:val="00121BB8"/>
    <w:rsid w:val="00122319"/>
    <w:rsid w:val="0012632A"/>
    <w:rsid w:val="00130059"/>
    <w:rsid w:val="00131478"/>
    <w:rsid w:val="00131BB3"/>
    <w:rsid w:val="001405F2"/>
    <w:rsid w:val="001556B4"/>
    <w:rsid w:val="00155DED"/>
    <w:rsid w:val="00155E69"/>
    <w:rsid w:val="00160207"/>
    <w:rsid w:val="001624AB"/>
    <w:rsid w:val="001709DE"/>
    <w:rsid w:val="00174697"/>
    <w:rsid w:val="00176154"/>
    <w:rsid w:val="001863E4"/>
    <w:rsid w:val="001928B9"/>
    <w:rsid w:val="001C7044"/>
    <w:rsid w:val="001D2581"/>
    <w:rsid w:val="001D3C2A"/>
    <w:rsid w:val="001E2F68"/>
    <w:rsid w:val="001E56FD"/>
    <w:rsid w:val="001F1041"/>
    <w:rsid w:val="001F4289"/>
    <w:rsid w:val="001F6BFD"/>
    <w:rsid w:val="00206C2B"/>
    <w:rsid w:val="00221C6E"/>
    <w:rsid w:val="0022420B"/>
    <w:rsid w:val="0023369F"/>
    <w:rsid w:val="002351EA"/>
    <w:rsid w:val="00253572"/>
    <w:rsid w:val="002576BE"/>
    <w:rsid w:val="00260E46"/>
    <w:rsid w:val="0028162D"/>
    <w:rsid w:val="00282C54"/>
    <w:rsid w:val="0028431F"/>
    <w:rsid w:val="00291193"/>
    <w:rsid w:val="00297BC0"/>
    <w:rsid w:val="002A5C25"/>
    <w:rsid w:val="002A65DD"/>
    <w:rsid w:val="002F27AF"/>
    <w:rsid w:val="00300DFA"/>
    <w:rsid w:val="00303D1F"/>
    <w:rsid w:val="00315281"/>
    <w:rsid w:val="003255F7"/>
    <w:rsid w:val="0032763D"/>
    <w:rsid w:val="003338F3"/>
    <w:rsid w:val="00334541"/>
    <w:rsid w:val="003424DE"/>
    <w:rsid w:val="00357202"/>
    <w:rsid w:val="00361E6E"/>
    <w:rsid w:val="0037128B"/>
    <w:rsid w:val="00374FF5"/>
    <w:rsid w:val="003A087A"/>
    <w:rsid w:val="003A24C6"/>
    <w:rsid w:val="003A4135"/>
    <w:rsid w:val="003A4DA1"/>
    <w:rsid w:val="003B1310"/>
    <w:rsid w:val="003B31A4"/>
    <w:rsid w:val="003B6DB9"/>
    <w:rsid w:val="003C66BA"/>
    <w:rsid w:val="003C74EE"/>
    <w:rsid w:val="003D26A8"/>
    <w:rsid w:val="003F2362"/>
    <w:rsid w:val="003F4DE5"/>
    <w:rsid w:val="00402471"/>
    <w:rsid w:val="00402FF7"/>
    <w:rsid w:val="00406265"/>
    <w:rsid w:val="00406732"/>
    <w:rsid w:val="0041525C"/>
    <w:rsid w:val="00417155"/>
    <w:rsid w:val="00424675"/>
    <w:rsid w:val="00426312"/>
    <w:rsid w:val="00432A37"/>
    <w:rsid w:val="00437B17"/>
    <w:rsid w:val="00457644"/>
    <w:rsid w:val="00461C0D"/>
    <w:rsid w:val="0047440E"/>
    <w:rsid w:val="00484F60"/>
    <w:rsid w:val="00496312"/>
    <w:rsid w:val="004A3DA5"/>
    <w:rsid w:val="004A7061"/>
    <w:rsid w:val="004C3EC1"/>
    <w:rsid w:val="004C5759"/>
    <w:rsid w:val="004C63C0"/>
    <w:rsid w:val="004F7E43"/>
    <w:rsid w:val="00505518"/>
    <w:rsid w:val="005128F3"/>
    <w:rsid w:val="00525141"/>
    <w:rsid w:val="0052673C"/>
    <w:rsid w:val="005323DD"/>
    <w:rsid w:val="00532A68"/>
    <w:rsid w:val="00553A5A"/>
    <w:rsid w:val="00560341"/>
    <w:rsid w:val="00565509"/>
    <w:rsid w:val="0056569C"/>
    <w:rsid w:val="00565E7A"/>
    <w:rsid w:val="0056635E"/>
    <w:rsid w:val="00581987"/>
    <w:rsid w:val="0058571F"/>
    <w:rsid w:val="005A38B2"/>
    <w:rsid w:val="005B51E5"/>
    <w:rsid w:val="005C0B93"/>
    <w:rsid w:val="005D5357"/>
    <w:rsid w:val="005F051B"/>
    <w:rsid w:val="005F0772"/>
    <w:rsid w:val="00620DB0"/>
    <w:rsid w:val="0062676C"/>
    <w:rsid w:val="00633450"/>
    <w:rsid w:val="00637624"/>
    <w:rsid w:val="006422D2"/>
    <w:rsid w:val="00666E05"/>
    <w:rsid w:val="0066775F"/>
    <w:rsid w:val="0066780C"/>
    <w:rsid w:val="00673D01"/>
    <w:rsid w:val="0068409B"/>
    <w:rsid w:val="0068778B"/>
    <w:rsid w:val="006877BC"/>
    <w:rsid w:val="006932F9"/>
    <w:rsid w:val="006B6DA6"/>
    <w:rsid w:val="006B72D2"/>
    <w:rsid w:val="006C0D1B"/>
    <w:rsid w:val="006C44C2"/>
    <w:rsid w:val="006D4784"/>
    <w:rsid w:val="006E6EFD"/>
    <w:rsid w:val="006F04AE"/>
    <w:rsid w:val="007221E9"/>
    <w:rsid w:val="00722982"/>
    <w:rsid w:val="00722B9C"/>
    <w:rsid w:val="00724208"/>
    <w:rsid w:val="0072723D"/>
    <w:rsid w:val="00742F0F"/>
    <w:rsid w:val="0075421B"/>
    <w:rsid w:val="007623EC"/>
    <w:rsid w:val="007647B4"/>
    <w:rsid w:val="007647E2"/>
    <w:rsid w:val="00764CFE"/>
    <w:rsid w:val="00773FF6"/>
    <w:rsid w:val="0077540A"/>
    <w:rsid w:val="00777097"/>
    <w:rsid w:val="00783B30"/>
    <w:rsid w:val="0078439F"/>
    <w:rsid w:val="00786925"/>
    <w:rsid w:val="007A1221"/>
    <w:rsid w:val="007A4401"/>
    <w:rsid w:val="007B28DA"/>
    <w:rsid w:val="007B6B1E"/>
    <w:rsid w:val="007F5361"/>
    <w:rsid w:val="007F612E"/>
    <w:rsid w:val="008004B2"/>
    <w:rsid w:val="00816CB3"/>
    <w:rsid w:val="00821466"/>
    <w:rsid w:val="00824269"/>
    <w:rsid w:val="00825140"/>
    <w:rsid w:val="00825C14"/>
    <w:rsid w:val="008269B5"/>
    <w:rsid w:val="008400B1"/>
    <w:rsid w:val="00853B07"/>
    <w:rsid w:val="008555BD"/>
    <w:rsid w:val="0085561F"/>
    <w:rsid w:val="00861152"/>
    <w:rsid w:val="00866135"/>
    <w:rsid w:val="00866FF8"/>
    <w:rsid w:val="0088295B"/>
    <w:rsid w:val="00883FDA"/>
    <w:rsid w:val="00892F4C"/>
    <w:rsid w:val="008A0491"/>
    <w:rsid w:val="008B76D4"/>
    <w:rsid w:val="008C1980"/>
    <w:rsid w:val="008C3BE9"/>
    <w:rsid w:val="008C6E3E"/>
    <w:rsid w:val="008D6796"/>
    <w:rsid w:val="008D679E"/>
    <w:rsid w:val="008F1415"/>
    <w:rsid w:val="008F2D42"/>
    <w:rsid w:val="00916597"/>
    <w:rsid w:val="0092584F"/>
    <w:rsid w:val="009263CE"/>
    <w:rsid w:val="009409E2"/>
    <w:rsid w:val="00944D0A"/>
    <w:rsid w:val="00945BB8"/>
    <w:rsid w:val="00952147"/>
    <w:rsid w:val="0096221F"/>
    <w:rsid w:val="0098514E"/>
    <w:rsid w:val="00985831"/>
    <w:rsid w:val="0099352B"/>
    <w:rsid w:val="009A4103"/>
    <w:rsid w:val="009A510D"/>
    <w:rsid w:val="009B04E2"/>
    <w:rsid w:val="009B4780"/>
    <w:rsid w:val="009B4F03"/>
    <w:rsid w:val="009C17EB"/>
    <w:rsid w:val="009C4A5B"/>
    <w:rsid w:val="009E4A89"/>
    <w:rsid w:val="009E764C"/>
    <w:rsid w:val="009F30B4"/>
    <w:rsid w:val="009F4D09"/>
    <w:rsid w:val="00A03322"/>
    <w:rsid w:val="00A05D44"/>
    <w:rsid w:val="00A12C5F"/>
    <w:rsid w:val="00A17468"/>
    <w:rsid w:val="00A253E2"/>
    <w:rsid w:val="00A32581"/>
    <w:rsid w:val="00A433D1"/>
    <w:rsid w:val="00A46EA1"/>
    <w:rsid w:val="00A47EF5"/>
    <w:rsid w:val="00A56371"/>
    <w:rsid w:val="00A56DCD"/>
    <w:rsid w:val="00A67BC8"/>
    <w:rsid w:val="00AA0259"/>
    <w:rsid w:val="00AA6904"/>
    <w:rsid w:val="00AA6BEA"/>
    <w:rsid w:val="00AC5159"/>
    <w:rsid w:val="00AC5725"/>
    <w:rsid w:val="00AD0B85"/>
    <w:rsid w:val="00AD0E12"/>
    <w:rsid w:val="00AD38B2"/>
    <w:rsid w:val="00AE4936"/>
    <w:rsid w:val="00AF6A2F"/>
    <w:rsid w:val="00B06BC6"/>
    <w:rsid w:val="00B22E0D"/>
    <w:rsid w:val="00B31BFC"/>
    <w:rsid w:val="00B323E7"/>
    <w:rsid w:val="00B34292"/>
    <w:rsid w:val="00B51B7C"/>
    <w:rsid w:val="00B51E23"/>
    <w:rsid w:val="00B52A1C"/>
    <w:rsid w:val="00B71DF0"/>
    <w:rsid w:val="00BA30EE"/>
    <w:rsid w:val="00BA372B"/>
    <w:rsid w:val="00BA4176"/>
    <w:rsid w:val="00BA4182"/>
    <w:rsid w:val="00BA6B81"/>
    <w:rsid w:val="00BB17E4"/>
    <w:rsid w:val="00BB651E"/>
    <w:rsid w:val="00BC04AF"/>
    <w:rsid w:val="00BE0184"/>
    <w:rsid w:val="00BE0323"/>
    <w:rsid w:val="00BF1A5F"/>
    <w:rsid w:val="00BF78B1"/>
    <w:rsid w:val="00C014DF"/>
    <w:rsid w:val="00C073B8"/>
    <w:rsid w:val="00C162D9"/>
    <w:rsid w:val="00C20C4C"/>
    <w:rsid w:val="00C40C22"/>
    <w:rsid w:val="00C5096B"/>
    <w:rsid w:val="00C510F1"/>
    <w:rsid w:val="00C6123E"/>
    <w:rsid w:val="00C66329"/>
    <w:rsid w:val="00C71667"/>
    <w:rsid w:val="00C71BCF"/>
    <w:rsid w:val="00C73289"/>
    <w:rsid w:val="00C7765F"/>
    <w:rsid w:val="00C856F4"/>
    <w:rsid w:val="00C93C5B"/>
    <w:rsid w:val="00CA085A"/>
    <w:rsid w:val="00CA3A2A"/>
    <w:rsid w:val="00CA4167"/>
    <w:rsid w:val="00CA7D9B"/>
    <w:rsid w:val="00CB1DBD"/>
    <w:rsid w:val="00CC48B5"/>
    <w:rsid w:val="00CD304C"/>
    <w:rsid w:val="00CD77C3"/>
    <w:rsid w:val="00CE0D5B"/>
    <w:rsid w:val="00CE1A5E"/>
    <w:rsid w:val="00CF1412"/>
    <w:rsid w:val="00CF4650"/>
    <w:rsid w:val="00CF4821"/>
    <w:rsid w:val="00CF6C58"/>
    <w:rsid w:val="00CF6E83"/>
    <w:rsid w:val="00D113F1"/>
    <w:rsid w:val="00D12E33"/>
    <w:rsid w:val="00D153BB"/>
    <w:rsid w:val="00D25EC2"/>
    <w:rsid w:val="00D35DAD"/>
    <w:rsid w:val="00D37E5C"/>
    <w:rsid w:val="00D40ADE"/>
    <w:rsid w:val="00D501C1"/>
    <w:rsid w:val="00D533AE"/>
    <w:rsid w:val="00D70291"/>
    <w:rsid w:val="00D75021"/>
    <w:rsid w:val="00D8294B"/>
    <w:rsid w:val="00D875BE"/>
    <w:rsid w:val="00D91004"/>
    <w:rsid w:val="00D95BE8"/>
    <w:rsid w:val="00DA1D06"/>
    <w:rsid w:val="00DC527F"/>
    <w:rsid w:val="00DC58FB"/>
    <w:rsid w:val="00DC7DC7"/>
    <w:rsid w:val="00DD6C5A"/>
    <w:rsid w:val="00DD6F56"/>
    <w:rsid w:val="00DE2059"/>
    <w:rsid w:val="00DE58D8"/>
    <w:rsid w:val="00DF4083"/>
    <w:rsid w:val="00E034F0"/>
    <w:rsid w:val="00E13442"/>
    <w:rsid w:val="00E15357"/>
    <w:rsid w:val="00E20A7E"/>
    <w:rsid w:val="00E222A4"/>
    <w:rsid w:val="00E24C9D"/>
    <w:rsid w:val="00E37A20"/>
    <w:rsid w:val="00E406C8"/>
    <w:rsid w:val="00E60366"/>
    <w:rsid w:val="00E6445E"/>
    <w:rsid w:val="00E812F6"/>
    <w:rsid w:val="00E836B5"/>
    <w:rsid w:val="00E94BDE"/>
    <w:rsid w:val="00E96040"/>
    <w:rsid w:val="00EA0655"/>
    <w:rsid w:val="00EA58CC"/>
    <w:rsid w:val="00EB0870"/>
    <w:rsid w:val="00EB2D17"/>
    <w:rsid w:val="00EB4CE7"/>
    <w:rsid w:val="00EC3AAC"/>
    <w:rsid w:val="00EC44FE"/>
    <w:rsid w:val="00EC6458"/>
    <w:rsid w:val="00EC70F1"/>
    <w:rsid w:val="00ED3215"/>
    <w:rsid w:val="00ED72A7"/>
    <w:rsid w:val="00EE4A1E"/>
    <w:rsid w:val="00F15FBC"/>
    <w:rsid w:val="00F176FD"/>
    <w:rsid w:val="00F34083"/>
    <w:rsid w:val="00F47DC2"/>
    <w:rsid w:val="00F614C6"/>
    <w:rsid w:val="00F90385"/>
    <w:rsid w:val="00FA5462"/>
    <w:rsid w:val="00FC7DB6"/>
    <w:rsid w:val="00FD3E40"/>
    <w:rsid w:val="00FD7155"/>
    <w:rsid w:val="00FE2BB3"/>
    <w:rsid w:val="00FF62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83FA"/>
  <w15:docId w15:val="{0AF50411-52AA-432F-8E36-D5DF7FE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14DF"/>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F236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F2362"/>
  </w:style>
  <w:style w:type="paragraph" w:styleId="Alatunniste">
    <w:name w:val="footer"/>
    <w:basedOn w:val="Normaali"/>
    <w:link w:val="AlatunnisteChar"/>
    <w:unhideWhenUsed/>
    <w:rsid w:val="003F236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2362"/>
  </w:style>
  <w:style w:type="character" w:styleId="Hyperlinkki">
    <w:name w:val="Hyperlink"/>
    <w:basedOn w:val="Kappaleenoletusfontti"/>
    <w:uiPriority w:val="99"/>
    <w:unhideWhenUsed/>
    <w:rsid w:val="00A03322"/>
    <w:rPr>
      <w:color w:val="0563C1" w:themeColor="hyperlink"/>
      <w:u w:val="single"/>
    </w:rPr>
  </w:style>
  <w:style w:type="paragraph" w:styleId="Luettelokappale">
    <w:name w:val="List Paragraph"/>
    <w:basedOn w:val="Normaali"/>
    <w:uiPriority w:val="34"/>
    <w:qFormat/>
    <w:rsid w:val="00CD304C"/>
    <w:pPr>
      <w:ind w:left="720"/>
      <w:contextualSpacing/>
    </w:pPr>
  </w:style>
  <w:style w:type="character" w:styleId="Kommentinviite">
    <w:name w:val="annotation reference"/>
    <w:basedOn w:val="Kappaleenoletusfontti"/>
    <w:uiPriority w:val="99"/>
    <w:semiHidden/>
    <w:unhideWhenUsed/>
    <w:rsid w:val="001D2581"/>
    <w:rPr>
      <w:sz w:val="16"/>
      <w:szCs w:val="16"/>
    </w:rPr>
  </w:style>
  <w:style w:type="paragraph" w:styleId="Kommentinteksti">
    <w:name w:val="annotation text"/>
    <w:basedOn w:val="Normaali"/>
    <w:link w:val="KommentintekstiChar"/>
    <w:uiPriority w:val="99"/>
    <w:semiHidden/>
    <w:unhideWhenUsed/>
    <w:rsid w:val="001D25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D2581"/>
    <w:rPr>
      <w:sz w:val="20"/>
      <w:szCs w:val="20"/>
    </w:rPr>
  </w:style>
  <w:style w:type="paragraph" w:styleId="Kommentinotsikko">
    <w:name w:val="annotation subject"/>
    <w:basedOn w:val="Kommentinteksti"/>
    <w:next w:val="Kommentinteksti"/>
    <w:link w:val="KommentinotsikkoChar"/>
    <w:uiPriority w:val="99"/>
    <w:semiHidden/>
    <w:unhideWhenUsed/>
    <w:rsid w:val="001D2581"/>
    <w:rPr>
      <w:b/>
      <w:bCs/>
    </w:rPr>
  </w:style>
  <w:style w:type="character" w:customStyle="1" w:styleId="KommentinotsikkoChar">
    <w:name w:val="Kommentin otsikko Char"/>
    <w:basedOn w:val="KommentintekstiChar"/>
    <w:link w:val="Kommentinotsikko"/>
    <w:uiPriority w:val="99"/>
    <w:semiHidden/>
    <w:rsid w:val="001D2581"/>
    <w:rPr>
      <w:b/>
      <w:bCs/>
      <w:sz w:val="20"/>
      <w:szCs w:val="20"/>
    </w:rPr>
  </w:style>
  <w:style w:type="paragraph" w:styleId="Seliteteksti">
    <w:name w:val="Balloon Text"/>
    <w:basedOn w:val="Normaali"/>
    <w:link w:val="SelitetekstiChar"/>
    <w:uiPriority w:val="99"/>
    <w:semiHidden/>
    <w:unhideWhenUsed/>
    <w:rsid w:val="001D25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2581"/>
    <w:rPr>
      <w:rFonts w:ascii="Segoe UI" w:hAnsi="Segoe UI" w:cs="Segoe UI"/>
      <w:sz w:val="18"/>
      <w:szCs w:val="18"/>
    </w:rPr>
  </w:style>
  <w:style w:type="character" w:styleId="AvattuHyperlinkki">
    <w:name w:val="FollowedHyperlink"/>
    <w:basedOn w:val="Kappaleenoletusfontti"/>
    <w:uiPriority w:val="99"/>
    <w:semiHidden/>
    <w:unhideWhenUsed/>
    <w:rsid w:val="00C77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wipo.int/meetings/en/details.jsp?meeting_id=50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2114</Words>
  <Characters>17131</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Viveca (OKM)</dc:creator>
  <cp:keywords/>
  <dc:description/>
  <cp:lastModifiedBy>Vuopala Anna</cp:lastModifiedBy>
  <cp:revision>3</cp:revision>
  <dcterms:created xsi:type="dcterms:W3CDTF">2019-04-29T09:12:00Z</dcterms:created>
  <dcterms:modified xsi:type="dcterms:W3CDTF">2019-04-29T09:12:00Z</dcterms:modified>
</cp:coreProperties>
</file>