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F2B34" w14:textId="69E9120C" w:rsidR="00EE0859" w:rsidRDefault="00CB5103" w:rsidP="00C7323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14:paraId="4E695D81" w14:textId="77777777" w:rsidR="00EE0859" w:rsidRDefault="00EE0859" w:rsidP="00C73238">
      <w:pPr>
        <w:jc w:val="center"/>
        <w:rPr>
          <w:rFonts w:ascii="Times New Roman" w:hAnsi="Times New Roman" w:cs="Times New Roman"/>
          <w:b/>
        </w:rPr>
      </w:pPr>
    </w:p>
    <w:p w14:paraId="3B350231" w14:textId="77777777" w:rsidR="00EE0859" w:rsidRDefault="00EE0859" w:rsidP="00C73238">
      <w:pPr>
        <w:jc w:val="center"/>
        <w:rPr>
          <w:rFonts w:ascii="Times New Roman" w:hAnsi="Times New Roman" w:cs="Times New Roman"/>
          <w:b/>
        </w:rPr>
      </w:pPr>
    </w:p>
    <w:p w14:paraId="1C6E5DC2" w14:textId="431BFD0F" w:rsidR="00C73238" w:rsidRDefault="00C73238" w:rsidP="00C732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LAUSUNTO</w:t>
      </w:r>
    </w:p>
    <w:p w14:paraId="510F916D" w14:textId="77777777" w:rsidR="00C73238" w:rsidRDefault="00C73238" w:rsidP="005449C4">
      <w:pPr>
        <w:jc w:val="both"/>
        <w:rPr>
          <w:rFonts w:ascii="Times New Roman" w:hAnsi="Times New Roman" w:cs="Times New Roman"/>
          <w:b/>
        </w:rPr>
      </w:pPr>
    </w:p>
    <w:p w14:paraId="5D4AD40B" w14:textId="77777777" w:rsidR="00C73238" w:rsidRDefault="00C73238" w:rsidP="005449C4">
      <w:pPr>
        <w:jc w:val="both"/>
        <w:rPr>
          <w:rFonts w:ascii="Times New Roman" w:hAnsi="Times New Roman" w:cs="Times New Roman"/>
          <w:b/>
        </w:rPr>
      </w:pPr>
    </w:p>
    <w:p w14:paraId="1AB594D9" w14:textId="77777777" w:rsidR="00C73238" w:rsidRDefault="00C73238" w:rsidP="005449C4">
      <w:pPr>
        <w:jc w:val="both"/>
        <w:rPr>
          <w:rFonts w:ascii="Times New Roman" w:hAnsi="Times New Roman" w:cs="Times New Roman"/>
          <w:b/>
        </w:rPr>
      </w:pPr>
    </w:p>
    <w:p w14:paraId="7BA1F3F4" w14:textId="77777777" w:rsidR="00EE0859" w:rsidRDefault="00EE0859" w:rsidP="005449C4">
      <w:pPr>
        <w:jc w:val="both"/>
        <w:rPr>
          <w:rFonts w:ascii="Times New Roman" w:hAnsi="Times New Roman" w:cs="Times New Roman"/>
          <w:b/>
        </w:rPr>
      </w:pPr>
    </w:p>
    <w:p w14:paraId="02FB28C4" w14:textId="77777777" w:rsidR="00681D94" w:rsidRPr="005A0675" w:rsidRDefault="00681D94" w:rsidP="005449C4">
      <w:pPr>
        <w:jc w:val="both"/>
        <w:rPr>
          <w:rFonts w:cs="Times New Roman"/>
          <w:b/>
        </w:rPr>
      </w:pPr>
      <w:r w:rsidRPr="005A0675">
        <w:rPr>
          <w:rFonts w:cs="Times New Roman"/>
          <w:b/>
        </w:rPr>
        <w:t>1. Lausuntopyyntö ja lausunnon sisältö</w:t>
      </w:r>
    </w:p>
    <w:p w14:paraId="2B86D6E5" w14:textId="77777777" w:rsidR="00681D94" w:rsidRPr="005A0675" w:rsidRDefault="00681D94" w:rsidP="005449C4">
      <w:pPr>
        <w:jc w:val="both"/>
        <w:rPr>
          <w:rFonts w:cs="Times New Roman"/>
        </w:rPr>
      </w:pPr>
    </w:p>
    <w:p w14:paraId="10C3FAB8" w14:textId="20CDA2A3" w:rsidR="00681D94" w:rsidRDefault="00681D94" w:rsidP="001C473D">
      <w:pPr>
        <w:jc w:val="both"/>
        <w:rPr>
          <w:rFonts w:cs="Times New Roman"/>
        </w:rPr>
      </w:pPr>
      <w:r w:rsidRPr="005A0675">
        <w:rPr>
          <w:rFonts w:cs="Times New Roman"/>
        </w:rPr>
        <w:t xml:space="preserve">Oikeusministeriö on pyytänyt minulta lausuntoa </w:t>
      </w:r>
      <w:r w:rsidR="00DD418C">
        <w:rPr>
          <w:rFonts w:cs="Times New Roman"/>
        </w:rPr>
        <w:t>uhridirektiivin täytäntöönpanoa valmiste</w:t>
      </w:r>
      <w:r w:rsidR="00DD418C">
        <w:rPr>
          <w:rFonts w:cs="Times New Roman"/>
        </w:rPr>
        <w:t>l</w:t>
      </w:r>
      <w:r w:rsidR="00DD418C">
        <w:rPr>
          <w:rFonts w:cs="Times New Roman"/>
        </w:rPr>
        <w:t>leen työryhmän mietinnöstä.</w:t>
      </w:r>
      <w:r w:rsidR="001C473D">
        <w:rPr>
          <w:rFonts w:cs="Times New Roman"/>
        </w:rPr>
        <w:t xml:space="preserve"> Otan lausunnossani esiin ainoastaan direktiivissä omaksutun uhrikäsityksen</w:t>
      </w:r>
      <w:r w:rsidR="00655A1C">
        <w:rPr>
          <w:rFonts w:cs="Times New Roman"/>
        </w:rPr>
        <w:t xml:space="preserve"> ja Suomen oikeudessa noudatettujen</w:t>
      </w:r>
      <w:r w:rsidR="001C473D">
        <w:rPr>
          <w:rFonts w:cs="Times New Roman"/>
        </w:rPr>
        <w:t xml:space="preserve"> asianomista</w:t>
      </w:r>
      <w:r w:rsidR="00655A1C">
        <w:rPr>
          <w:rFonts w:cs="Times New Roman"/>
        </w:rPr>
        <w:t>jamääritelmie</w:t>
      </w:r>
      <w:r w:rsidR="001C473D">
        <w:rPr>
          <w:rFonts w:cs="Times New Roman"/>
        </w:rPr>
        <w:t>n välisen su</w:t>
      </w:r>
      <w:r w:rsidR="001C473D">
        <w:rPr>
          <w:rFonts w:cs="Times New Roman"/>
        </w:rPr>
        <w:t>h</w:t>
      </w:r>
      <w:r w:rsidR="001C473D">
        <w:rPr>
          <w:rFonts w:cs="Times New Roman"/>
        </w:rPr>
        <w:t xml:space="preserve">teen.  Muilta osin </w:t>
      </w:r>
      <w:r w:rsidR="000E16F9">
        <w:rPr>
          <w:rFonts w:cs="Times New Roman"/>
        </w:rPr>
        <w:t>minulla ei ole lausuttavaa mietinnön johdosta.</w:t>
      </w:r>
    </w:p>
    <w:p w14:paraId="19A67327" w14:textId="77777777" w:rsidR="001C473D" w:rsidRDefault="001C473D" w:rsidP="001C473D">
      <w:pPr>
        <w:jc w:val="both"/>
        <w:rPr>
          <w:rFonts w:cs="Times New Roman"/>
        </w:rPr>
      </w:pPr>
    </w:p>
    <w:p w14:paraId="71EEF1ED" w14:textId="77777777" w:rsidR="00655A1C" w:rsidRDefault="00655A1C" w:rsidP="001C473D">
      <w:pPr>
        <w:jc w:val="both"/>
        <w:rPr>
          <w:rFonts w:cs="Times New Roman"/>
        </w:rPr>
      </w:pPr>
    </w:p>
    <w:p w14:paraId="219C5651" w14:textId="76C3F92C" w:rsidR="001C473D" w:rsidRPr="00655A1C" w:rsidRDefault="00655A1C" w:rsidP="001C473D">
      <w:pPr>
        <w:jc w:val="both"/>
        <w:rPr>
          <w:rFonts w:cs="Times New Roman"/>
          <w:b/>
        </w:rPr>
      </w:pPr>
      <w:r>
        <w:rPr>
          <w:rFonts w:cs="Times New Roman"/>
          <w:b/>
        </w:rPr>
        <w:t>2. Direktiivin uhrikäsite ja suomalaiset asianomistajamääritelmät</w:t>
      </w:r>
    </w:p>
    <w:p w14:paraId="5CE6476F" w14:textId="77777777" w:rsidR="00655A1C" w:rsidRDefault="00655A1C" w:rsidP="005449C4">
      <w:pPr>
        <w:jc w:val="both"/>
        <w:rPr>
          <w:rFonts w:cs="Times New Roman"/>
        </w:rPr>
      </w:pPr>
    </w:p>
    <w:p w14:paraId="264EA829" w14:textId="1CD1792D" w:rsidR="00C82481" w:rsidRDefault="00C82481" w:rsidP="005449C4">
      <w:pPr>
        <w:jc w:val="both"/>
        <w:rPr>
          <w:rFonts w:cs="Times New Roman"/>
        </w:rPr>
      </w:pPr>
      <w:r>
        <w:rPr>
          <w:rFonts w:cs="Times New Roman"/>
        </w:rPr>
        <w:t>Uhridirektiivin 2 artiklan 1 kohdan mukaan uhrilla tarkoitetaan i) luonnollista henkilöä, jolle on aiheutunut rikoksesta välitön vahinko, kuten fyysinen, henkinen tai emotionaalinen haitta taikka taloudellinen menetys; sekä ii) sellaisen henkilön, jonka kuolema on välitön seuraus rikoksesta, perheenjäseniä, joille on aiheutunut vahinkoa kyseisen henkilön kuoleman johdo</w:t>
      </w:r>
      <w:r>
        <w:rPr>
          <w:rFonts w:cs="Times New Roman"/>
        </w:rPr>
        <w:t>s</w:t>
      </w:r>
      <w:r>
        <w:rPr>
          <w:rFonts w:cs="Times New Roman"/>
        </w:rPr>
        <w:t>ta.</w:t>
      </w:r>
    </w:p>
    <w:p w14:paraId="28DF6279" w14:textId="77777777" w:rsidR="00C82481" w:rsidRDefault="00C82481" w:rsidP="005449C4">
      <w:pPr>
        <w:jc w:val="both"/>
        <w:rPr>
          <w:rFonts w:cs="Times New Roman"/>
        </w:rPr>
      </w:pPr>
    </w:p>
    <w:p w14:paraId="2B22762F" w14:textId="5F37DE3A" w:rsidR="00C82481" w:rsidRDefault="00C82481" w:rsidP="005449C4">
      <w:pPr>
        <w:jc w:val="both"/>
        <w:rPr>
          <w:rFonts w:cs="Times New Roman"/>
        </w:rPr>
      </w:pPr>
      <w:r>
        <w:rPr>
          <w:rFonts w:cs="Times New Roman"/>
        </w:rPr>
        <w:t>Suomessa asianomistajana</w:t>
      </w:r>
      <w:r w:rsidR="001647C5">
        <w:rPr>
          <w:rFonts w:cs="Times New Roman"/>
        </w:rPr>
        <w:t xml:space="preserve"> puolestaan pidetään a) rikoksella loukatun oikeushyvän haltijaa; sekä b) henkilöä, jolle on rikoksen johdosta aiheutunut välitöntä vahinkoa.</w:t>
      </w:r>
      <w:r w:rsidR="001647C5">
        <w:rPr>
          <w:rStyle w:val="Alaviitteenviite"/>
          <w:rFonts w:cs="Times New Roman"/>
        </w:rPr>
        <w:footnoteReference w:id="1"/>
      </w:r>
    </w:p>
    <w:p w14:paraId="0643BB11" w14:textId="77777777" w:rsidR="001647C5" w:rsidRDefault="001647C5" w:rsidP="005449C4">
      <w:pPr>
        <w:jc w:val="both"/>
        <w:rPr>
          <w:rFonts w:cs="Times New Roman"/>
        </w:rPr>
      </w:pPr>
    </w:p>
    <w:p w14:paraId="6F6C2BE0" w14:textId="5E6D494D" w:rsidR="001647C5" w:rsidRDefault="001647C5" w:rsidP="005449C4">
      <w:pPr>
        <w:jc w:val="both"/>
        <w:rPr>
          <w:rFonts w:cs="Times New Roman"/>
        </w:rPr>
      </w:pPr>
      <w:r>
        <w:rPr>
          <w:rFonts w:cs="Times New Roman"/>
        </w:rPr>
        <w:t>Mietinnön mukaan</w:t>
      </w:r>
      <w:r w:rsidR="006B187D">
        <w:rPr>
          <w:rFonts w:cs="Times New Roman"/>
        </w:rPr>
        <w:t xml:space="preserve"> (</w:t>
      </w:r>
      <w:r w:rsidR="00734E14">
        <w:rPr>
          <w:rFonts w:cs="Times New Roman"/>
        </w:rPr>
        <w:t xml:space="preserve">ks. </w:t>
      </w:r>
      <w:r w:rsidR="006B187D">
        <w:rPr>
          <w:rFonts w:cs="Times New Roman"/>
        </w:rPr>
        <w:t>s. 21-23)</w:t>
      </w:r>
      <w:r>
        <w:rPr>
          <w:rFonts w:cs="Times New Roman"/>
        </w:rPr>
        <w:t xml:space="preserve"> direktiivin uhrikäsitys ja Suomessa sovelletut asianomist</w:t>
      </w:r>
      <w:r>
        <w:rPr>
          <w:rFonts w:cs="Times New Roman"/>
        </w:rPr>
        <w:t>a</w:t>
      </w:r>
      <w:r>
        <w:rPr>
          <w:rFonts w:cs="Times New Roman"/>
        </w:rPr>
        <w:t>jamääritelmät vastaavat siinä määrin toisiaan, että uhridirektiivin 2 artiklan 1 kohta ei edell</w:t>
      </w:r>
      <w:r>
        <w:rPr>
          <w:rFonts w:cs="Times New Roman"/>
        </w:rPr>
        <w:t>y</w:t>
      </w:r>
      <w:r>
        <w:rPr>
          <w:rFonts w:cs="Times New Roman"/>
        </w:rPr>
        <w:t>tä lainsäädännön muuttamista.</w:t>
      </w:r>
    </w:p>
    <w:p w14:paraId="51A22B1D" w14:textId="77777777" w:rsidR="001647C5" w:rsidRDefault="001647C5" w:rsidP="005449C4">
      <w:pPr>
        <w:jc w:val="both"/>
        <w:rPr>
          <w:rFonts w:cs="Times New Roman"/>
        </w:rPr>
      </w:pPr>
    </w:p>
    <w:p w14:paraId="501E18CA" w14:textId="6608107C" w:rsidR="005C441B" w:rsidRDefault="00B74755" w:rsidP="005C441B">
      <w:pPr>
        <w:jc w:val="both"/>
        <w:rPr>
          <w:rFonts w:cs="Times New Roman"/>
        </w:rPr>
      </w:pPr>
      <w:r>
        <w:rPr>
          <w:rFonts w:cs="Times New Roman"/>
        </w:rPr>
        <w:t>Tätä j</w:t>
      </w:r>
      <w:r w:rsidR="005C441B">
        <w:rPr>
          <w:rFonts w:cs="Times New Roman"/>
        </w:rPr>
        <w:t>ohtopäätöstä voidaan kuitenkin pitää pulmallisena, kun otetaan huomioon uhridirekti</w:t>
      </w:r>
      <w:r w:rsidR="005C441B">
        <w:rPr>
          <w:rFonts w:cs="Times New Roman"/>
        </w:rPr>
        <w:t>i</w:t>
      </w:r>
      <w:r w:rsidR="005C441B">
        <w:rPr>
          <w:rFonts w:cs="Times New Roman"/>
        </w:rPr>
        <w:t xml:space="preserve">vin </w:t>
      </w:r>
      <w:r w:rsidR="00286A4F">
        <w:rPr>
          <w:rFonts w:cs="Times New Roman"/>
        </w:rPr>
        <w:t>2 artiklan 1 kohdan ii-alakohta, jonka mukaan uhrina pidetään myös rikoksella surmatun henkilön perheenjäsentä, jolle on aiheutunut vahinkoa surmatun kuolemasta. Käytännössä tämä direktiivin linjaus tarkoittaa sitä, että surmattujen perheenjäsenellä pitäisi olla kaikki uhridirektiivissä mainitut oikeudet</w:t>
      </w:r>
      <w:r w:rsidR="00734E14">
        <w:rPr>
          <w:rFonts w:cs="Times New Roman"/>
        </w:rPr>
        <w:t xml:space="preserve"> (ks. mietintö s. 22)</w:t>
      </w:r>
      <w:r w:rsidR="00286A4F">
        <w:rPr>
          <w:rFonts w:cs="Times New Roman"/>
        </w:rPr>
        <w:t>.</w:t>
      </w:r>
    </w:p>
    <w:p w14:paraId="1F06CDB7" w14:textId="77777777" w:rsidR="00952E29" w:rsidRDefault="00952E29" w:rsidP="005C441B">
      <w:pPr>
        <w:jc w:val="both"/>
        <w:rPr>
          <w:rFonts w:cs="Times New Roman"/>
        </w:rPr>
      </w:pPr>
    </w:p>
    <w:p w14:paraId="630EA8C4" w14:textId="55470B14" w:rsidR="00952E29" w:rsidRDefault="00C9667A" w:rsidP="005C441B">
      <w:pPr>
        <w:jc w:val="both"/>
        <w:rPr>
          <w:rFonts w:cs="Times New Roman"/>
        </w:rPr>
      </w:pPr>
      <w:r>
        <w:rPr>
          <w:rFonts w:cs="Times New Roman"/>
        </w:rPr>
        <w:t>Suomessa korkein oikeus on ottanut kantaa surmatun läheisen asianomistaja-asemaan ra</w:t>
      </w:r>
      <w:r>
        <w:rPr>
          <w:rFonts w:cs="Times New Roman"/>
        </w:rPr>
        <w:t>t</w:t>
      </w:r>
      <w:r>
        <w:rPr>
          <w:rFonts w:cs="Times New Roman"/>
        </w:rPr>
        <w:t xml:space="preserve">kaisussa KKO 2004:75. Sanotun </w:t>
      </w:r>
      <w:r w:rsidR="00C22D67">
        <w:rPr>
          <w:rFonts w:cs="Times New Roman"/>
        </w:rPr>
        <w:t>ratkaisun perustelukohta 4 kuuluu seuraavasti:</w:t>
      </w:r>
    </w:p>
    <w:p w14:paraId="7586F3E2" w14:textId="77777777" w:rsidR="00C22D67" w:rsidRDefault="00C22D67" w:rsidP="005C441B">
      <w:pPr>
        <w:jc w:val="both"/>
        <w:rPr>
          <w:rFonts w:cs="Times New Roman"/>
        </w:rPr>
      </w:pPr>
    </w:p>
    <w:p w14:paraId="2180E059" w14:textId="7DB8EE48" w:rsidR="00C22D67" w:rsidRDefault="00C22D67" w:rsidP="00C22D67">
      <w:pPr>
        <w:ind w:left="1304"/>
        <w:jc w:val="both"/>
        <w:rPr>
          <w:rFonts w:cs="Times New Roman"/>
        </w:rPr>
      </w:pPr>
      <w:r w:rsidRPr="00C22D67">
        <w:rPr>
          <w:rFonts w:cs="Times New Roman"/>
        </w:rPr>
        <w:t>4. Mikko I:n vanhemmat eivät ole Mikko I:hin kohdistuneen rikoksen osalta r</w:t>
      </w:r>
      <w:r w:rsidRPr="00C22D67">
        <w:rPr>
          <w:rFonts w:cs="Times New Roman"/>
        </w:rPr>
        <w:t>i</w:t>
      </w:r>
      <w:r w:rsidRPr="00C22D67">
        <w:rPr>
          <w:rFonts w:cs="Times New Roman"/>
        </w:rPr>
        <w:t>koksella välittömästi loukatun tai vaarannetun oikeushyvän haltijoita eli asia</w:t>
      </w:r>
      <w:r w:rsidRPr="00C22D67">
        <w:rPr>
          <w:rFonts w:cs="Times New Roman"/>
        </w:rPr>
        <w:t>n</w:t>
      </w:r>
      <w:r w:rsidRPr="00C22D67">
        <w:rPr>
          <w:rFonts w:cs="Times New Roman"/>
        </w:rPr>
        <w:t xml:space="preserve">omistajia. </w:t>
      </w:r>
      <w:r w:rsidRPr="00C22D67">
        <w:rPr>
          <w:rFonts w:cs="Times New Roman"/>
          <w:i/>
        </w:rPr>
        <w:t>He eivät ole asianomistajia silläkään perusteella, että heillä Mikko I:n kuoleman johdosta on oikeus vaatia vahingonkorvauslain 5 luvun 4 a §:ssä tarko</w:t>
      </w:r>
      <w:r w:rsidRPr="00C22D67">
        <w:rPr>
          <w:rFonts w:cs="Times New Roman"/>
          <w:i/>
        </w:rPr>
        <w:t>i</w:t>
      </w:r>
      <w:r w:rsidRPr="00C22D67">
        <w:rPr>
          <w:rFonts w:cs="Times New Roman"/>
          <w:i/>
        </w:rPr>
        <w:t>tettua korvausta</w:t>
      </w:r>
      <w:r>
        <w:rPr>
          <w:rFonts w:cs="Times New Roman"/>
        </w:rPr>
        <w:t xml:space="preserve"> (Kurs. M. V.)</w:t>
      </w:r>
      <w:r w:rsidRPr="00C22D67">
        <w:rPr>
          <w:rFonts w:cs="Times New Roman"/>
        </w:rPr>
        <w:t xml:space="preserve"> Mikko I:lle kuulunut oikeus vaatia rangaistusta ei ole sanotun oikeudenkäynnistä rikosasioissa annetun lain 1 luvun 17 §:n 1 m</w:t>
      </w:r>
      <w:r w:rsidRPr="00C22D67">
        <w:rPr>
          <w:rFonts w:cs="Times New Roman"/>
        </w:rPr>
        <w:t>o</w:t>
      </w:r>
      <w:r w:rsidRPr="00C22D67">
        <w:rPr>
          <w:rFonts w:cs="Times New Roman"/>
        </w:rPr>
        <w:lastRenderedPageBreak/>
        <w:t>mentin nojalla siirtynyt heille eikä säännös ole tässä suhteessa tulkinnanvara</w:t>
      </w:r>
      <w:r w:rsidRPr="00C22D67">
        <w:rPr>
          <w:rFonts w:cs="Times New Roman"/>
        </w:rPr>
        <w:t>i</w:t>
      </w:r>
      <w:r w:rsidRPr="00C22D67">
        <w:rPr>
          <w:rFonts w:cs="Times New Roman"/>
        </w:rPr>
        <w:t>nen. Edellä lausutun perusteella sen soveltaminen ei myöskään johda perustu</w:t>
      </w:r>
      <w:r w:rsidRPr="00C22D67">
        <w:rPr>
          <w:rFonts w:cs="Times New Roman"/>
        </w:rPr>
        <w:t>s</w:t>
      </w:r>
      <w:r w:rsidRPr="00C22D67">
        <w:rPr>
          <w:rFonts w:cs="Times New Roman"/>
        </w:rPr>
        <w:t>lain vastaiseen tulokseen. Mikko I:n vanhempien rangaistusvaatimusta ei siten voida tutkia.</w:t>
      </w:r>
    </w:p>
    <w:p w14:paraId="3A9A3293" w14:textId="77777777" w:rsidR="00C22D67" w:rsidRDefault="00C22D67" w:rsidP="00C22D67">
      <w:pPr>
        <w:jc w:val="both"/>
        <w:rPr>
          <w:rFonts w:cs="Times New Roman"/>
        </w:rPr>
      </w:pPr>
    </w:p>
    <w:p w14:paraId="2BAA6780" w14:textId="063A41A5" w:rsidR="00D3472D" w:rsidRDefault="00597D14" w:rsidP="00C22D67">
      <w:pPr>
        <w:jc w:val="both"/>
        <w:rPr>
          <w:rFonts w:cs="Times New Roman"/>
        </w:rPr>
      </w:pPr>
      <w:r>
        <w:rPr>
          <w:rFonts w:cs="Times New Roman"/>
        </w:rPr>
        <w:t xml:space="preserve">Kuten perustelukohdasta siis ilmenee, </w:t>
      </w:r>
      <w:r w:rsidRPr="006912C6">
        <w:rPr>
          <w:rFonts w:cs="Times New Roman"/>
          <w:i/>
        </w:rPr>
        <w:t>surmatun läheisiä ei Suomessa pidetä asianomistajina</w:t>
      </w:r>
      <w:r>
        <w:rPr>
          <w:rFonts w:cs="Times New Roman"/>
        </w:rPr>
        <w:t>. Prosessilainsäädännössä surmatun läheisten oikeuksia säätelee rikosprosessilain (ROL) 1:17</w:t>
      </w:r>
      <w:r w:rsidR="00D3472D">
        <w:rPr>
          <w:rFonts w:cs="Times New Roman"/>
        </w:rPr>
        <w:t>.1</w:t>
      </w:r>
      <w:r>
        <w:rPr>
          <w:rFonts w:cs="Times New Roman"/>
        </w:rPr>
        <w:t xml:space="preserve">, jossa on säännökset </w:t>
      </w:r>
      <w:r w:rsidR="00D3472D">
        <w:rPr>
          <w:rFonts w:cs="Times New Roman"/>
        </w:rPr>
        <w:t xml:space="preserve">rikoksen johdosta kuolleen </w:t>
      </w:r>
      <w:r>
        <w:rPr>
          <w:rFonts w:cs="Times New Roman"/>
        </w:rPr>
        <w:t>läheisellä olevasta syyteoikeudesta.</w:t>
      </w:r>
      <w:r w:rsidR="00D3472D">
        <w:rPr>
          <w:rFonts w:cs="Times New Roman"/>
        </w:rPr>
        <w:t xml:space="preserve"> </w:t>
      </w:r>
      <w:r w:rsidR="00D3472D" w:rsidRPr="006912C6">
        <w:rPr>
          <w:rFonts w:cs="Times New Roman"/>
          <w:i/>
        </w:rPr>
        <w:t>Sanotun lainkohdan mukaan läheinen ei kuitenkaan ole rikoksen asianomistaja, vaan hänellä on ainoastaan oikeus käyttää asianomistajan syyteoikeutta</w:t>
      </w:r>
      <w:r w:rsidR="00D3472D">
        <w:rPr>
          <w:rFonts w:cs="Times New Roman"/>
        </w:rPr>
        <w:t>.</w:t>
      </w:r>
    </w:p>
    <w:p w14:paraId="51CFF489" w14:textId="77777777" w:rsidR="006912C6" w:rsidRDefault="006912C6" w:rsidP="00C22D67">
      <w:pPr>
        <w:jc w:val="both"/>
        <w:rPr>
          <w:rFonts w:cs="Times New Roman"/>
        </w:rPr>
      </w:pPr>
    </w:p>
    <w:p w14:paraId="4892F2F7" w14:textId="73ADEB09" w:rsidR="00C22D67" w:rsidRDefault="00597D14" w:rsidP="00C22D67">
      <w:pPr>
        <w:jc w:val="both"/>
        <w:rPr>
          <w:rFonts w:cs="Times New Roman"/>
        </w:rPr>
      </w:pPr>
      <w:r>
        <w:rPr>
          <w:rFonts w:cs="Times New Roman"/>
        </w:rPr>
        <w:t xml:space="preserve">Sen sijaan muita </w:t>
      </w:r>
      <w:r w:rsidR="006912C6">
        <w:rPr>
          <w:rFonts w:cs="Times New Roman"/>
        </w:rPr>
        <w:t xml:space="preserve">asianomistajalle kuuluvia </w:t>
      </w:r>
      <w:r>
        <w:rPr>
          <w:rFonts w:cs="Times New Roman"/>
        </w:rPr>
        <w:t xml:space="preserve">oikeuksia surmatun läheisellä ei ainakaan </w:t>
      </w:r>
      <w:r w:rsidR="006912C6">
        <w:rPr>
          <w:rFonts w:cs="Times New Roman"/>
        </w:rPr>
        <w:t>riko</w:t>
      </w:r>
      <w:r w:rsidR="006912C6">
        <w:rPr>
          <w:rFonts w:cs="Times New Roman"/>
        </w:rPr>
        <w:t>s</w:t>
      </w:r>
      <w:r w:rsidR="006912C6">
        <w:rPr>
          <w:rFonts w:cs="Times New Roman"/>
        </w:rPr>
        <w:t>prosessilain sanamuodon mukaan ole. Esimerkiksi ROL 2:1a:n mukainen avustaja</w:t>
      </w:r>
      <w:r w:rsidR="00B74755">
        <w:rPr>
          <w:rFonts w:cs="Times New Roman"/>
        </w:rPr>
        <w:t xml:space="preserve"> ja</w:t>
      </w:r>
      <w:r w:rsidR="006912C6">
        <w:rPr>
          <w:rFonts w:cs="Times New Roman"/>
        </w:rPr>
        <w:t xml:space="preserve"> ROL 2:3:n mukainen tukihenkilö voidaan määrätä vain asianomistajalle.</w:t>
      </w:r>
      <w:r w:rsidR="00283F84">
        <w:rPr>
          <w:rStyle w:val="Alaviitteenviite"/>
          <w:rFonts w:cs="Times New Roman"/>
        </w:rPr>
        <w:footnoteReference w:id="2"/>
      </w:r>
      <w:r w:rsidR="006912C6">
        <w:rPr>
          <w:rFonts w:cs="Times New Roman"/>
        </w:rPr>
        <w:t xml:space="preserve"> Samaten syyttäjä on ROL 3:9:n mukaan velvollinen ajamaan vain asianomistajan yksityisoikeudellista vaatimusta.</w:t>
      </w:r>
      <w:r w:rsidR="006912C6">
        <w:rPr>
          <w:rStyle w:val="Alaviitteenviite"/>
          <w:rFonts w:cs="Times New Roman"/>
        </w:rPr>
        <w:footnoteReference w:id="3"/>
      </w:r>
      <w:r w:rsidR="00B74755">
        <w:rPr>
          <w:rFonts w:cs="Times New Roman"/>
        </w:rPr>
        <w:t xml:space="preserve"> </w:t>
      </w:r>
      <w:r w:rsidR="00AA5122">
        <w:rPr>
          <w:rFonts w:cs="Times New Roman"/>
        </w:rPr>
        <w:t>Edelleen</w:t>
      </w:r>
      <w:r w:rsidR="00E85485">
        <w:rPr>
          <w:rFonts w:cs="Times New Roman"/>
        </w:rPr>
        <w:t xml:space="preserve"> ROL 5:15.1:n 3-kohdan</w:t>
      </w:r>
      <w:r>
        <w:rPr>
          <w:rFonts w:cs="Times New Roman"/>
        </w:rPr>
        <w:t xml:space="preserve"> mukaan vain asianomistaja kutsuttava </w:t>
      </w:r>
      <w:r w:rsidR="00E85485">
        <w:rPr>
          <w:rFonts w:cs="Times New Roman"/>
        </w:rPr>
        <w:t xml:space="preserve">pääkäsittelyyn. </w:t>
      </w:r>
      <w:r w:rsidR="00AA5122">
        <w:rPr>
          <w:rFonts w:cs="Times New Roman"/>
        </w:rPr>
        <w:t>Va</w:t>
      </w:r>
      <w:r w:rsidR="00AA5122">
        <w:rPr>
          <w:rFonts w:cs="Times New Roman"/>
        </w:rPr>
        <w:t>s</w:t>
      </w:r>
      <w:r w:rsidR="00AA5122">
        <w:rPr>
          <w:rFonts w:cs="Times New Roman"/>
        </w:rPr>
        <w:t>taavasti mietinnössä ehdotetun ROL 5:15.4:n mukaan vain asianomistajalle on ilmoitettava istunnon ajasta ja paikasta. Muiltakin osin mietinnössä ehdotetuissa säännöksissä puhutaan vain asianomistajan oikeuksista.</w:t>
      </w:r>
      <w:r w:rsidR="00283F84">
        <w:rPr>
          <w:rFonts w:cs="Times New Roman"/>
        </w:rPr>
        <w:t xml:space="preserve"> </w:t>
      </w:r>
    </w:p>
    <w:p w14:paraId="4E0E24C8" w14:textId="77777777" w:rsidR="005F7F8E" w:rsidRDefault="005F7F8E" w:rsidP="00C22D67">
      <w:pPr>
        <w:jc w:val="both"/>
        <w:rPr>
          <w:rFonts w:cs="Times New Roman"/>
        </w:rPr>
      </w:pPr>
    </w:p>
    <w:p w14:paraId="05257A43" w14:textId="77777777" w:rsidR="00252ECC" w:rsidRDefault="00252ECC" w:rsidP="00C22D67">
      <w:pPr>
        <w:jc w:val="both"/>
        <w:rPr>
          <w:rFonts w:cs="Times New Roman"/>
          <w:b/>
        </w:rPr>
      </w:pPr>
    </w:p>
    <w:p w14:paraId="0FA5E35A" w14:textId="6A0FAD3D" w:rsidR="005F7F8E" w:rsidRPr="005F7F8E" w:rsidRDefault="005F7F8E" w:rsidP="00C22D67">
      <w:pPr>
        <w:jc w:val="both"/>
        <w:rPr>
          <w:rFonts w:cs="Times New Roman"/>
          <w:b/>
        </w:rPr>
      </w:pPr>
      <w:r>
        <w:rPr>
          <w:rFonts w:cs="Times New Roman"/>
          <w:b/>
        </w:rPr>
        <w:t>3. Johtopäätös</w:t>
      </w:r>
    </w:p>
    <w:p w14:paraId="26353C7B" w14:textId="77777777" w:rsidR="00AA5122" w:rsidRDefault="00AA5122" w:rsidP="00C22D67">
      <w:pPr>
        <w:jc w:val="both"/>
        <w:rPr>
          <w:rFonts w:cs="Times New Roman"/>
        </w:rPr>
      </w:pPr>
    </w:p>
    <w:p w14:paraId="6113ECB3" w14:textId="15E6E259" w:rsidR="00AA5122" w:rsidRDefault="00AA5122" w:rsidP="00C22D67">
      <w:pPr>
        <w:jc w:val="both"/>
        <w:rPr>
          <w:rFonts w:cs="Times New Roman"/>
        </w:rPr>
      </w:pPr>
      <w:r>
        <w:rPr>
          <w:rFonts w:cs="Times New Roman"/>
        </w:rPr>
        <w:t xml:space="preserve">Pulmana lausuntomietinnössä on näin ollen se, että </w:t>
      </w:r>
      <w:r w:rsidR="00770083">
        <w:rPr>
          <w:rFonts w:cs="Times New Roman"/>
        </w:rPr>
        <w:t>voimaanpantavan uhridirektiivin uhr</w:t>
      </w:r>
      <w:r w:rsidR="00770083">
        <w:rPr>
          <w:rFonts w:cs="Times New Roman"/>
        </w:rPr>
        <w:t>i</w:t>
      </w:r>
      <w:r w:rsidR="00770083">
        <w:rPr>
          <w:rFonts w:cs="Times New Roman"/>
        </w:rPr>
        <w:t xml:space="preserve">määritelmä on surmatun läheisiä koskien laajempi kuin suomalainen asianomistajakäsite. Tästä puolestaan seuraa, että surmatun läheiset eivät </w:t>
      </w:r>
      <w:r w:rsidR="005662B7">
        <w:rPr>
          <w:rFonts w:cs="Times New Roman"/>
        </w:rPr>
        <w:t xml:space="preserve">ainakaan lakien sanamuodon mukaisen tulkinnan nojalla </w:t>
      </w:r>
      <w:r w:rsidR="00770083">
        <w:rPr>
          <w:rFonts w:cs="Times New Roman"/>
        </w:rPr>
        <w:t>– syyteoikeutta lukuun ottamatta – saa Suomessa uhridirektiivin mukaisia oikeuksia, koska mietinnössä (samoin kuin jo tällä h</w:t>
      </w:r>
      <w:r w:rsidR="005662B7">
        <w:rPr>
          <w:rFonts w:cs="Times New Roman"/>
        </w:rPr>
        <w:t>etkellä voimassa olevassa lainsäädännö</w:t>
      </w:r>
      <w:r w:rsidR="005662B7">
        <w:rPr>
          <w:rFonts w:cs="Times New Roman"/>
        </w:rPr>
        <w:t>s</w:t>
      </w:r>
      <w:r w:rsidR="005662B7">
        <w:rPr>
          <w:rFonts w:cs="Times New Roman"/>
        </w:rPr>
        <w:t>sä</w:t>
      </w:r>
      <w:r w:rsidR="00770083">
        <w:rPr>
          <w:rFonts w:cs="Times New Roman"/>
        </w:rPr>
        <w:t>) uhridirektiivin mukaiset oikeudet taataan vain asianomistajalle, jollaisena surmatun l</w:t>
      </w:r>
      <w:r w:rsidR="00770083">
        <w:rPr>
          <w:rFonts w:cs="Times New Roman"/>
        </w:rPr>
        <w:t>ä</w:t>
      </w:r>
      <w:r w:rsidR="00770083">
        <w:rPr>
          <w:rFonts w:cs="Times New Roman"/>
        </w:rPr>
        <w:t>heistä ei siis Suomessa pidetä.</w:t>
      </w:r>
    </w:p>
    <w:p w14:paraId="7675EA2E" w14:textId="77777777" w:rsidR="005F7F8E" w:rsidRDefault="005F7F8E" w:rsidP="00C22D67">
      <w:pPr>
        <w:jc w:val="both"/>
        <w:rPr>
          <w:rFonts w:cs="Times New Roman"/>
        </w:rPr>
      </w:pPr>
    </w:p>
    <w:p w14:paraId="5D85D21A" w14:textId="1ADFA8F7" w:rsidR="007566DF" w:rsidRDefault="00C71D6D" w:rsidP="00C22D67">
      <w:pPr>
        <w:jc w:val="both"/>
        <w:rPr>
          <w:rFonts w:cs="Times New Roman"/>
        </w:rPr>
      </w:pPr>
      <w:r>
        <w:rPr>
          <w:rFonts w:cs="Times New Roman"/>
        </w:rPr>
        <w:t>Uhridirektiivin täysimittainen voimaansaattaminen</w:t>
      </w:r>
      <w:r w:rsidR="00456370">
        <w:rPr>
          <w:rFonts w:cs="Times New Roman"/>
        </w:rPr>
        <w:t xml:space="preserve"> näyttäisikin edellyttävän</w:t>
      </w:r>
      <w:r>
        <w:rPr>
          <w:rFonts w:cs="Times New Roman"/>
        </w:rPr>
        <w:t xml:space="preserve"> sitä, että jatk</w:t>
      </w:r>
      <w:r>
        <w:rPr>
          <w:rFonts w:cs="Times New Roman"/>
        </w:rPr>
        <w:t>o</w:t>
      </w:r>
      <w:r>
        <w:rPr>
          <w:rFonts w:cs="Times New Roman"/>
        </w:rPr>
        <w:t xml:space="preserve">valmistelussa mietitään, miten </w:t>
      </w:r>
      <w:r w:rsidR="007566DF">
        <w:rPr>
          <w:rFonts w:cs="Times New Roman"/>
        </w:rPr>
        <w:t>direktiivissä edel</w:t>
      </w:r>
      <w:r w:rsidR="00456370">
        <w:rPr>
          <w:rFonts w:cs="Times New Roman"/>
        </w:rPr>
        <w:t>lytetyt oikeudet saataisiin</w:t>
      </w:r>
      <w:r w:rsidR="007566DF">
        <w:rPr>
          <w:rFonts w:cs="Times New Roman"/>
        </w:rPr>
        <w:t xml:space="preserve"> direktiivin vaat</w:t>
      </w:r>
      <w:r w:rsidR="007566DF">
        <w:rPr>
          <w:rFonts w:cs="Times New Roman"/>
        </w:rPr>
        <w:t>i</w:t>
      </w:r>
      <w:r w:rsidR="007566DF">
        <w:rPr>
          <w:rFonts w:cs="Times New Roman"/>
        </w:rPr>
        <w:t xml:space="preserve">min tavoin ulotetuksi myös surmatun läheisiin. </w:t>
      </w:r>
      <w:r w:rsidR="00AA04EC">
        <w:rPr>
          <w:rFonts w:cs="Times New Roman"/>
        </w:rPr>
        <w:t>Käsittääkseni vaihtoehtoisia ratkaisumalleja on kolme, joista mikään ei ole kovin hyvä.</w:t>
      </w:r>
    </w:p>
    <w:p w14:paraId="5571FDE1" w14:textId="77777777" w:rsidR="007566DF" w:rsidRDefault="007566DF" w:rsidP="00C22D67">
      <w:pPr>
        <w:jc w:val="both"/>
        <w:rPr>
          <w:rFonts w:cs="Times New Roman"/>
        </w:rPr>
      </w:pPr>
    </w:p>
    <w:p w14:paraId="24A5CB91" w14:textId="7AA66E23" w:rsidR="005F7F8E" w:rsidRDefault="00DC1B27" w:rsidP="00C22D67">
      <w:pPr>
        <w:jc w:val="both"/>
        <w:rPr>
          <w:rFonts w:cs="Times New Roman"/>
        </w:rPr>
      </w:pPr>
      <w:r>
        <w:rPr>
          <w:rFonts w:cs="Times New Roman"/>
        </w:rPr>
        <w:t>Ensinnäkään hyvänä vaihtoehtona ei voida pitää sitä</w:t>
      </w:r>
      <w:r w:rsidR="007566DF">
        <w:rPr>
          <w:rFonts w:cs="Times New Roman"/>
        </w:rPr>
        <w:t>, että lakiin otettaisiin erityinen asia</w:t>
      </w:r>
      <w:r w:rsidR="007566DF">
        <w:rPr>
          <w:rFonts w:cs="Times New Roman"/>
        </w:rPr>
        <w:t>n</w:t>
      </w:r>
      <w:r w:rsidR="007566DF">
        <w:rPr>
          <w:rFonts w:cs="Times New Roman"/>
        </w:rPr>
        <w:t xml:space="preserve">omistajamääritelmä, jossa surmatun läheiset </w:t>
      </w:r>
      <w:r>
        <w:rPr>
          <w:rFonts w:cs="Times New Roman"/>
        </w:rPr>
        <w:t>säädettäisiin asianomistajiksi.</w:t>
      </w:r>
      <w:r w:rsidR="007566DF">
        <w:rPr>
          <w:rFonts w:cs="Times New Roman"/>
        </w:rPr>
        <w:t xml:space="preserve"> Toisaalta onge</w:t>
      </w:r>
      <w:r w:rsidR="007566DF">
        <w:rPr>
          <w:rFonts w:cs="Times New Roman"/>
        </w:rPr>
        <w:t>l</w:t>
      </w:r>
      <w:r w:rsidR="007566DF">
        <w:rPr>
          <w:rFonts w:cs="Times New Roman"/>
        </w:rPr>
        <w:t>mallisena voidaan varmasti pitää sellaistakin ratkaisua, että kussakin direktiivin mukai</w:t>
      </w:r>
      <w:r>
        <w:rPr>
          <w:rFonts w:cs="Times New Roman"/>
        </w:rPr>
        <w:t>sta</w:t>
      </w:r>
      <w:r w:rsidR="007566DF">
        <w:rPr>
          <w:rFonts w:cs="Times New Roman"/>
        </w:rPr>
        <w:t xml:space="preserve"> asianomistajan oikeutta koskevassa säännöksessä säädettäisiin erikseen, että</w:t>
      </w:r>
      <w:r w:rsidR="00B74755">
        <w:rPr>
          <w:rFonts w:cs="Times New Roman"/>
        </w:rPr>
        <w:t xml:space="preserve"> asianomistajan ohella</w:t>
      </w:r>
      <w:r w:rsidR="007566DF">
        <w:rPr>
          <w:rFonts w:cs="Times New Roman"/>
        </w:rPr>
        <w:t xml:space="preserve"> myös surmatun läheisellä on sanottu oikeus. </w:t>
      </w:r>
      <w:r w:rsidR="00AA04EC">
        <w:rPr>
          <w:rFonts w:cs="Times New Roman"/>
        </w:rPr>
        <w:t xml:space="preserve">Kolmantena vaihtoehtona olisi puolestaan se, että uhridirektiivin voimaansaattamisesityksen perusteluissa mainittaisiin erikseen, että </w:t>
      </w:r>
      <w:r w:rsidR="00AA04EC">
        <w:rPr>
          <w:rFonts w:cs="Times New Roman"/>
        </w:rPr>
        <w:lastRenderedPageBreak/>
        <w:t>lai</w:t>
      </w:r>
      <w:r>
        <w:rPr>
          <w:rFonts w:cs="Times New Roman"/>
        </w:rPr>
        <w:t xml:space="preserve">n mukaan </w:t>
      </w:r>
      <w:r w:rsidR="00AA04EC">
        <w:rPr>
          <w:rFonts w:cs="Times New Roman"/>
        </w:rPr>
        <w:t>asianomistajalle säädetyt oikeudet kuuluvat myös surmatun läheisille. Tätä ra</w:t>
      </w:r>
      <w:r w:rsidR="00AA04EC">
        <w:rPr>
          <w:rFonts w:cs="Times New Roman"/>
        </w:rPr>
        <w:t>t</w:t>
      </w:r>
      <w:r w:rsidR="00AA04EC">
        <w:rPr>
          <w:rFonts w:cs="Times New Roman"/>
        </w:rPr>
        <w:t xml:space="preserve">kaisua voitaisiin </w:t>
      </w:r>
      <w:r w:rsidR="00B74755">
        <w:rPr>
          <w:rFonts w:cs="Times New Roman"/>
        </w:rPr>
        <w:t>siis</w:t>
      </w:r>
      <w:r w:rsidR="00AA04EC">
        <w:rPr>
          <w:rFonts w:cs="Times New Roman"/>
        </w:rPr>
        <w:t xml:space="preserve"> kritisoida siitä,</w:t>
      </w:r>
      <w:r>
        <w:rPr>
          <w:rFonts w:cs="Times New Roman"/>
        </w:rPr>
        <w:t xml:space="preserve"> että kysymys olisi niin sanotusta</w:t>
      </w:r>
      <w:r w:rsidR="00AA04EC">
        <w:rPr>
          <w:rFonts w:cs="Times New Roman"/>
        </w:rPr>
        <w:t xml:space="preserve"> ”</w:t>
      </w:r>
      <w:r>
        <w:rPr>
          <w:rFonts w:cs="Times New Roman"/>
        </w:rPr>
        <w:t>perusteluilla säätäm</w:t>
      </w:r>
      <w:r>
        <w:rPr>
          <w:rFonts w:cs="Times New Roman"/>
        </w:rPr>
        <w:t>i</w:t>
      </w:r>
      <w:r>
        <w:rPr>
          <w:rFonts w:cs="Times New Roman"/>
        </w:rPr>
        <w:t>sestä</w:t>
      </w:r>
      <w:r w:rsidR="00AA04EC">
        <w:rPr>
          <w:rFonts w:cs="Times New Roman"/>
        </w:rPr>
        <w:t>”.</w:t>
      </w:r>
    </w:p>
    <w:p w14:paraId="6F6718AF" w14:textId="77777777" w:rsidR="00AA04EC" w:rsidRDefault="00AA04EC" w:rsidP="00C22D67">
      <w:pPr>
        <w:jc w:val="both"/>
        <w:rPr>
          <w:rFonts w:cs="Times New Roman"/>
        </w:rPr>
      </w:pPr>
    </w:p>
    <w:p w14:paraId="460342A1" w14:textId="4BB9363B" w:rsidR="00AA04EC" w:rsidRPr="00AA5122" w:rsidRDefault="00AA04EC" w:rsidP="00C22D67">
      <w:pPr>
        <w:jc w:val="both"/>
        <w:rPr>
          <w:rFonts w:cs="Times New Roman"/>
        </w:rPr>
      </w:pPr>
      <w:r>
        <w:rPr>
          <w:rFonts w:cs="Times New Roman"/>
        </w:rPr>
        <w:t xml:space="preserve">Lainsäädäntöteknisesti </w:t>
      </w:r>
      <w:r w:rsidR="00DC1B27">
        <w:rPr>
          <w:rFonts w:cs="Times New Roman"/>
        </w:rPr>
        <w:t xml:space="preserve">syntynyt </w:t>
      </w:r>
      <w:r>
        <w:rPr>
          <w:rFonts w:cs="Times New Roman"/>
        </w:rPr>
        <w:t>tilanne va</w:t>
      </w:r>
      <w:r w:rsidR="00DC1B27">
        <w:rPr>
          <w:rFonts w:cs="Times New Roman"/>
        </w:rPr>
        <w:t>ikuttaakin varsin pulmalliselta, mutta jos sanotui</w:t>
      </w:r>
      <w:r w:rsidR="00DC1B27">
        <w:rPr>
          <w:rFonts w:cs="Times New Roman"/>
        </w:rPr>
        <w:t>s</w:t>
      </w:r>
      <w:r w:rsidR="00DC1B27">
        <w:rPr>
          <w:rFonts w:cs="Times New Roman"/>
        </w:rPr>
        <w:t>ta (</w:t>
      </w:r>
      <w:r w:rsidR="009B68EE">
        <w:rPr>
          <w:rFonts w:cs="Times New Roman"/>
        </w:rPr>
        <w:t>hankalista</w:t>
      </w:r>
      <w:r w:rsidR="00DC1B27">
        <w:rPr>
          <w:rFonts w:cs="Times New Roman"/>
        </w:rPr>
        <w:t xml:space="preserve">) vaihtoehdoista pitäisi valita yksi, </w:t>
      </w:r>
      <w:r w:rsidR="009B68EE">
        <w:rPr>
          <w:rFonts w:cs="Times New Roman"/>
        </w:rPr>
        <w:t>niin perusteluilla säätämisen ongelmallisu</w:t>
      </w:r>
      <w:r w:rsidR="009B68EE">
        <w:rPr>
          <w:rFonts w:cs="Times New Roman"/>
        </w:rPr>
        <w:t>u</w:t>
      </w:r>
      <w:r w:rsidR="009B68EE">
        <w:rPr>
          <w:rFonts w:cs="Times New Roman"/>
        </w:rPr>
        <w:t xml:space="preserve">desta huolimatta </w:t>
      </w:r>
      <w:r w:rsidR="00DC1B27">
        <w:rPr>
          <w:rFonts w:cs="Times New Roman"/>
        </w:rPr>
        <w:t xml:space="preserve">valitsisin </w:t>
      </w:r>
      <w:r w:rsidR="009B68EE">
        <w:rPr>
          <w:rFonts w:cs="Times New Roman"/>
        </w:rPr>
        <w:t>viimeisen eli sen, että uhridirektiivin voimaansaattamisesityksen perusteluissa mainittaisiin erikseen, että lain mukaan asianomistajalle säädetyt oikeudet ku</w:t>
      </w:r>
      <w:r w:rsidR="009B68EE">
        <w:rPr>
          <w:rFonts w:cs="Times New Roman"/>
        </w:rPr>
        <w:t>u</w:t>
      </w:r>
      <w:r w:rsidR="009B68EE">
        <w:rPr>
          <w:rFonts w:cs="Times New Roman"/>
        </w:rPr>
        <w:t>luvat myös ROL 1:17.1:ssä mainituille surmatun läheisille.</w:t>
      </w:r>
    </w:p>
    <w:p w14:paraId="6667264A" w14:textId="77777777" w:rsidR="00597D14" w:rsidRDefault="00597D14" w:rsidP="00C22D67">
      <w:pPr>
        <w:jc w:val="both"/>
        <w:rPr>
          <w:rFonts w:cs="Times New Roman"/>
        </w:rPr>
      </w:pPr>
    </w:p>
    <w:p w14:paraId="67D2DF46" w14:textId="50BC7D93" w:rsidR="001647C5" w:rsidRDefault="001647C5" w:rsidP="005449C4">
      <w:pPr>
        <w:jc w:val="both"/>
        <w:rPr>
          <w:rFonts w:cs="Times New Roman"/>
        </w:rPr>
      </w:pPr>
    </w:p>
    <w:p w14:paraId="3295F101" w14:textId="77777777" w:rsidR="00C82481" w:rsidRDefault="00C82481" w:rsidP="005449C4">
      <w:pPr>
        <w:jc w:val="both"/>
        <w:rPr>
          <w:rFonts w:cs="Times New Roman"/>
        </w:rPr>
      </w:pPr>
    </w:p>
    <w:p w14:paraId="53282C9B" w14:textId="0F6D4289" w:rsidR="00681D94" w:rsidRPr="00477F76" w:rsidRDefault="00C71D6D" w:rsidP="005449C4">
      <w:pPr>
        <w:jc w:val="both"/>
        <w:rPr>
          <w:rFonts w:cs="Times New Roman"/>
        </w:rPr>
      </w:pPr>
      <w:r>
        <w:rPr>
          <w:rFonts w:cs="Times New Roman"/>
        </w:rPr>
        <w:t>Turussa 29.5</w:t>
      </w:r>
      <w:r w:rsidR="004811EF">
        <w:rPr>
          <w:rFonts w:cs="Times New Roman"/>
        </w:rPr>
        <w:t>.2015</w:t>
      </w:r>
    </w:p>
    <w:p w14:paraId="47441B76" w14:textId="77777777" w:rsidR="00681D94" w:rsidRPr="00477F76" w:rsidRDefault="00681D94" w:rsidP="005449C4">
      <w:pPr>
        <w:jc w:val="both"/>
        <w:rPr>
          <w:rFonts w:cs="Times New Roman"/>
        </w:rPr>
      </w:pPr>
    </w:p>
    <w:p w14:paraId="1ADE5FF3" w14:textId="77777777" w:rsidR="00681D94" w:rsidRPr="00477F76" w:rsidRDefault="00681D94" w:rsidP="005449C4">
      <w:pPr>
        <w:jc w:val="both"/>
        <w:rPr>
          <w:rFonts w:cs="Times New Roman"/>
        </w:rPr>
      </w:pPr>
      <w:r w:rsidRPr="00477F76">
        <w:rPr>
          <w:rFonts w:cs="Times New Roman"/>
        </w:rPr>
        <w:t>Mikko Vuorenpää</w:t>
      </w:r>
    </w:p>
    <w:p w14:paraId="6013BE33" w14:textId="77777777" w:rsidR="00681D94" w:rsidRPr="00477F76" w:rsidRDefault="00681D94" w:rsidP="005449C4">
      <w:pPr>
        <w:jc w:val="both"/>
        <w:rPr>
          <w:rFonts w:cs="Times New Roman"/>
        </w:rPr>
      </w:pPr>
      <w:r w:rsidRPr="00477F76">
        <w:rPr>
          <w:rFonts w:cs="Times New Roman"/>
        </w:rPr>
        <w:t>Rikosprosessioikeuden professori</w:t>
      </w:r>
    </w:p>
    <w:p w14:paraId="70748AF5" w14:textId="77777777" w:rsidR="00681D94" w:rsidRPr="00477F76" w:rsidRDefault="00681D94" w:rsidP="005449C4">
      <w:pPr>
        <w:jc w:val="both"/>
        <w:rPr>
          <w:rFonts w:cs="Times New Roman"/>
        </w:rPr>
      </w:pPr>
      <w:r w:rsidRPr="00477F76">
        <w:rPr>
          <w:rFonts w:cs="Times New Roman"/>
        </w:rPr>
        <w:t>Lapin yliopisto</w:t>
      </w:r>
    </w:p>
    <w:p w14:paraId="4203D071" w14:textId="77777777" w:rsidR="00681D94" w:rsidRPr="00477F76" w:rsidRDefault="00681D94" w:rsidP="005449C4">
      <w:pPr>
        <w:jc w:val="both"/>
      </w:pPr>
    </w:p>
    <w:p w14:paraId="050E4D9C" w14:textId="77777777" w:rsidR="00681D94" w:rsidRPr="00477F76" w:rsidRDefault="00681D94" w:rsidP="005449C4">
      <w:pPr>
        <w:jc w:val="both"/>
      </w:pPr>
    </w:p>
    <w:p w14:paraId="5F60904C" w14:textId="77777777" w:rsidR="00681D94" w:rsidRPr="00477F76" w:rsidRDefault="00681D94" w:rsidP="005449C4">
      <w:pPr>
        <w:jc w:val="both"/>
      </w:pPr>
    </w:p>
    <w:sectPr w:rsidR="00681D94" w:rsidRPr="00477F76" w:rsidSect="004D394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73599" w14:textId="77777777" w:rsidR="00DC1B27" w:rsidRDefault="00DC1B27" w:rsidP="00C542AE">
      <w:r>
        <w:separator/>
      </w:r>
    </w:p>
  </w:endnote>
  <w:endnote w:type="continuationSeparator" w:id="0">
    <w:p w14:paraId="394E7CC0" w14:textId="77777777" w:rsidR="00DC1B27" w:rsidRDefault="00DC1B27" w:rsidP="00C5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2DF41" w14:textId="77777777" w:rsidR="00DC1B27" w:rsidRDefault="00DC1B27" w:rsidP="00C542AE">
      <w:r>
        <w:separator/>
      </w:r>
    </w:p>
  </w:footnote>
  <w:footnote w:type="continuationSeparator" w:id="0">
    <w:p w14:paraId="16165BD4" w14:textId="77777777" w:rsidR="00DC1B27" w:rsidRDefault="00DC1B27" w:rsidP="00C542AE">
      <w:r>
        <w:continuationSeparator/>
      </w:r>
    </w:p>
  </w:footnote>
  <w:footnote w:id="1">
    <w:p w14:paraId="7D552F55" w14:textId="0BC9F1E3" w:rsidR="00DC1B27" w:rsidRDefault="00DC1B27">
      <w:pPr>
        <w:pStyle w:val="Alaviitteenteksti"/>
      </w:pPr>
      <w:r>
        <w:rPr>
          <w:rStyle w:val="Alaviitteenviite"/>
        </w:rPr>
        <w:footnoteRef/>
      </w:r>
      <w:r>
        <w:t xml:space="preserve"> Ks. asianomistajamääritelmistä tarkemmin Mikko Vuorenpää: Asianomistajan oikeudet r</w:t>
      </w:r>
      <w:r>
        <w:t>i</w:t>
      </w:r>
      <w:r w:rsidR="00F85B06">
        <w:t xml:space="preserve">kosprosessissa. Talentum </w:t>
      </w:r>
      <w:r w:rsidR="00AE5F5E">
        <w:t>2014, s. 11-35.</w:t>
      </w:r>
    </w:p>
  </w:footnote>
  <w:footnote w:id="2">
    <w:p w14:paraId="721EA3F0" w14:textId="24ADCF79" w:rsidR="00283F84" w:rsidRDefault="00283F84">
      <w:pPr>
        <w:pStyle w:val="Alaviitteenteksti"/>
      </w:pPr>
      <w:r>
        <w:rPr>
          <w:rStyle w:val="Alaviitteenviite"/>
        </w:rPr>
        <w:footnoteRef/>
      </w:r>
      <w:r>
        <w:t xml:space="preserve"> ROL 2:1a:ä on tosin mahdollista tulkita siten, että sanotun lainkohdan mukainen avustaja voidaan määrätä myös surmatun läheiselle. Ks. tarkemmin Vuorenpää 2014 s. 94-95.</w:t>
      </w:r>
    </w:p>
  </w:footnote>
  <w:footnote w:id="3">
    <w:p w14:paraId="0B5389F4" w14:textId="5AC932C7" w:rsidR="00DC1B27" w:rsidRDefault="00DC1B27">
      <w:pPr>
        <w:pStyle w:val="Alaviitteenteksti"/>
      </w:pPr>
      <w:r>
        <w:rPr>
          <w:rStyle w:val="Alaviitteenviite"/>
        </w:rPr>
        <w:footnoteRef/>
      </w:r>
      <w:r>
        <w:t xml:space="preserve"> ROL 3:9:n yksityiskohtaisissa perusteluissa</w:t>
      </w:r>
      <w:r w:rsidR="00283F84">
        <w:t xml:space="preserve"> (HE 82/1995 vp s. 58)</w:t>
      </w:r>
      <w:r>
        <w:t xml:space="preserve"> sanottu syyttäjän velvoll</w:t>
      </w:r>
      <w:r>
        <w:t>i</w:t>
      </w:r>
      <w:r>
        <w:t xml:space="preserve">suus on laajennettu koskemaan myös </w:t>
      </w:r>
      <w:r w:rsidR="00283F84">
        <w:t xml:space="preserve">tiettyjä </w:t>
      </w:r>
      <w:r>
        <w:t>henkilöitä, joille asianomistajan vahingonko</w:t>
      </w:r>
      <w:r>
        <w:t>r</w:t>
      </w:r>
      <w:r>
        <w:t>vausvaatimus on siirtynyt. Tarkkaan ottaen lain perusteluissakaan oleva muotoilu ei pidä s</w:t>
      </w:r>
      <w:r>
        <w:t>i</w:t>
      </w:r>
      <w:r>
        <w:t>sällään surmatun läheistä, jolle on kuoleman johdosta syntynyt vahinkoa.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1"/>
    <w:rsid w:val="00040FE2"/>
    <w:rsid w:val="00042F78"/>
    <w:rsid w:val="000A2D92"/>
    <w:rsid w:val="000E017C"/>
    <w:rsid w:val="000E16F9"/>
    <w:rsid w:val="000F3834"/>
    <w:rsid w:val="001222B7"/>
    <w:rsid w:val="001647C5"/>
    <w:rsid w:val="001C473D"/>
    <w:rsid w:val="001C5588"/>
    <w:rsid w:val="00242939"/>
    <w:rsid w:val="00252ECC"/>
    <w:rsid w:val="0027171A"/>
    <w:rsid w:val="00283F84"/>
    <w:rsid w:val="00286A4F"/>
    <w:rsid w:val="002E3B16"/>
    <w:rsid w:val="00323385"/>
    <w:rsid w:val="003E30F3"/>
    <w:rsid w:val="003F13E2"/>
    <w:rsid w:val="00410AE9"/>
    <w:rsid w:val="00410DB0"/>
    <w:rsid w:val="00456370"/>
    <w:rsid w:val="00456639"/>
    <w:rsid w:val="00477F76"/>
    <w:rsid w:val="004811EF"/>
    <w:rsid w:val="004977BF"/>
    <w:rsid w:val="004D3942"/>
    <w:rsid w:val="00521ECE"/>
    <w:rsid w:val="005449C4"/>
    <w:rsid w:val="005662B7"/>
    <w:rsid w:val="00597D14"/>
    <w:rsid w:val="005A0675"/>
    <w:rsid w:val="005A756F"/>
    <w:rsid w:val="005C441B"/>
    <w:rsid w:val="005F7F8E"/>
    <w:rsid w:val="00655A1C"/>
    <w:rsid w:val="00681D94"/>
    <w:rsid w:val="006912C6"/>
    <w:rsid w:val="006B187D"/>
    <w:rsid w:val="006C144A"/>
    <w:rsid w:val="006F0434"/>
    <w:rsid w:val="00734E14"/>
    <w:rsid w:val="007566DF"/>
    <w:rsid w:val="00770083"/>
    <w:rsid w:val="007809F3"/>
    <w:rsid w:val="00795579"/>
    <w:rsid w:val="007F5EFB"/>
    <w:rsid w:val="00806BFE"/>
    <w:rsid w:val="00813AF9"/>
    <w:rsid w:val="00836A0F"/>
    <w:rsid w:val="008509BA"/>
    <w:rsid w:val="00874C33"/>
    <w:rsid w:val="008A47C9"/>
    <w:rsid w:val="009204BB"/>
    <w:rsid w:val="00926398"/>
    <w:rsid w:val="00935214"/>
    <w:rsid w:val="00952E29"/>
    <w:rsid w:val="009901E8"/>
    <w:rsid w:val="00991230"/>
    <w:rsid w:val="009A0228"/>
    <w:rsid w:val="009B68EE"/>
    <w:rsid w:val="00A651EA"/>
    <w:rsid w:val="00AA04EC"/>
    <w:rsid w:val="00AA5122"/>
    <w:rsid w:val="00AD567B"/>
    <w:rsid w:val="00AE5F5E"/>
    <w:rsid w:val="00AF5C5D"/>
    <w:rsid w:val="00B04184"/>
    <w:rsid w:val="00B135F3"/>
    <w:rsid w:val="00B62021"/>
    <w:rsid w:val="00B74755"/>
    <w:rsid w:val="00BA2A40"/>
    <w:rsid w:val="00C22D67"/>
    <w:rsid w:val="00C51684"/>
    <w:rsid w:val="00C542AE"/>
    <w:rsid w:val="00C71D6D"/>
    <w:rsid w:val="00C73238"/>
    <w:rsid w:val="00C82481"/>
    <w:rsid w:val="00C9667A"/>
    <w:rsid w:val="00CB5103"/>
    <w:rsid w:val="00CE7575"/>
    <w:rsid w:val="00D3472D"/>
    <w:rsid w:val="00D427B5"/>
    <w:rsid w:val="00D60083"/>
    <w:rsid w:val="00DC1B27"/>
    <w:rsid w:val="00DD418C"/>
    <w:rsid w:val="00DE7EDF"/>
    <w:rsid w:val="00DF4A78"/>
    <w:rsid w:val="00E53059"/>
    <w:rsid w:val="00E85485"/>
    <w:rsid w:val="00EA7B78"/>
    <w:rsid w:val="00EE0859"/>
    <w:rsid w:val="00F535F0"/>
    <w:rsid w:val="00F54D1B"/>
    <w:rsid w:val="00F85B06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3B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C542AE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C542AE"/>
  </w:style>
  <w:style w:type="character" w:styleId="Alaviitteenviite">
    <w:name w:val="footnote reference"/>
    <w:basedOn w:val="Kappaleenoletusfontti"/>
    <w:uiPriority w:val="99"/>
    <w:unhideWhenUsed/>
    <w:rsid w:val="00C542AE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04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C542AE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C542AE"/>
  </w:style>
  <w:style w:type="character" w:styleId="Alaviitteenviite">
    <w:name w:val="footnote reference"/>
    <w:basedOn w:val="Kappaleenoletusfontti"/>
    <w:uiPriority w:val="99"/>
    <w:unhideWhenUsed/>
    <w:rsid w:val="00C542AE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04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1FC0-0FC0-4A0D-86FE-B95FBFF8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5149</Characters>
  <Application>Microsoft Office Word</Application>
  <DocSecurity>4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Lakipalvelu Signum Oy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Vuorenpää</dc:creator>
  <cp:lastModifiedBy>Lakka Mari</cp:lastModifiedBy>
  <cp:revision>2</cp:revision>
  <cp:lastPrinted>2015-06-01T06:01:00Z</cp:lastPrinted>
  <dcterms:created xsi:type="dcterms:W3CDTF">2015-06-01T06:01:00Z</dcterms:created>
  <dcterms:modified xsi:type="dcterms:W3CDTF">2015-06-01T06:01:00Z</dcterms:modified>
</cp:coreProperties>
</file>