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AA" w:rsidRPr="00ED54D4" w:rsidRDefault="00F612AA" w:rsidP="00EF3104">
      <w:pPr>
        <w:pStyle w:val="Header"/>
        <w:tabs>
          <w:tab w:val="clear" w:pos="4819"/>
          <w:tab w:val="clear" w:pos="9638"/>
          <w:tab w:val="left" w:pos="5387"/>
        </w:tabs>
        <w:ind w:left="-110"/>
        <w:rPr>
          <w:rFonts w:ascii="Palatino Linotype" w:hAnsi="Palatino Linotype"/>
        </w:rPr>
      </w:pPr>
      <w:r w:rsidRPr="00ED54D4">
        <w:rPr>
          <w:rFonts w:ascii="Palatino Linotype" w:hAnsi="Palatino Linotype"/>
        </w:rPr>
        <w:tab/>
      </w:r>
    </w:p>
    <w:p w:rsidR="00F612AA" w:rsidRPr="00ED54D4" w:rsidRDefault="00F612AA" w:rsidP="001C3ED9">
      <w:pPr>
        <w:pStyle w:val="Header"/>
        <w:tabs>
          <w:tab w:val="clear" w:pos="4819"/>
          <w:tab w:val="left" w:pos="5170"/>
        </w:tabs>
        <w:ind w:left="-110"/>
        <w:rPr>
          <w:rFonts w:ascii="Palatino Linotype" w:hAnsi="Palatino Linotype"/>
        </w:rPr>
      </w:pPr>
    </w:p>
    <w:p w:rsidR="00F612AA" w:rsidRPr="00ED54D4" w:rsidRDefault="00F612AA" w:rsidP="001C3ED9">
      <w:pPr>
        <w:pStyle w:val="Header"/>
        <w:tabs>
          <w:tab w:val="clear" w:pos="4819"/>
          <w:tab w:val="left" w:pos="5170"/>
        </w:tabs>
        <w:ind w:left="220"/>
        <w:rPr>
          <w:rFonts w:ascii="Palatino Linotype" w:hAnsi="Palatino Linotype"/>
        </w:rPr>
      </w:pPr>
    </w:p>
    <w:p w:rsidR="00F612AA" w:rsidRPr="00ED54D4" w:rsidRDefault="00F612AA" w:rsidP="001C3ED9">
      <w:pPr>
        <w:pStyle w:val="Header"/>
        <w:tabs>
          <w:tab w:val="clear" w:pos="4819"/>
          <w:tab w:val="left" w:pos="5170"/>
        </w:tabs>
        <w:ind w:left="220"/>
        <w:rPr>
          <w:rFonts w:ascii="Palatino Linotype" w:hAnsi="Palatino Linotype"/>
          <w:b/>
          <w:sz w:val="20"/>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18pt;margin-top:10.4pt;width:71.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PjggIAAA4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" stroked="f">
            <v:textbox>
              <w:txbxContent>
                <w:p w:rsidR="00F612AA" w:rsidRPr="00977636" w:rsidRDefault="00F612AA">
                  <w:pPr>
                    <w:rPr>
                      <w:rFonts w:ascii="Palatino" w:hAnsi="Palatino"/>
                      <w:b/>
                      <w:sz w:val="20"/>
                    </w:rPr>
                  </w:pPr>
                  <w:bookmarkStart w:id="0" w:name="_GoBack"/>
                  <w:bookmarkEnd w:id="0"/>
                </w:p>
              </w:txbxContent>
            </v:textbox>
          </v:shape>
        </w:pict>
      </w:r>
      <w:r>
        <w:rPr>
          <w:noProof/>
        </w:rPr>
        <w:pict>
          <v:shape id="Text Box 2" o:spid="_x0000_s1027" type="#_x0000_t202" style="position:absolute;left:0;text-align:left;margin-left:225.5pt;margin-top:10.4pt;width:115.5pt;height:44.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zbuwIAAMA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" filled="f" fillcolor="yellow" stroked="f" strokecolor="blue">
            <v:textbox>
              <w:txbxContent>
                <w:p w:rsidR="00F612AA" w:rsidRPr="00977636" w:rsidRDefault="00F612AA">
                  <w:pPr>
                    <w:rPr>
                      <w:rFonts w:ascii="Palatino" w:hAnsi="Palatino"/>
                      <w:b/>
                      <w:sz w:val="20"/>
                    </w:rPr>
                  </w:pPr>
                  <w:r>
                    <w:rPr>
                      <w:rFonts w:ascii="Palatino" w:hAnsi="Palatino"/>
                      <w:b/>
                      <w:sz w:val="20"/>
                    </w:rPr>
                    <w:t>Lausunto</w:t>
                  </w:r>
                </w:p>
                <w:p w:rsidR="00F612AA" w:rsidRPr="00977636" w:rsidRDefault="00F612AA">
                  <w:pPr>
                    <w:rPr>
                      <w:rFonts w:ascii="Palatino" w:hAnsi="Palatino"/>
                      <w:sz w:val="20"/>
                    </w:rPr>
                  </w:pPr>
                  <w:r>
                    <w:rPr>
                      <w:rFonts w:ascii="Palatino" w:hAnsi="Palatino"/>
                      <w:sz w:val="20"/>
                    </w:rPr>
                    <w:t>24.5.2013</w:t>
                  </w:r>
                </w:p>
              </w:txbxContent>
            </v:textbox>
          </v:shape>
        </w:pict>
      </w:r>
      <w:r w:rsidRPr="00ED54D4">
        <w:rPr>
          <w:rFonts w:ascii="Palatino Linotype" w:hAnsi="Palatino Linotype"/>
          <w:b/>
          <w:sz w:val="20"/>
        </w:rPr>
        <w:t>Oikeusministeriö</w:t>
      </w:r>
    </w:p>
    <w:p w:rsidR="00F612AA" w:rsidRPr="00ED54D4" w:rsidRDefault="00F612AA" w:rsidP="001C3ED9">
      <w:pPr>
        <w:ind w:left="220"/>
        <w:rPr>
          <w:rFonts w:ascii="Palatino Linotype" w:hAnsi="Palatino Linotype"/>
          <w:sz w:val="20"/>
        </w:rPr>
      </w:pPr>
    </w:p>
    <w:p w:rsidR="00F612AA" w:rsidRPr="00ED54D4" w:rsidRDefault="00F612AA" w:rsidP="001C3ED9">
      <w:pPr>
        <w:ind w:left="220"/>
        <w:rPr>
          <w:rFonts w:ascii="Palatino Linotype" w:hAnsi="Palatino Linotype"/>
          <w:sz w:val="20"/>
        </w:rPr>
      </w:pPr>
    </w:p>
    <w:p w:rsidR="00F612AA" w:rsidRPr="00ED54D4" w:rsidRDefault="00F612AA" w:rsidP="001C3ED9">
      <w:pPr>
        <w:ind w:left="220"/>
        <w:rPr>
          <w:rFonts w:ascii="Palatino Linotype" w:hAnsi="Palatino Linotype"/>
        </w:rPr>
      </w:pPr>
    </w:p>
    <w:p w:rsidR="00F612AA" w:rsidRDefault="00F612AA" w:rsidP="00ED54D4">
      <w:pPr>
        <w:ind w:left="220"/>
        <w:rPr>
          <w:rFonts w:ascii="Palatino Linotype" w:hAnsi="Palatino Linotype"/>
          <w:b/>
          <w:sz w:val="20"/>
        </w:rPr>
      </w:pPr>
      <w:r w:rsidRPr="00ED54D4">
        <w:rPr>
          <w:rFonts w:ascii="Palatino Linotype" w:hAnsi="Palatino Linotype"/>
          <w:b/>
          <w:sz w:val="20"/>
        </w:rPr>
        <w:t>Lausunto yhdenvertaisuuslain uudistamisesta</w:t>
      </w:r>
    </w:p>
    <w:p w:rsidR="00F612AA" w:rsidRDefault="00F612AA" w:rsidP="00ED54D4">
      <w:pPr>
        <w:ind w:left="220"/>
        <w:rPr>
          <w:rFonts w:ascii="Palatino Linotype" w:hAnsi="Palatino Linotype"/>
          <w:b/>
          <w:sz w:val="20"/>
        </w:rPr>
      </w:pPr>
    </w:p>
    <w:p w:rsidR="00F612AA" w:rsidRDefault="00F612AA" w:rsidP="00ED54D4">
      <w:pPr>
        <w:ind w:left="220"/>
        <w:rPr>
          <w:rFonts w:ascii="Palatino Linotype" w:hAnsi="Palatino Linotype"/>
          <w:b/>
          <w:sz w:val="20"/>
        </w:rPr>
      </w:pPr>
      <w:r w:rsidRPr="00ED54D4">
        <w:rPr>
          <w:rFonts w:ascii="Palatino Linotype" w:hAnsi="Palatino Linotype"/>
          <w:color w:val="000000"/>
          <w:sz w:val="20"/>
          <w:szCs w:val="20"/>
          <w:lang w:eastAsia="en-US"/>
        </w:rPr>
        <w:t>Suomen ylioppilaskuntien liitto (SYL) ry pitää yhdenvertaisuuslain uudistamista erittäin merkittävänä hankkeena ja haluaa antaa oman panoksensa lainsäädäntötyöhön toimittamalla tämän lausunnon. Emme ota kantaa kaikkiin lakiesityksen kohtiin vaan keskitymme muutamaan, itsellemme keskeisimpään seikkaan.</w:t>
      </w:r>
    </w:p>
    <w:p w:rsidR="00F612AA" w:rsidRDefault="00F612AA" w:rsidP="00ED54D4">
      <w:pPr>
        <w:ind w:left="220"/>
        <w:rPr>
          <w:rFonts w:ascii="Palatino Linotype" w:hAnsi="Palatino Linotype"/>
          <w:b/>
          <w:sz w:val="20"/>
        </w:rPr>
      </w:pPr>
    </w:p>
    <w:p w:rsidR="00F612AA" w:rsidRPr="00ED54D4" w:rsidRDefault="00F612AA" w:rsidP="00ED54D4">
      <w:pPr>
        <w:ind w:left="220"/>
        <w:rPr>
          <w:rFonts w:ascii="Palatino Linotype" w:hAnsi="Palatino Linotype"/>
          <w:b/>
          <w:sz w:val="24"/>
          <w:szCs w:val="24"/>
        </w:rPr>
      </w:pPr>
      <w:r w:rsidRPr="00ED54D4">
        <w:rPr>
          <w:rFonts w:ascii="Palatino Linotype" w:hAnsi="Palatino Linotype"/>
          <w:color w:val="000000"/>
          <w:sz w:val="24"/>
          <w:szCs w:val="24"/>
          <w:lang w:eastAsia="en-US"/>
        </w:rPr>
        <w:t>Yhdenvertaisuuslain toimiala</w:t>
      </w:r>
    </w:p>
    <w:p w:rsidR="00F612AA" w:rsidRDefault="00F612AA" w:rsidP="00ED54D4">
      <w:pPr>
        <w:ind w:left="220"/>
        <w:rPr>
          <w:rFonts w:ascii="Palatino Linotype" w:hAnsi="Palatino Linotype"/>
          <w:b/>
          <w:sz w:val="20"/>
        </w:rPr>
      </w:pPr>
    </w:p>
    <w:p w:rsidR="00F612AA" w:rsidRDefault="00F612AA" w:rsidP="00ED54D4">
      <w:pPr>
        <w:ind w:left="220"/>
        <w:rPr>
          <w:rFonts w:ascii="Palatino Linotype" w:hAnsi="Palatino Linotype"/>
          <w:b/>
          <w:sz w:val="20"/>
        </w:rPr>
      </w:pPr>
      <w:r w:rsidRPr="00ED54D4">
        <w:rPr>
          <w:rFonts w:ascii="Palatino Linotype" w:hAnsi="Palatino Linotype"/>
          <w:color w:val="000000"/>
          <w:sz w:val="20"/>
          <w:szCs w:val="20"/>
          <w:lang w:eastAsia="en-US"/>
        </w:rPr>
        <w:t>SYL pitää erittäin hyvänä, että hallituksen esityksessä yhdenvertaisuuslain toimialaa esitetään laajennettavaksi. On oikea suuntaus, että yhdenvertaisuuslain piiriin kuuluisi vastaisuudessa kaikki yksityinen ja julkinen toiminta (pois</w:t>
      </w:r>
      <w:r>
        <w:rPr>
          <w:rFonts w:ascii="Palatino Linotype" w:hAnsi="Palatino Linotype"/>
          <w:color w:val="000000"/>
          <w:sz w:val="20"/>
          <w:szCs w:val="20"/>
          <w:lang w:eastAsia="en-US"/>
        </w:rPr>
        <w:t xml:space="preserve"> </w:t>
      </w:r>
      <w:r w:rsidRPr="00ED54D4">
        <w:rPr>
          <w:rFonts w:ascii="Palatino Linotype" w:hAnsi="Palatino Linotype"/>
          <w:color w:val="000000"/>
          <w:sz w:val="20"/>
          <w:szCs w:val="20"/>
          <w:lang w:eastAsia="en-US"/>
        </w:rPr>
        <w:t>lukien yksityis- ja perhe-elämä sekä uskonnonharjoitus). Opiskelijoina ja tulevaisuuden työntekijöinä pidämme erityisen tärkeänä, että lain toimiala ja siten velvollisuus edistää yhdenvertaisuutta laajennettaisiin koskemaan koulutuksen järjestämistä ja oppilaitoksia sekä työnantajia.</w:t>
      </w:r>
    </w:p>
    <w:p w:rsidR="00F612AA" w:rsidRDefault="00F612AA" w:rsidP="00ED54D4">
      <w:pPr>
        <w:ind w:left="220"/>
        <w:rPr>
          <w:rFonts w:ascii="Palatino Linotype" w:hAnsi="Palatino Linotype"/>
          <w:b/>
          <w:sz w:val="20"/>
        </w:rPr>
      </w:pPr>
    </w:p>
    <w:p w:rsidR="00F612AA" w:rsidRDefault="00F612AA" w:rsidP="00ED54D4">
      <w:pPr>
        <w:ind w:left="220"/>
        <w:rPr>
          <w:rFonts w:ascii="Palatino Linotype" w:hAnsi="Palatino Linotype"/>
          <w:b/>
          <w:sz w:val="20"/>
        </w:rPr>
      </w:pPr>
      <w:r w:rsidRPr="00ED54D4">
        <w:rPr>
          <w:rFonts w:ascii="Palatino Linotype" w:hAnsi="Palatino Linotype"/>
          <w:color w:val="000000"/>
          <w:sz w:val="20"/>
          <w:szCs w:val="20"/>
          <w:lang w:eastAsia="en-US"/>
        </w:rPr>
        <w:t>Kannatamme myös sitä, että yhdenvertaisuuslain soveltamisala kattaa kaikki eri syrjintäperusteet. Tämä laajentaa muun muassa tulevan yhdenvertaisuusvaltuutetun toiminta-alaa verrattuna nykyiseen vähemmistövaltuutettuun. Näemme, että kaikki syrjintäperusteet ovat yhtä vääriä ja siksi on tärkeää, että niihin suhtaudutaan samalla tavoin. On tärkeää, että eri syrjintätapauksiin voidaan puuttua niiden vaatimalla vakavuudella.</w:t>
      </w:r>
    </w:p>
    <w:p w:rsidR="00F612AA" w:rsidRDefault="00F612AA" w:rsidP="00ED54D4">
      <w:pPr>
        <w:ind w:left="220"/>
        <w:rPr>
          <w:rFonts w:ascii="Palatino Linotype" w:hAnsi="Palatino Linotype"/>
          <w:b/>
          <w:sz w:val="20"/>
        </w:rPr>
      </w:pPr>
    </w:p>
    <w:p w:rsidR="00F612AA" w:rsidRPr="00ED54D4" w:rsidRDefault="00F612AA" w:rsidP="00ED54D4">
      <w:pPr>
        <w:ind w:left="220"/>
        <w:rPr>
          <w:rFonts w:ascii="Palatino Linotype" w:hAnsi="Palatino Linotype"/>
          <w:b/>
          <w:sz w:val="24"/>
          <w:szCs w:val="24"/>
        </w:rPr>
      </w:pPr>
      <w:r w:rsidRPr="00ED54D4">
        <w:rPr>
          <w:rFonts w:ascii="Palatino Linotype" w:hAnsi="Palatino Linotype"/>
          <w:color w:val="000000"/>
          <w:sz w:val="24"/>
          <w:szCs w:val="24"/>
          <w:lang w:eastAsia="en-US"/>
        </w:rPr>
        <w:t>Yhdenvertaisuusvaltuutettu</w:t>
      </w:r>
    </w:p>
    <w:p w:rsidR="00F612AA" w:rsidRDefault="00F612AA" w:rsidP="00ED54D4">
      <w:pPr>
        <w:ind w:left="220"/>
        <w:rPr>
          <w:rFonts w:ascii="Palatino Linotype" w:hAnsi="Palatino Linotype"/>
          <w:b/>
          <w:sz w:val="20"/>
        </w:rPr>
      </w:pPr>
    </w:p>
    <w:p w:rsidR="00F612AA" w:rsidRDefault="00F612AA" w:rsidP="00ED54D4">
      <w:pPr>
        <w:ind w:left="220"/>
        <w:rPr>
          <w:rFonts w:ascii="Palatino Linotype" w:hAnsi="Palatino Linotype"/>
          <w:b/>
          <w:sz w:val="20"/>
        </w:rPr>
      </w:pPr>
      <w:r w:rsidRPr="00ED54D4">
        <w:rPr>
          <w:rFonts w:ascii="Palatino Linotype" w:hAnsi="Palatino Linotype"/>
          <w:color w:val="000000"/>
          <w:sz w:val="20"/>
          <w:szCs w:val="20"/>
          <w:lang w:eastAsia="en-US"/>
        </w:rPr>
        <w:t>SYL kannattaa sitä, että vähemmistövaltuutetun tilalle perustetaan yhdenvertaisuusvaltuutetun toimi ja että valtuutetulle kuuluu vastaisuudessa puuttuminen kaikkeen syrjintään (lukuun ottamatta sukupuolisyrjintää). SYL on kuitenkin huolissaan kahdesta yhdenvertaisuusvaltuutettuun liittyvästä seikasta:</w:t>
      </w:r>
    </w:p>
    <w:p w:rsidR="00F612AA" w:rsidRDefault="00F612AA" w:rsidP="00ED54D4">
      <w:pPr>
        <w:ind w:left="220"/>
        <w:rPr>
          <w:rFonts w:ascii="Palatino Linotype" w:hAnsi="Palatino Linotype"/>
          <w:b/>
          <w:sz w:val="20"/>
        </w:rPr>
      </w:pPr>
    </w:p>
    <w:p w:rsidR="00F612AA" w:rsidRDefault="00F612AA" w:rsidP="00ED54D4">
      <w:pPr>
        <w:ind w:left="220"/>
        <w:rPr>
          <w:rFonts w:ascii="Palatino Linotype" w:hAnsi="Palatino Linotype"/>
          <w:b/>
          <w:sz w:val="20"/>
        </w:rPr>
      </w:pPr>
      <w:r w:rsidRPr="00ED54D4">
        <w:rPr>
          <w:rFonts w:ascii="Palatino Linotype" w:hAnsi="Palatino Linotype"/>
          <w:color w:val="000000"/>
          <w:sz w:val="20"/>
          <w:szCs w:val="20"/>
          <w:lang w:eastAsia="en-US"/>
        </w:rPr>
        <w:t xml:space="preserve">1. Valtuutetun työnkuvaa ja vastuualueita laajennetaan merkittävästi. Tätä ei voida tehdä ilman samanaikaista toimintaresurssien laajentamista. Muuten riskinä on, ettei valtuutettu kykene mitenkään vastaamaan uutta toimenkuvaansa vaan tilanne jopa heikkenee nykyisestä. SYL esittää, että </w:t>
      </w:r>
      <w:r w:rsidRPr="00ED54D4">
        <w:rPr>
          <w:rFonts w:ascii="Palatino Linotype" w:hAnsi="Palatino Linotype"/>
          <w:b/>
          <w:color w:val="000000"/>
          <w:sz w:val="20"/>
          <w:szCs w:val="20"/>
          <w:lang w:eastAsia="en-US"/>
        </w:rPr>
        <w:t>yhdenvertaisuusvaltuutetun toimintaresursseja parannetaan</w:t>
      </w:r>
      <w:r w:rsidRPr="00ED54D4">
        <w:rPr>
          <w:rFonts w:ascii="Palatino Linotype" w:hAnsi="Palatino Linotype"/>
          <w:color w:val="000000"/>
          <w:sz w:val="20"/>
          <w:szCs w:val="20"/>
          <w:lang w:eastAsia="en-US"/>
        </w:rPr>
        <w:t xml:space="preserve"> ja samalla pidetään huolta siitä, että valtuutettu kykenee laajentamaan tietopohjaansa eri syrjintäperusteista.</w:t>
      </w:r>
    </w:p>
    <w:p w:rsidR="00F612AA" w:rsidRDefault="00F612AA" w:rsidP="00ED54D4">
      <w:pPr>
        <w:ind w:left="220"/>
        <w:rPr>
          <w:rFonts w:ascii="Palatino Linotype" w:hAnsi="Palatino Linotype"/>
          <w:b/>
          <w:sz w:val="20"/>
        </w:rPr>
      </w:pPr>
    </w:p>
    <w:p w:rsidR="00F612AA" w:rsidRDefault="00F612AA" w:rsidP="00ED54D4">
      <w:pPr>
        <w:ind w:left="220"/>
        <w:rPr>
          <w:rFonts w:ascii="Palatino Linotype" w:hAnsi="Palatino Linotype"/>
          <w:b/>
          <w:sz w:val="20"/>
        </w:rPr>
      </w:pPr>
      <w:r w:rsidRPr="00ED54D4">
        <w:rPr>
          <w:rFonts w:ascii="Palatino Linotype" w:hAnsi="Palatino Linotype"/>
          <w:color w:val="000000"/>
          <w:sz w:val="20"/>
          <w:szCs w:val="20"/>
          <w:lang w:eastAsia="en-US"/>
        </w:rPr>
        <w:t xml:space="preserve">2. Velvollisuus edistää yhdenvertaisuutta laajennetaan koskemaan työnantajia. Kuitenkaan yhdenvertaisuusvaltuutetulle ei esitetä oikeutta valvoa työelämän syrjintää tai puuttua yksittäisiin työelämän syrjintätapauksiin. SYL pitää epätoivottavana, että työelämään suhtaudutaan lakiesityksessä toisin kuin muihin elämänalueisiin. Mahdollisuuden puuttua työelämän syrjintätapauksiin tulisi olla sekä työsuojeluviranomaisilla että yhdenvertaisuusvaltuutetulla, jotta molempien osaaminen ja olemassa olevat verkostot saataisiin käyttöön. Työnjako voitaisiin järjestää kuten työsuojeluviranomaisilla ja tietosuojavaltuutetulla. SYL esittääkin, että </w:t>
      </w:r>
      <w:r w:rsidRPr="00ED54D4">
        <w:rPr>
          <w:rFonts w:ascii="Palatino Linotype" w:hAnsi="Palatino Linotype"/>
          <w:b/>
          <w:color w:val="000000"/>
          <w:sz w:val="20"/>
          <w:szCs w:val="20"/>
          <w:lang w:eastAsia="en-US"/>
        </w:rPr>
        <w:t>yhdenvertaisuusvaltuutetun toimiala laajennetaan kattamaan myös työelämän syrjintätapaukset</w:t>
      </w:r>
      <w:r w:rsidRPr="00ED54D4">
        <w:rPr>
          <w:rFonts w:ascii="Palatino Linotype" w:hAnsi="Palatino Linotype"/>
          <w:color w:val="000000"/>
          <w:sz w:val="20"/>
          <w:szCs w:val="20"/>
          <w:lang w:eastAsia="en-US"/>
        </w:rPr>
        <w:t>. Vähintään työsuojeluviranomaisten ja yhdenvertaisuusvaltuutetun välistä yhteistyötä tulee parantaa ja selkiyttää.</w:t>
      </w:r>
    </w:p>
    <w:p w:rsidR="00F612AA" w:rsidRDefault="00F612AA" w:rsidP="00ED54D4">
      <w:pPr>
        <w:ind w:left="220"/>
        <w:rPr>
          <w:rFonts w:ascii="Palatino Linotype" w:hAnsi="Palatino Linotype"/>
          <w:b/>
          <w:sz w:val="20"/>
        </w:rPr>
      </w:pPr>
    </w:p>
    <w:p w:rsidR="00F612AA" w:rsidRDefault="00F612AA" w:rsidP="00ED54D4">
      <w:pPr>
        <w:ind w:left="220"/>
        <w:rPr>
          <w:rFonts w:ascii="Palatino Linotype" w:hAnsi="Palatino Linotype"/>
          <w:b/>
          <w:sz w:val="24"/>
          <w:szCs w:val="24"/>
        </w:rPr>
      </w:pPr>
      <w:r w:rsidRPr="00ED54D4">
        <w:rPr>
          <w:rFonts w:ascii="Palatino Linotype" w:hAnsi="Palatino Linotype"/>
          <w:color w:val="000000"/>
          <w:sz w:val="24"/>
          <w:szCs w:val="24"/>
          <w:lang w:eastAsia="en-US"/>
        </w:rPr>
        <w:t>Kohtuulliset mukautukset vammaisten henkilöiden yhdenvertaisuuden parantamiseksi</w:t>
      </w:r>
    </w:p>
    <w:p w:rsidR="00F612AA" w:rsidRDefault="00F612AA" w:rsidP="00ED54D4">
      <w:pPr>
        <w:ind w:left="220"/>
        <w:rPr>
          <w:rFonts w:ascii="Palatino Linotype" w:hAnsi="Palatino Linotype"/>
          <w:b/>
          <w:sz w:val="24"/>
          <w:szCs w:val="24"/>
        </w:rPr>
      </w:pPr>
    </w:p>
    <w:p w:rsidR="00F612AA" w:rsidRDefault="00F612AA" w:rsidP="00ED54D4">
      <w:pPr>
        <w:ind w:left="220"/>
        <w:rPr>
          <w:rFonts w:ascii="Palatino Linotype" w:hAnsi="Palatino Linotype"/>
          <w:b/>
          <w:sz w:val="24"/>
          <w:szCs w:val="24"/>
        </w:rPr>
      </w:pPr>
      <w:r w:rsidRPr="00ED54D4">
        <w:rPr>
          <w:rFonts w:ascii="Palatino Linotype" w:hAnsi="Palatino Linotype"/>
          <w:color w:val="000000"/>
          <w:sz w:val="20"/>
          <w:szCs w:val="20"/>
          <w:lang w:eastAsia="en-US"/>
        </w:rPr>
        <w:t>SYL suhtautuu erittäin myönteisesti esityksiin siitä, että kohtuullisten mukautusten epääminen vammaisilta henkilöiltä on nostettu yhdeksi syrjinnän perusteeksi (8 §) ja koulutuksen järjestäjät, oppilaitokset ja työnantajat velvoitetaan tekemään kohtuullisia mukautuksia, jotta vammaisella henkilöllä on yhdenvertaiset mahdollisuudet hankkia itselleen koulutus tai työpaikka (luku 3, 15 §).</w:t>
      </w:r>
    </w:p>
    <w:p w:rsidR="00F612AA" w:rsidRDefault="00F612AA" w:rsidP="00ED54D4">
      <w:pPr>
        <w:ind w:left="220"/>
        <w:rPr>
          <w:rFonts w:ascii="Palatino Linotype" w:hAnsi="Palatino Linotype"/>
          <w:b/>
          <w:sz w:val="24"/>
          <w:szCs w:val="24"/>
        </w:rPr>
      </w:pPr>
    </w:p>
    <w:p w:rsidR="00F612AA" w:rsidRDefault="00F612AA" w:rsidP="00ED54D4">
      <w:pPr>
        <w:ind w:left="220"/>
        <w:rPr>
          <w:rFonts w:ascii="Palatino Linotype" w:hAnsi="Palatino Linotype"/>
          <w:b/>
          <w:sz w:val="24"/>
          <w:szCs w:val="24"/>
        </w:rPr>
      </w:pPr>
      <w:r w:rsidRPr="00ED54D4">
        <w:rPr>
          <w:rFonts w:ascii="Palatino Linotype" w:hAnsi="Palatino Linotype"/>
          <w:color w:val="000000"/>
          <w:sz w:val="20"/>
          <w:szCs w:val="20"/>
          <w:lang w:eastAsia="en-US"/>
        </w:rPr>
        <w:t>Kohtuullisten mukautuksia tehtäessä on kiinnitettävä huomiota siihen, että koulutuksen järjestäjän tai oppilaitoksen koko ei saa muodostua esteeksi toisen tai korkea-asteen koulutukseen pääsemiselle.</w:t>
      </w:r>
    </w:p>
    <w:p w:rsidR="00F612AA" w:rsidRDefault="00F612AA" w:rsidP="00ED54D4">
      <w:pPr>
        <w:ind w:left="220"/>
        <w:rPr>
          <w:rFonts w:ascii="Palatino Linotype" w:hAnsi="Palatino Linotype"/>
          <w:b/>
          <w:sz w:val="24"/>
          <w:szCs w:val="24"/>
        </w:rPr>
      </w:pPr>
    </w:p>
    <w:p w:rsidR="00F612AA" w:rsidRDefault="00F612AA" w:rsidP="00ED54D4">
      <w:pPr>
        <w:ind w:left="220"/>
        <w:rPr>
          <w:rFonts w:ascii="Palatino Linotype" w:hAnsi="Palatino Linotype"/>
          <w:b/>
          <w:sz w:val="24"/>
          <w:szCs w:val="24"/>
        </w:rPr>
      </w:pPr>
      <w:r w:rsidRPr="00ED54D4">
        <w:rPr>
          <w:rFonts w:ascii="Palatino Linotype" w:hAnsi="Palatino Linotype"/>
          <w:color w:val="000000"/>
          <w:sz w:val="24"/>
          <w:szCs w:val="24"/>
          <w:lang w:eastAsia="en-US"/>
        </w:rPr>
        <w:t>Syrjinnän määritelmä</w:t>
      </w:r>
    </w:p>
    <w:p w:rsidR="00F612AA" w:rsidRDefault="00F612AA" w:rsidP="00ED54D4">
      <w:pPr>
        <w:ind w:left="220"/>
        <w:rPr>
          <w:rFonts w:ascii="Palatino Linotype" w:hAnsi="Palatino Linotype"/>
          <w:b/>
          <w:sz w:val="24"/>
          <w:szCs w:val="24"/>
        </w:rPr>
      </w:pPr>
    </w:p>
    <w:p w:rsidR="00F612AA" w:rsidRDefault="00F612AA" w:rsidP="00ED54D4">
      <w:pPr>
        <w:ind w:left="220"/>
        <w:rPr>
          <w:rFonts w:ascii="Palatino Linotype" w:hAnsi="Palatino Linotype"/>
          <w:b/>
          <w:sz w:val="24"/>
          <w:szCs w:val="24"/>
        </w:rPr>
      </w:pPr>
      <w:r w:rsidRPr="00ED54D4">
        <w:rPr>
          <w:rFonts w:ascii="Palatino Linotype" w:hAnsi="Palatino Linotype"/>
          <w:color w:val="000000"/>
          <w:sz w:val="20"/>
          <w:szCs w:val="20"/>
          <w:lang w:eastAsia="en-US"/>
        </w:rPr>
        <w:t>SYL on huolissaan siitä, miten syrjintä vastaisuudessa määritellään. Lakiesitys sisältää voimassa olevasta laista poiketen ajatuksen siitä, että erilainen kohtelu voi olla joissain tilanteissa hyväksyttävää. 3. luvun 10-12 § puhutaan hyväksyttävästä perusteesta:</w:t>
      </w:r>
    </w:p>
    <w:p w:rsidR="00F612AA" w:rsidRDefault="00F612AA" w:rsidP="00ED54D4">
      <w:pPr>
        <w:ind w:left="220"/>
        <w:rPr>
          <w:rFonts w:ascii="Palatino Linotype" w:hAnsi="Palatino Linotype"/>
          <w:b/>
          <w:sz w:val="24"/>
          <w:szCs w:val="24"/>
        </w:rPr>
      </w:pPr>
    </w:p>
    <w:p w:rsidR="00F612AA" w:rsidRDefault="00F612AA" w:rsidP="00ED54D4">
      <w:pPr>
        <w:ind w:left="220"/>
        <w:rPr>
          <w:rFonts w:ascii="Palatino Linotype" w:hAnsi="Palatino Linotype"/>
          <w:b/>
          <w:sz w:val="24"/>
          <w:szCs w:val="24"/>
        </w:rPr>
      </w:pPr>
      <w:r w:rsidRPr="00ED54D4">
        <w:rPr>
          <w:rFonts w:ascii="Palatino Linotype" w:hAnsi="Palatino Linotype"/>
          <w:color w:val="000000"/>
          <w:sz w:val="20"/>
          <w:szCs w:val="20"/>
          <w:lang w:eastAsia="en-US"/>
        </w:rPr>
        <w:t>“Erilainen kohtelu ei ole syrjintää, jos kohtelu perustuu lakiin tai sillä muutoin on hyväksyttävä tavoite ja keinot tavoitteen saavuttamiseksi ovat oikeasuhtaisia.” (10 §)</w:t>
      </w:r>
    </w:p>
    <w:p w:rsidR="00F612AA" w:rsidRDefault="00F612AA" w:rsidP="00ED54D4">
      <w:pPr>
        <w:ind w:left="220"/>
        <w:rPr>
          <w:rFonts w:ascii="Palatino Linotype" w:hAnsi="Palatino Linotype"/>
          <w:b/>
          <w:sz w:val="24"/>
          <w:szCs w:val="24"/>
        </w:rPr>
      </w:pPr>
    </w:p>
    <w:p w:rsidR="00F612AA" w:rsidRDefault="00F612AA" w:rsidP="00ED54D4">
      <w:pPr>
        <w:ind w:left="220"/>
        <w:rPr>
          <w:rFonts w:ascii="Palatino Linotype" w:hAnsi="Palatino Linotype"/>
          <w:b/>
          <w:sz w:val="24"/>
          <w:szCs w:val="24"/>
        </w:rPr>
      </w:pPr>
      <w:r w:rsidRPr="00ED54D4">
        <w:rPr>
          <w:rFonts w:ascii="Palatino Linotype" w:hAnsi="Palatino Linotype"/>
          <w:color w:val="000000"/>
          <w:sz w:val="20"/>
          <w:szCs w:val="20"/>
          <w:lang w:eastAsia="en-US"/>
        </w:rPr>
        <w:t>Mitä tämä tarkoittaa? Millaisissa tilanteissa esimerkiksi seksuaalinen suuntautuminen tai vakaumus voi perustella erilaisen kohtelun vaikkapa työhönotossa? SYL toivoo, että nämä pykälät eivät vahingossakaan pääse heikentämään syrjinnän kieltoa ja että niitä vielä täsmennetään.</w:t>
      </w:r>
    </w:p>
    <w:p w:rsidR="00F612AA" w:rsidRDefault="00F612AA" w:rsidP="00ED54D4">
      <w:pPr>
        <w:ind w:left="220"/>
        <w:rPr>
          <w:rFonts w:ascii="Palatino Linotype" w:hAnsi="Palatino Linotype"/>
          <w:b/>
          <w:sz w:val="24"/>
          <w:szCs w:val="24"/>
        </w:rPr>
      </w:pPr>
    </w:p>
    <w:p w:rsidR="00F612AA" w:rsidRDefault="00F612AA" w:rsidP="00ED54D4">
      <w:pPr>
        <w:ind w:left="220"/>
        <w:rPr>
          <w:rFonts w:ascii="Palatino Linotype" w:hAnsi="Palatino Linotype"/>
          <w:b/>
          <w:sz w:val="24"/>
          <w:szCs w:val="24"/>
        </w:rPr>
      </w:pPr>
    </w:p>
    <w:p w:rsidR="00F612AA" w:rsidRDefault="00F612AA" w:rsidP="00ED54D4">
      <w:pPr>
        <w:ind w:left="220"/>
        <w:rPr>
          <w:rFonts w:ascii="Palatino Linotype" w:hAnsi="Palatino Linotype"/>
          <w:b/>
          <w:sz w:val="24"/>
          <w:szCs w:val="24"/>
        </w:rPr>
      </w:pPr>
      <w:r>
        <w:rPr>
          <w:rFonts w:ascii="Palatino Linotype" w:hAnsi="Palatino Linotype"/>
          <w:b/>
          <w:sz w:val="24"/>
          <w:szCs w:val="24"/>
        </w:rPr>
        <w:tab/>
      </w:r>
      <w:r w:rsidRPr="00ED54D4">
        <w:rPr>
          <w:rFonts w:ascii="Palatino Linotype" w:hAnsi="Palatino Linotype"/>
          <w:color w:val="000000"/>
          <w:sz w:val="20"/>
          <w:szCs w:val="20"/>
          <w:lang w:eastAsia="en-US"/>
        </w:rPr>
        <w:t>Suomen ylioppilaskuntien liitto (SYL) ry</w:t>
      </w:r>
    </w:p>
    <w:p w:rsidR="00F612AA" w:rsidRDefault="00F612AA" w:rsidP="00ED54D4">
      <w:pPr>
        <w:ind w:left="220"/>
        <w:rPr>
          <w:rFonts w:ascii="Palatino Linotype" w:hAnsi="Palatino Linotype"/>
          <w:b/>
          <w:sz w:val="24"/>
          <w:szCs w:val="24"/>
        </w:rPr>
      </w:pPr>
    </w:p>
    <w:p w:rsidR="00F612AA" w:rsidRDefault="00F612AA" w:rsidP="00ED54D4">
      <w:pPr>
        <w:ind w:left="220"/>
        <w:rPr>
          <w:rFonts w:ascii="Palatino Linotype" w:hAnsi="Palatino Linotype"/>
          <w:b/>
          <w:sz w:val="24"/>
          <w:szCs w:val="24"/>
        </w:rPr>
      </w:pPr>
    </w:p>
    <w:p w:rsidR="00F612AA" w:rsidRDefault="00F612AA" w:rsidP="00ED54D4">
      <w:pPr>
        <w:ind w:left="220"/>
        <w:rPr>
          <w:rFonts w:ascii="Palatino Linotype" w:hAnsi="Palatino Linotype"/>
          <w:b/>
          <w:sz w:val="24"/>
          <w:szCs w:val="24"/>
        </w:rPr>
      </w:pPr>
      <w:r>
        <w:rPr>
          <w:rFonts w:ascii="Palatino Linotype" w:hAnsi="Palatino Linotype"/>
          <w:b/>
          <w:sz w:val="24"/>
          <w:szCs w:val="24"/>
        </w:rPr>
        <w:tab/>
      </w:r>
      <w:r w:rsidRPr="00ED54D4">
        <w:rPr>
          <w:rFonts w:ascii="Palatino Linotype" w:hAnsi="Palatino Linotype"/>
          <w:color w:val="000000"/>
          <w:sz w:val="20"/>
          <w:szCs w:val="20"/>
          <w:lang w:eastAsia="en-US"/>
        </w:rPr>
        <w:t xml:space="preserve">Marina Lampinen                    </w:t>
      </w:r>
      <w:r>
        <w:rPr>
          <w:rFonts w:ascii="Palatino Linotype" w:hAnsi="Palatino Linotype"/>
          <w:color w:val="000000"/>
          <w:sz w:val="20"/>
          <w:szCs w:val="20"/>
          <w:lang w:eastAsia="en-US"/>
        </w:rPr>
        <w:tab/>
      </w:r>
      <w:r>
        <w:rPr>
          <w:rFonts w:ascii="Palatino Linotype" w:hAnsi="Palatino Linotype"/>
          <w:color w:val="000000"/>
          <w:sz w:val="20"/>
          <w:szCs w:val="20"/>
          <w:lang w:eastAsia="en-US"/>
        </w:rPr>
        <w:tab/>
      </w:r>
      <w:r w:rsidRPr="00ED54D4">
        <w:rPr>
          <w:rFonts w:ascii="Palatino Linotype" w:hAnsi="Palatino Linotype"/>
          <w:color w:val="000000"/>
          <w:sz w:val="20"/>
          <w:szCs w:val="20"/>
          <w:lang w:eastAsia="en-US"/>
        </w:rPr>
        <w:t>Matti Parpala</w:t>
      </w:r>
    </w:p>
    <w:p w:rsidR="00F612AA" w:rsidRDefault="00F612AA" w:rsidP="00ED54D4">
      <w:pPr>
        <w:ind w:left="220"/>
        <w:rPr>
          <w:rFonts w:ascii="Palatino Linotype" w:hAnsi="Palatino Linotype"/>
          <w:b/>
          <w:sz w:val="24"/>
          <w:szCs w:val="24"/>
        </w:rPr>
      </w:pPr>
      <w:r>
        <w:rPr>
          <w:rFonts w:ascii="Palatino Linotype" w:hAnsi="Palatino Linotype"/>
          <w:b/>
          <w:sz w:val="24"/>
          <w:szCs w:val="24"/>
        </w:rPr>
        <w:tab/>
      </w:r>
      <w:r w:rsidRPr="00ED54D4">
        <w:rPr>
          <w:rFonts w:ascii="Palatino Linotype" w:hAnsi="Palatino Linotype"/>
          <w:color w:val="000000"/>
          <w:sz w:val="20"/>
          <w:szCs w:val="20"/>
          <w:lang w:eastAsia="en-US"/>
        </w:rPr>
        <w:t xml:space="preserve">puheenjohtaja                       </w:t>
      </w:r>
      <w:r>
        <w:rPr>
          <w:rFonts w:ascii="Palatino Linotype" w:hAnsi="Palatino Linotype"/>
          <w:color w:val="000000"/>
          <w:sz w:val="20"/>
          <w:szCs w:val="20"/>
          <w:lang w:eastAsia="en-US"/>
        </w:rPr>
        <w:tab/>
      </w:r>
      <w:r>
        <w:rPr>
          <w:rFonts w:ascii="Palatino Linotype" w:hAnsi="Palatino Linotype"/>
          <w:color w:val="000000"/>
          <w:sz w:val="20"/>
          <w:szCs w:val="20"/>
          <w:lang w:eastAsia="en-US"/>
        </w:rPr>
        <w:tab/>
      </w:r>
      <w:r w:rsidRPr="00ED54D4">
        <w:rPr>
          <w:rFonts w:ascii="Palatino Linotype" w:hAnsi="Palatino Linotype"/>
          <w:color w:val="000000"/>
          <w:sz w:val="20"/>
          <w:szCs w:val="20"/>
          <w:lang w:eastAsia="en-US"/>
        </w:rPr>
        <w:t xml:space="preserve"> pääsihteeri</w:t>
      </w:r>
    </w:p>
    <w:p w:rsidR="00F612AA" w:rsidRDefault="00F612AA" w:rsidP="00ED54D4">
      <w:pPr>
        <w:ind w:left="220"/>
        <w:rPr>
          <w:rFonts w:ascii="Palatino Linotype" w:hAnsi="Palatino Linotype"/>
          <w:b/>
          <w:sz w:val="24"/>
          <w:szCs w:val="24"/>
        </w:rPr>
      </w:pPr>
    </w:p>
    <w:p w:rsidR="00F612AA" w:rsidRDefault="00F612AA" w:rsidP="00ED54D4">
      <w:pPr>
        <w:ind w:left="220"/>
        <w:rPr>
          <w:rFonts w:ascii="Palatino Linotype" w:hAnsi="Palatino Linotype"/>
          <w:b/>
          <w:sz w:val="24"/>
          <w:szCs w:val="24"/>
        </w:rPr>
      </w:pPr>
    </w:p>
    <w:p w:rsidR="00F612AA" w:rsidRPr="00ED54D4" w:rsidRDefault="00F612AA" w:rsidP="00ED54D4">
      <w:pPr>
        <w:ind w:left="220"/>
        <w:rPr>
          <w:rFonts w:ascii="Palatino Linotype" w:hAnsi="Palatino Linotype"/>
          <w:b/>
          <w:sz w:val="24"/>
          <w:szCs w:val="24"/>
        </w:rPr>
      </w:pPr>
      <w:r>
        <w:rPr>
          <w:rFonts w:ascii="Palatino Linotype" w:hAnsi="Palatino Linotype"/>
          <w:b/>
          <w:sz w:val="24"/>
          <w:szCs w:val="24"/>
        </w:rPr>
        <w:tab/>
      </w:r>
      <w:r w:rsidRPr="00ED54D4">
        <w:rPr>
          <w:rFonts w:ascii="Palatino Linotype" w:hAnsi="Palatino Linotype"/>
          <w:color w:val="000000"/>
          <w:sz w:val="20"/>
          <w:szCs w:val="20"/>
          <w:lang w:eastAsia="en-US"/>
        </w:rPr>
        <w:t>Lisätiedot:</w:t>
      </w:r>
      <w:r>
        <w:rPr>
          <w:rFonts w:ascii="Palatino Linotype" w:hAnsi="Palatino Linotype"/>
          <w:b/>
          <w:sz w:val="24"/>
          <w:szCs w:val="24"/>
        </w:rPr>
        <w:t xml:space="preserve"> </w:t>
      </w:r>
      <w:r w:rsidRPr="00ED54D4">
        <w:rPr>
          <w:rFonts w:ascii="Palatino Linotype" w:hAnsi="Palatino Linotype"/>
          <w:color w:val="000000"/>
          <w:sz w:val="20"/>
          <w:szCs w:val="20"/>
          <w:lang w:eastAsia="en-US"/>
        </w:rPr>
        <w:t>sosiaalipoliittinen sihteeri Sini Terävä, sini.terava@syl.fi, 041 5152227</w:t>
      </w:r>
    </w:p>
    <w:p w:rsidR="00F612AA" w:rsidRPr="00ED54D4" w:rsidRDefault="00F612AA" w:rsidP="001C3ED9">
      <w:pPr>
        <w:widowControl w:val="0"/>
        <w:autoSpaceDE w:val="0"/>
        <w:autoSpaceDN w:val="0"/>
        <w:adjustRightInd w:val="0"/>
        <w:spacing w:line="288" w:lineRule="auto"/>
        <w:ind w:left="2640"/>
        <w:textAlignment w:val="center"/>
        <w:rPr>
          <w:rFonts w:ascii="Palatino Linotype" w:hAnsi="Palatino Linotype"/>
          <w:color w:val="000000"/>
          <w:sz w:val="20"/>
          <w:szCs w:val="20"/>
          <w:lang w:eastAsia="en-US"/>
        </w:rPr>
      </w:pPr>
    </w:p>
    <w:p w:rsidR="00F612AA" w:rsidRPr="00ED54D4" w:rsidRDefault="00F612AA" w:rsidP="001C3ED9">
      <w:pPr>
        <w:ind w:left="2608"/>
        <w:rPr>
          <w:rFonts w:ascii="Palatino Linotype" w:hAnsi="Palatino Linotype"/>
        </w:rPr>
      </w:pPr>
    </w:p>
    <w:p w:rsidR="00F612AA" w:rsidRPr="00ED54D4" w:rsidRDefault="00F612AA" w:rsidP="001C3ED9">
      <w:pPr>
        <w:rPr>
          <w:rFonts w:ascii="Palatino Linotype" w:hAnsi="Palatino Linotype"/>
        </w:rPr>
      </w:pPr>
    </w:p>
    <w:sectPr w:rsidR="00F612AA" w:rsidRPr="00ED54D4" w:rsidSect="001C3ED9">
      <w:headerReference w:type="default" r:id="rId7"/>
      <w:footerReference w:type="default" r:id="rId8"/>
      <w:pgSz w:w="11906" w:h="16838"/>
      <w:pgMar w:top="567" w:right="1106" w:bottom="567" w:left="120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2AA" w:rsidRDefault="00F612AA">
      <w:r>
        <w:separator/>
      </w:r>
    </w:p>
  </w:endnote>
  <w:endnote w:type="continuationSeparator" w:id="0">
    <w:p w:rsidR="00F612AA" w:rsidRDefault="00F61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2AA" w:rsidRPr="00DA55C6" w:rsidRDefault="00F612AA" w:rsidP="001C3ED9">
    <w:pPr>
      <w:pStyle w:val="Footer"/>
      <w:tabs>
        <w:tab w:val="clear" w:pos="4819"/>
        <w:tab w:val="left" w:pos="2640"/>
        <w:tab w:val="left" w:pos="4290"/>
        <w:tab w:val="left" w:pos="6270"/>
      </w:tabs>
      <w:ind w:hanging="1208"/>
      <w:rPr>
        <w:sz w:val="14"/>
        <w:szCs w:val="14"/>
      </w:rPr>
    </w:pPr>
    <w:r w:rsidRPr="00007EFB">
      <w:rPr>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i1028" type="#_x0000_t75" alt="alapalkki" style="width:595.5pt;height:39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2AA" w:rsidRDefault="00F612AA">
      <w:r>
        <w:separator/>
      </w:r>
    </w:p>
  </w:footnote>
  <w:footnote w:type="continuationSeparator" w:id="0">
    <w:p w:rsidR="00F612AA" w:rsidRDefault="00F61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2AA" w:rsidRDefault="00F612AA" w:rsidP="001C3ED9">
    <w:pPr>
      <w:pStyle w:val="Header"/>
      <w:tabs>
        <w:tab w:val="clear" w:pos="4819"/>
        <w:tab w:val="left" w:pos="5170"/>
        <w:tab w:val="left" w:pos="9130"/>
      </w:tabs>
      <w:ind w:hanging="1208"/>
    </w:pPr>
    <w:r w:rsidRPr="005B78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6" type="#_x0000_t75" alt="ylapalkki" style="width:595.5pt;height:93.75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AC5CB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469020"/>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9816F75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2B66336C"/>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5FA847B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7842D6F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0EE367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6F2310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84C5D6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34EDA5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BC692D0"/>
    <w:lvl w:ilvl="0">
      <w:start w:val="1"/>
      <w:numFmt w:val="bullet"/>
      <w:lvlText w:val=""/>
      <w:lvlJc w:val="left"/>
      <w:pPr>
        <w:tabs>
          <w:tab w:val="num" w:pos="360"/>
        </w:tabs>
        <w:ind w:left="360" w:hanging="360"/>
      </w:pPr>
      <w:rPr>
        <w:rFonts w:ascii="Symbol" w:hAnsi="Symbol" w:hint="default"/>
      </w:rPr>
    </w:lvl>
  </w:abstractNum>
  <w:abstractNum w:abstractNumId="11">
    <w:nsid w:val="473A34BE"/>
    <w:multiLevelType w:val="hybridMultilevel"/>
    <w:tmpl w:val="26563494"/>
    <w:lvl w:ilvl="0" w:tplc="E5A8F262">
      <w:start w:val="2"/>
      <w:numFmt w:val="bullet"/>
      <w:lvlText w:val="-"/>
      <w:lvlJc w:val="left"/>
      <w:pPr>
        <w:tabs>
          <w:tab w:val="num" w:pos="2970"/>
        </w:tabs>
        <w:ind w:left="2970" w:hanging="360"/>
      </w:pPr>
      <w:rPr>
        <w:rFonts w:ascii="Arial" w:eastAsia="Times New Roman" w:hAnsi="Arial" w:hint="default"/>
      </w:rPr>
    </w:lvl>
    <w:lvl w:ilvl="1" w:tplc="040B0003">
      <w:start w:val="1"/>
      <w:numFmt w:val="bullet"/>
      <w:lvlText w:val="o"/>
      <w:lvlJc w:val="left"/>
      <w:pPr>
        <w:tabs>
          <w:tab w:val="num" w:pos="3690"/>
        </w:tabs>
        <w:ind w:left="3690" w:hanging="360"/>
      </w:pPr>
      <w:rPr>
        <w:rFonts w:ascii="Courier New" w:hAnsi="Courier New" w:hint="default"/>
      </w:rPr>
    </w:lvl>
    <w:lvl w:ilvl="2" w:tplc="040B0005" w:tentative="1">
      <w:start w:val="1"/>
      <w:numFmt w:val="bullet"/>
      <w:lvlText w:val=""/>
      <w:lvlJc w:val="left"/>
      <w:pPr>
        <w:tabs>
          <w:tab w:val="num" w:pos="4410"/>
        </w:tabs>
        <w:ind w:left="4410" w:hanging="360"/>
      </w:pPr>
      <w:rPr>
        <w:rFonts w:ascii="Wingdings" w:hAnsi="Wingdings" w:hint="default"/>
      </w:rPr>
    </w:lvl>
    <w:lvl w:ilvl="3" w:tplc="040B0001" w:tentative="1">
      <w:start w:val="1"/>
      <w:numFmt w:val="bullet"/>
      <w:lvlText w:val=""/>
      <w:lvlJc w:val="left"/>
      <w:pPr>
        <w:tabs>
          <w:tab w:val="num" w:pos="5130"/>
        </w:tabs>
        <w:ind w:left="5130" w:hanging="360"/>
      </w:pPr>
      <w:rPr>
        <w:rFonts w:ascii="Symbol" w:hAnsi="Symbol" w:hint="default"/>
      </w:rPr>
    </w:lvl>
    <w:lvl w:ilvl="4" w:tplc="040B0003" w:tentative="1">
      <w:start w:val="1"/>
      <w:numFmt w:val="bullet"/>
      <w:lvlText w:val="o"/>
      <w:lvlJc w:val="left"/>
      <w:pPr>
        <w:tabs>
          <w:tab w:val="num" w:pos="5850"/>
        </w:tabs>
        <w:ind w:left="5850" w:hanging="360"/>
      </w:pPr>
      <w:rPr>
        <w:rFonts w:ascii="Courier New" w:hAnsi="Courier New" w:hint="default"/>
      </w:rPr>
    </w:lvl>
    <w:lvl w:ilvl="5" w:tplc="040B0005" w:tentative="1">
      <w:start w:val="1"/>
      <w:numFmt w:val="bullet"/>
      <w:lvlText w:val=""/>
      <w:lvlJc w:val="left"/>
      <w:pPr>
        <w:tabs>
          <w:tab w:val="num" w:pos="6570"/>
        </w:tabs>
        <w:ind w:left="6570" w:hanging="360"/>
      </w:pPr>
      <w:rPr>
        <w:rFonts w:ascii="Wingdings" w:hAnsi="Wingdings" w:hint="default"/>
      </w:rPr>
    </w:lvl>
    <w:lvl w:ilvl="6" w:tplc="040B0001" w:tentative="1">
      <w:start w:val="1"/>
      <w:numFmt w:val="bullet"/>
      <w:lvlText w:val=""/>
      <w:lvlJc w:val="left"/>
      <w:pPr>
        <w:tabs>
          <w:tab w:val="num" w:pos="7290"/>
        </w:tabs>
        <w:ind w:left="7290" w:hanging="360"/>
      </w:pPr>
      <w:rPr>
        <w:rFonts w:ascii="Symbol" w:hAnsi="Symbol" w:hint="default"/>
      </w:rPr>
    </w:lvl>
    <w:lvl w:ilvl="7" w:tplc="040B0003" w:tentative="1">
      <w:start w:val="1"/>
      <w:numFmt w:val="bullet"/>
      <w:lvlText w:val="o"/>
      <w:lvlJc w:val="left"/>
      <w:pPr>
        <w:tabs>
          <w:tab w:val="num" w:pos="8010"/>
        </w:tabs>
        <w:ind w:left="8010" w:hanging="360"/>
      </w:pPr>
      <w:rPr>
        <w:rFonts w:ascii="Courier New" w:hAnsi="Courier New" w:hint="default"/>
      </w:rPr>
    </w:lvl>
    <w:lvl w:ilvl="8" w:tplc="040B0005" w:tentative="1">
      <w:start w:val="1"/>
      <w:numFmt w:val="bullet"/>
      <w:lvlText w:val=""/>
      <w:lvlJc w:val="left"/>
      <w:pPr>
        <w:tabs>
          <w:tab w:val="num" w:pos="8730"/>
        </w:tabs>
        <w:ind w:left="873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01"/>
  <w:defaultTabStop w:val="1304"/>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4D4"/>
    <w:rsid w:val="00007EFB"/>
    <w:rsid w:val="000E3631"/>
    <w:rsid w:val="001C3ED9"/>
    <w:rsid w:val="00267389"/>
    <w:rsid w:val="003F723A"/>
    <w:rsid w:val="00412EAB"/>
    <w:rsid w:val="005B7804"/>
    <w:rsid w:val="00687D13"/>
    <w:rsid w:val="006F40A8"/>
    <w:rsid w:val="00977636"/>
    <w:rsid w:val="00A00491"/>
    <w:rsid w:val="00D919F1"/>
    <w:rsid w:val="00DA55C6"/>
    <w:rsid w:val="00ED54D4"/>
    <w:rsid w:val="00EF3104"/>
    <w:rsid w:val="00F612AA"/>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AB"/>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rsid w:val="00993205"/>
    <w:rPr>
      <w:rFonts w:ascii="Arial" w:hAnsi="Arial"/>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sid w:val="00993205"/>
    <w:rPr>
      <w:rFonts w:ascii="Arial" w:hAnsi="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993205"/>
    <w:rPr>
      <w:sz w:val="0"/>
      <w:szCs w:val="0"/>
    </w:rPr>
  </w:style>
  <w:style w:type="character" w:styleId="Hyperlink">
    <w:name w:val="Hyperlink"/>
    <w:basedOn w:val="DefaultParagraphFont"/>
    <w:uiPriority w:val="99"/>
    <w:rPr>
      <w:rFonts w:cs="Times New Roman"/>
      <w:color w:val="0000FF"/>
      <w:u w:val="single"/>
    </w:rPr>
  </w:style>
  <w:style w:type="paragraph" w:customStyle="1" w:styleId="NormalParagraphStyle">
    <w:name w:val="NormalParagraphStyle"/>
    <w:basedOn w:val="Normal"/>
    <w:uiPriority w:val="99"/>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31043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j&#228;rjest&#246;\Viestint&#228;\SYL-asiakirjapohjat\Lomakepohj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Lomakepohja.dot</Template>
  <TotalTime>1</TotalTime>
  <Pages>2</Pages>
  <Words>510</Words>
  <Characters>4139</Characters>
  <Application>Microsoft Office Outlook</Application>
  <DocSecurity>0</DocSecurity>
  <Lines>0</Lines>
  <Paragraphs>0</Paragraphs>
  <ScaleCrop>false</ScaleCrop>
  <Company>Kotkan kaupunki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Graafinen aineisto/Word-kirjelomakepohja</dc:title>
  <dc:subject/>
  <dc:creator>riitta.kappi</dc:creator>
  <cp:keywords/>
  <dc:description/>
  <cp:lastModifiedBy>O924180</cp:lastModifiedBy>
  <cp:revision>2</cp:revision>
  <cp:lastPrinted>2013-05-24T07:39:00Z</cp:lastPrinted>
  <dcterms:created xsi:type="dcterms:W3CDTF">2013-05-24T07:40:00Z</dcterms:created>
  <dcterms:modified xsi:type="dcterms:W3CDTF">2013-05-24T07:40:00Z</dcterms:modified>
</cp:coreProperties>
</file>