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79" w:rsidRDefault="00AF7A79" w:rsidP="00AF7A79">
      <w:pPr>
        <w:rPr>
          <w:b/>
        </w:rPr>
      </w:pPr>
      <w:bookmarkStart w:id="0" w:name="_GoBack"/>
      <w:bookmarkEnd w:id="0"/>
    </w:p>
    <w:p w:rsidR="00AF7A79" w:rsidRPr="003650DC" w:rsidRDefault="00AF7A79" w:rsidP="00AF7A79">
      <w:pPr>
        <w:rPr>
          <w:color w:val="FF0000"/>
        </w:rPr>
      </w:pPr>
      <w:r w:rsidRPr="003650DC">
        <w:rPr>
          <w:b/>
        </w:rPr>
        <w:t>LAUSUNNOT ULKOMAALAISTEN SÄILÖÖN OTTAMISTA KOSKEVAN TILASTOINNIN NYKYTILAA JA KEHITTÄMISTÄ KOSKEVASTA MUISTIOSTA</w:t>
      </w:r>
      <w:r w:rsidRPr="003650DC">
        <w:rPr>
          <w:color w:val="FF0000"/>
        </w:rPr>
        <w:t xml:space="preserve"> </w:t>
      </w:r>
    </w:p>
    <w:p w:rsidR="00AF7A79" w:rsidRPr="003650DC" w:rsidRDefault="00AF7A79" w:rsidP="00AF7A79">
      <w:pPr>
        <w:rPr>
          <w:b/>
        </w:rPr>
      </w:pPr>
    </w:p>
    <w:p w:rsidR="00AF7A79" w:rsidRPr="003650DC" w:rsidRDefault="00AF7A79" w:rsidP="00AF7A79">
      <w:pPr>
        <w:rPr>
          <w:b/>
        </w:rPr>
      </w:pPr>
    </w:p>
    <w:p w:rsidR="00AF7A79" w:rsidRPr="003650DC" w:rsidRDefault="00AF7A79" w:rsidP="00AF7A79">
      <w:pPr>
        <w:rPr>
          <w:b/>
        </w:rPr>
      </w:pPr>
      <w:r w:rsidRPr="003650DC">
        <w:rPr>
          <w:b/>
        </w:rPr>
        <w:t>Taustaa</w:t>
      </w:r>
    </w:p>
    <w:p w:rsidR="00AF7A79" w:rsidRPr="003650DC" w:rsidRDefault="00AF7A79" w:rsidP="00AF7A79">
      <w:pPr>
        <w:rPr>
          <w:b/>
        </w:rPr>
      </w:pPr>
    </w:p>
    <w:p w:rsidR="00AF7A79" w:rsidRPr="003650DC" w:rsidRDefault="00AF7A79" w:rsidP="00AF7A79">
      <w:pPr>
        <w:ind w:left="1304"/>
      </w:pPr>
      <w:r w:rsidRPr="003650DC">
        <w:t>Sisäasiainministeriön maahanmuutto-osasto pyysi 8.6.2012 päivätyllä lausuntopyynnöllä lausunnot työryhmän muistiosta koskien ulkomaalaisten säilöön ottamista koskevan tila</w:t>
      </w:r>
      <w:r w:rsidRPr="003650DC">
        <w:t>s</w:t>
      </w:r>
      <w:r w:rsidRPr="003650DC">
        <w:t>toinnin nykytilaa ja kehittämistä. Lausunnot pyydettiin 24 eri taholta, joista 15 antoi lausu</w:t>
      </w:r>
      <w:r w:rsidRPr="003650DC">
        <w:t>n</w:t>
      </w:r>
      <w:r w:rsidRPr="003650DC">
        <w:t>non. Lausunnon antoivat eduskunnan apulaisoikeusasiamies, Helsingin käräjäoikeus, He</w:t>
      </w:r>
      <w:r w:rsidRPr="003650DC">
        <w:t>l</w:t>
      </w:r>
      <w:r w:rsidRPr="003650DC">
        <w:t>singin kaupungin sosiaalivirasto, lapsiasiavaltuutettu, Maahanmuuttovirasto, oikeusminist</w:t>
      </w:r>
      <w:r w:rsidRPr="003650DC">
        <w:t>e</w:t>
      </w:r>
      <w:r w:rsidRPr="003650DC">
        <w:t>riön oikeushallinto-osasto, Pakolaisneuvonta ry, sisäasiainministeriön rajavartio-osasto, Suomen Mielenterveysseura, Suomen Punainen Risti, tietosuojavaltuutettu, Tilastokeskus, valtiovarainministeriö, vähemmistövaltuutettu ja YK:n pakolaisjärjestö UNHCR. Sis</w:t>
      </w:r>
      <w:r w:rsidRPr="003650DC">
        <w:t>ä</w:t>
      </w:r>
      <w:r w:rsidRPr="003650DC">
        <w:t>asianministeriön oikeusyksikkö ja valtioneuvoston oikeuskansleri ilmoittivat, että he eivät lausu asiasta. Valtioneuvoston oikeuskansleri perustelee päätöksensä valtioneuvoston oik</w:t>
      </w:r>
      <w:r w:rsidRPr="003650DC">
        <w:t>e</w:t>
      </w:r>
      <w:r w:rsidRPr="003650DC">
        <w:t>uskanslerin ja eduskunnan oikeusasiamiehen välisellä tehtävienjaolla.</w:t>
      </w:r>
    </w:p>
    <w:p w:rsidR="00AF7A79" w:rsidRPr="003650DC" w:rsidRDefault="00AF7A79" w:rsidP="00AF7A79">
      <w:pPr>
        <w:ind w:left="1304"/>
        <w:rPr>
          <w:color w:val="FF0000"/>
        </w:rPr>
      </w:pPr>
    </w:p>
    <w:p w:rsidR="00AF7A79" w:rsidRPr="003650DC" w:rsidRDefault="00AF7A79" w:rsidP="00AF7A79">
      <w:pPr>
        <w:ind w:left="1304"/>
      </w:pPr>
      <w:r w:rsidRPr="003650DC">
        <w:t xml:space="preserve">Sisäasiainministeriössä on selvitetty osana </w:t>
      </w:r>
      <w:r w:rsidRPr="003650DC">
        <w:rPr>
          <w:i/>
        </w:rPr>
        <w:t>Ulkomaalaisen säilöön ottamista koskevien säännösten tarkistaminen</w:t>
      </w:r>
      <w:r w:rsidRPr="003650DC">
        <w:t xml:space="preserve"> -hanketta (SM072:00/2011), joka on asetettu ajalle 1.12.2011 - 1.12.2013, säilöön ottamista koskevan tilastoinnin kehittämistä. Kyseisen hankkeen valmi</w:t>
      </w:r>
      <w:r w:rsidRPr="003650DC">
        <w:t>s</w:t>
      </w:r>
      <w:r w:rsidRPr="003650DC">
        <w:t>telutyössä nousi eri yhte</w:t>
      </w:r>
      <w:r w:rsidR="00BB51FA">
        <w:t>yksissä esiin tarve</w:t>
      </w:r>
      <w:r w:rsidRPr="003650DC">
        <w:t xml:space="preserve"> kehittää ja yhtenäistää säilöön ottamista kosk</w:t>
      </w:r>
      <w:r w:rsidRPr="003650DC">
        <w:t>e</w:t>
      </w:r>
      <w:r w:rsidRPr="003650DC">
        <w:t>vaa tilastointia, tätä varten helmikuussa 2012 muodostettiin säilöön ottamisen tilastointia selvittävä ala</w:t>
      </w:r>
      <w:r w:rsidR="00695D75">
        <w:t>työryhmä. Aluksi alatyöryhmä sai</w:t>
      </w:r>
      <w:r w:rsidRPr="003650DC">
        <w:t xml:space="preserve"> toimeksiannon selvittää, miten ulkomaalai</w:t>
      </w:r>
      <w:r w:rsidRPr="003650DC">
        <w:t>s</w:t>
      </w:r>
      <w:r w:rsidRPr="003650DC">
        <w:t xml:space="preserve">ten säilöön ottamisen kehittämisen kannalta välttämätön säilöönoton seuranta saataisiin </w:t>
      </w:r>
      <w:r w:rsidR="005D01B2">
        <w:t>p</w:t>
      </w:r>
      <w:r w:rsidR="005D01B2">
        <w:t>i</w:t>
      </w:r>
      <w:r w:rsidR="005D01B2">
        <w:t>kaisesti</w:t>
      </w:r>
      <w:r w:rsidR="00A13A2E">
        <w:t xml:space="preserve"> </w:t>
      </w:r>
      <w:r w:rsidRPr="003650DC">
        <w:t xml:space="preserve">toiminnalliselta </w:t>
      </w:r>
      <w:r w:rsidR="00982FD4">
        <w:t>ja</w:t>
      </w:r>
      <w:r w:rsidRPr="003650DC">
        <w:t xml:space="preserve"> tekniseltä </w:t>
      </w:r>
      <w:r w:rsidR="00B852D7">
        <w:t>toteutukseltaan</w:t>
      </w:r>
      <w:r w:rsidRPr="003650DC">
        <w:t xml:space="preserve"> järjestettyä. </w:t>
      </w:r>
    </w:p>
    <w:p w:rsidR="00AF7A79" w:rsidRPr="003650DC" w:rsidRDefault="00AF7A79" w:rsidP="00AF7A79">
      <w:pPr>
        <w:ind w:left="1304"/>
      </w:pPr>
    </w:p>
    <w:p w:rsidR="00AF7A79" w:rsidRDefault="00AF7A79" w:rsidP="00AF7A79">
      <w:pPr>
        <w:ind w:left="1304"/>
      </w:pPr>
      <w:r w:rsidRPr="003650DC">
        <w:t>Työryhmä kuvaa muistiossaan säilöönottoa koskevan tilastoinnin nykytilannetta sen ke</w:t>
      </w:r>
      <w:r w:rsidRPr="003650DC">
        <w:t>s</w:t>
      </w:r>
      <w:r w:rsidRPr="003650DC">
        <w:t>keisten toimijoiden kannalta ja arvioi tilastoinnin kehittämistarpeita. Muistiossa työryhmä korostaa, että tilastoinnista tulee saada kattava kokonaiskuva säilöönoton valtakunnallisesta tilanteesta. Työryhmä ehdottaa, että säilöön ottamisen tilastointia kehitettäisiin ja yhtenäi</w:t>
      </w:r>
      <w:r w:rsidRPr="003650DC">
        <w:t>s</w:t>
      </w:r>
      <w:r w:rsidRPr="003650DC">
        <w:t>tettäisiin vuoden 2014 alussa käyttöön otettavan poliisiasiain toiminnanohjausjärjestel</w:t>
      </w:r>
      <w:r w:rsidR="00DA7D54">
        <w:t>män (jatkossa VITJA) puitteissa</w:t>
      </w:r>
      <w:r w:rsidR="000F0DB7">
        <w:t>.</w:t>
      </w:r>
      <w:r w:rsidRPr="003650DC">
        <w:t xml:space="preserve"> </w:t>
      </w:r>
      <w:r w:rsidR="001E7E61">
        <w:t>T</w:t>
      </w:r>
      <w:r w:rsidRPr="003650DC">
        <w:t>yöryhmä on</w:t>
      </w:r>
      <w:r w:rsidR="00987F52">
        <w:t xml:space="preserve"> muistiossaan</w:t>
      </w:r>
      <w:r w:rsidRPr="003650DC">
        <w:t xml:space="preserve"> laatinut luettelon niistä tiedoista, jotka tilastotietojärjestelmistä tulisi tulevaisuudessa saada. Lisäksi säilöönoton tilas</w:t>
      </w:r>
      <w:r w:rsidR="00874969">
        <w:t>tointia kehitettäessä</w:t>
      </w:r>
      <w:r w:rsidR="007E6D78">
        <w:t xml:space="preserve"> työryhmässä tiedostettiin tarve</w:t>
      </w:r>
      <w:r w:rsidRPr="003650DC">
        <w:t xml:space="preserve"> kehittää jo vanhentunutta lakia ulkomaalaisr</w:t>
      </w:r>
      <w:r w:rsidRPr="003650DC">
        <w:t>e</w:t>
      </w:r>
      <w:r w:rsidRPr="003650DC">
        <w:t>kisteristä,</w:t>
      </w:r>
      <w:r w:rsidR="007E6D78">
        <w:t xml:space="preserve"> </w:t>
      </w:r>
      <w:r w:rsidR="001F49AC">
        <w:t>sitä</w:t>
      </w:r>
      <w:r w:rsidR="007E6D78">
        <w:t xml:space="preserve"> ei tämän työryhmän puitteissa kuitenkaan pystytä tarkastelemaan.</w:t>
      </w:r>
    </w:p>
    <w:p w:rsidR="00AF7A79" w:rsidRPr="003650DC" w:rsidRDefault="00AF7A79" w:rsidP="00AF7A79">
      <w:pPr>
        <w:ind w:left="1304"/>
        <w:rPr>
          <w:color w:val="FF0000"/>
        </w:rPr>
      </w:pPr>
    </w:p>
    <w:p w:rsidR="00AF7A79" w:rsidRPr="003650DC" w:rsidRDefault="00AF7A79" w:rsidP="00AF7A79">
      <w:pPr>
        <w:ind w:left="1304"/>
      </w:pPr>
    </w:p>
    <w:p w:rsidR="00AF7A79" w:rsidRPr="003650DC" w:rsidRDefault="00AF7A79" w:rsidP="00AF7A79">
      <w:pPr>
        <w:rPr>
          <w:b/>
        </w:rPr>
      </w:pPr>
      <w:r w:rsidRPr="003650DC">
        <w:rPr>
          <w:b/>
        </w:rPr>
        <w:t>Yleistä</w:t>
      </w:r>
    </w:p>
    <w:p w:rsidR="00AF7A79" w:rsidRPr="003650DC" w:rsidRDefault="00AF7A79" w:rsidP="00AF7A79">
      <w:pPr>
        <w:ind w:left="1304"/>
      </w:pPr>
    </w:p>
    <w:p w:rsidR="00AF7A79" w:rsidRPr="003650DC" w:rsidRDefault="00AF7A79" w:rsidP="00AF7A79">
      <w:pPr>
        <w:ind w:left="1304"/>
      </w:pPr>
      <w:r w:rsidRPr="003650DC">
        <w:t>Lausujat pitävät yleisesti muistion kuvausta tilastoinnin nykytilasta kattavana ja ovat huoli</w:t>
      </w:r>
      <w:r w:rsidRPr="003650DC">
        <w:t>s</w:t>
      </w:r>
      <w:r w:rsidRPr="003650DC">
        <w:t>saan ulkomaalaisten säilöön ottamista koskevan tilastoinnin nykytilasta. Tilastoinnin kehi</w:t>
      </w:r>
      <w:r w:rsidRPr="003650DC">
        <w:t>t</w:t>
      </w:r>
      <w:r w:rsidRPr="003650DC">
        <w:t>täminen nähdään erityisen tärkeänä, jotta säilöön ottamista voidaan kehittää ja seurata. Mu</w:t>
      </w:r>
      <w:r w:rsidRPr="003650DC">
        <w:t>u</w:t>
      </w:r>
      <w:r w:rsidRPr="003650DC">
        <w:t>tama lausunnon antaja pitää erityisen huolestuttavana, että poliisin tiloissa tapahtuvasta sä</w:t>
      </w:r>
      <w:r w:rsidRPr="003650DC">
        <w:t>i</w:t>
      </w:r>
      <w:r w:rsidRPr="003650DC">
        <w:t xml:space="preserve">löönotosta ei ole tällä hetkellä saatavilla yhtenäistä tilastoa. Lisäksi useat lausunnonantajat </w:t>
      </w:r>
      <w:r w:rsidRPr="003650DC">
        <w:lastRenderedPageBreak/>
        <w:t>korostavat sitä, että erityisesti lasten säilöön ottamista koskevaan tilastointiin kaivataan p</w:t>
      </w:r>
      <w:r w:rsidRPr="003650DC">
        <w:t>a</w:t>
      </w:r>
      <w:r w:rsidRPr="003650DC">
        <w:t>rannusta.</w:t>
      </w:r>
    </w:p>
    <w:p w:rsidR="00AF7A79" w:rsidRPr="003650DC" w:rsidRDefault="00AF7A79" w:rsidP="00AF7A79">
      <w:pPr>
        <w:ind w:left="1304"/>
      </w:pPr>
    </w:p>
    <w:p w:rsidR="00AF7A79" w:rsidRPr="003650DC" w:rsidRDefault="00AF7A79" w:rsidP="00AF7A79">
      <w:pPr>
        <w:ind w:left="1304"/>
      </w:pPr>
      <w:r w:rsidRPr="003650DC">
        <w:rPr>
          <w:i/>
        </w:rPr>
        <w:t>Helsingin kaupungin käräjäoikeus</w:t>
      </w:r>
      <w:r w:rsidRPr="003650DC">
        <w:t xml:space="preserve"> esittää kaksi korjausta työryhmän muistiossa esitettyyn kuvaukseen koskien säilöön ottamisen tilastointia käräjäoikeuksissa. Ensiksi käräjäoikeu</w:t>
      </w:r>
      <w:r w:rsidRPr="003650DC">
        <w:t>k</w:t>
      </w:r>
      <w:r w:rsidRPr="003650DC">
        <w:t>sien asiamääriä yhteen laskettaessa voi sama säilöön otetut henkilö esiintyä useampaan ke</w:t>
      </w:r>
      <w:r w:rsidRPr="003650DC">
        <w:t>r</w:t>
      </w:r>
      <w:r w:rsidRPr="003650DC">
        <w:t>taan. Päällekkäisyys johtuu siitä, että usein henkilö otetaan säilöön jonkun muun käräjäo</w:t>
      </w:r>
      <w:r w:rsidRPr="003650DC">
        <w:t>i</w:t>
      </w:r>
      <w:r w:rsidRPr="003650DC">
        <w:t>keuden kuin Helsingin toimialueella, jolloin paikallinen käräjäoikeus kirjaa diaariinsa uut</w:t>
      </w:r>
      <w:r w:rsidRPr="003650DC">
        <w:t>e</w:t>
      </w:r>
      <w:r w:rsidRPr="003650DC">
        <w:t>na asiana. Toiseksi lyhytaikaisesta säilöönotosta ei tehdä ollenkaan kirjausta käräjäoikeuden diaariin tapauksissa, joissa säilöön ottamista koskeva tuomioistuinkäsittely ei ehdi toteut</w:t>
      </w:r>
      <w:r w:rsidRPr="003650DC">
        <w:t>u</w:t>
      </w:r>
      <w:r w:rsidRPr="003650DC">
        <w:t xml:space="preserve">maan. </w:t>
      </w:r>
    </w:p>
    <w:p w:rsidR="00AF7A79" w:rsidRPr="003650DC" w:rsidRDefault="00AF7A79" w:rsidP="00AF7A79">
      <w:pPr>
        <w:ind w:left="1304"/>
      </w:pPr>
    </w:p>
    <w:p w:rsidR="00AF7A79" w:rsidRPr="003650DC" w:rsidRDefault="00AF7A79" w:rsidP="00AF7A79">
      <w:pPr>
        <w:ind w:left="1304"/>
      </w:pPr>
      <w:r w:rsidRPr="003650DC">
        <w:t>Lausujat pitävät muistiossa esitettyjä toimenpiteitä yleisesti hyvinä ja kannattavat pääasiassa esitystä tilastoinnin kehittämisestä uuden poliisiasian toiminnanohjausjärjestelmä VITJA:n puitteissa. Useat lausujat haluavat lausunnoissaan painottaa VITJA-järjestelmän ja ulkoma</w:t>
      </w:r>
      <w:r w:rsidRPr="003650DC">
        <w:t>a</w:t>
      </w:r>
      <w:r w:rsidRPr="003650DC">
        <w:t>laisasioiden sähköisen asiankäsittelyjärjestelmän (jatkossa UMA) välisen tiedonsiirron t</w:t>
      </w:r>
      <w:r w:rsidRPr="003650DC">
        <w:t>o</w:t>
      </w:r>
      <w:r w:rsidRPr="003650DC">
        <w:t>teutumisen tärkeyttä. Muutama lausuja korostaa, että tiedon saatavuus on varmistettava sekä yleisölle että maahanmuuton ja turvapaikanhaun toimijoille ja tilastoja tulisi olla mahdolli</w:t>
      </w:r>
      <w:r w:rsidRPr="003650DC">
        <w:t>s</w:t>
      </w:r>
      <w:r w:rsidRPr="003650DC">
        <w:t xml:space="preserve">ta tuottaa myös vuositasoa tiheämmällä aikavälillä. </w:t>
      </w:r>
    </w:p>
    <w:p w:rsidR="00AF7A79" w:rsidRPr="003650DC" w:rsidRDefault="00AF7A79" w:rsidP="00AF7A79">
      <w:pPr>
        <w:ind w:left="1304"/>
      </w:pPr>
    </w:p>
    <w:p w:rsidR="00AF7A79" w:rsidRPr="003650DC" w:rsidRDefault="00AF7A79" w:rsidP="00AF7A79">
      <w:pPr>
        <w:ind w:left="1304"/>
      </w:pPr>
      <w:r w:rsidRPr="003650DC">
        <w:t>Lausunnonantajien näkemykset eroavat toisistaan siinä, miten säilöön ottamisen tilastointi tulisi ylimenokauden 2012–2013 aikana järjestää. Yhtäältä muutamat lausunnonantajista k</w:t>
      </w:r>
      <w:r w:rsidRPr="003650DC">
        <w:t>o</w:t>
      </w:r>
      <w:r w:rsidRPr="003650DC">
        <w:t>rostavat, että luotettavien ja kattavien tilastotietojen toimittaminen tulisi järjestää jo yl</w:t>
      </w:r>
      <w:r w:rsidRPr="003650DC">
        <w:t>i</w:t>
      </w:r>
      <w:r w:rsidRPr="003650DC">
        <w:t>menokauden aikana. Toisaalta muutamat lausujat painottavat, että ylimenokauden tilastoi</w:t>
      </w:r>
      <w:r w:rsidRPr="003650DC">
        <w:t>n</w:t>
      </w:r>
      <w:r w:rsidRPr="003650DC">
        <w:t xml:space="preserve">nin järjestäminen tulisi arvioida erityisesti kustannustehokkuuden näkökulmasta. </w:t>
      </w:r>
    </w:p>
    <w:p w:rsidR="00AF7A79" w:rsidRPr="003650DC" w:rsidRDefault="00AF7A79" w:rsidP="00AF7A79">
      <w:pPr>
        <w:ind w:left="1304"/>
      </w:pPr>
    </w:p>
    <w:p w:rsidR="00AF7A79" w:rsidRPr="003650DC" w:rsidRDefault="00AF7A79" w:rsidP="00AF7A79">
      <w:pPr>
        <w:ind w:left="1304"/>
      </w:pPr>
      <w:r w:rsidRPr="003650DC">
        <w:t>Lisäksi lausunnonantajat ehdottavat useita lisäyksiä työryhmän muistiossa esitettyihin ehd</w:t>
      </w:r>
      <w:r w:rsidRPr="003650DC">
        <w:t>o</w:t>
      </w:r>
      <w:r w:rsidRPr="003650DC">
        <w:t>tuksiin tietojärjestelmiin kirjattavista tiedoista. Erityisesti lasten säilöön ottamiseen liittyvät seikat sekä säilöönoton vaihtoehtoisiin turvaamistoimiin liittyvät asiat tulisi lausujien m</w:t>
      </w:r>
      <w:r w:rsidRPr="003650DC">
        <w:t>u</w:t>
      </w:r>
      <w:r w:rsidRPr="003650DC">
        <w:t xml:space="preserve">kaan dokumentoida työryhmän muistion ehdotuksia tarkemmin. </w:t>
      </w:r>
    </w:p>
    <w:p w:rsidR="00AF7A79" w:rsidRPr="003650DC" w:rsidRDefault="00AF7A79" w:rsidP="00AF7A79">
      <w:pPr>
        <w:ind w:left="1304"/>
      </w:pPr>
    </w:p>
    <w:p w:rsidR="00AF7A79" w:rsidRPr="003650DC" w:rsidRDefault="00AF7A79" w:rsidP="00AF7A79">
      <w:pPr>
        <w:ind w:left="1304"/>
      </w:pPr>
      <w:r w:rsidRPr="003650DC">
        <w:rPr>
          <w:i/>
        </w:rPr>
        <w:t>Eduskunnan apulaisoikeusasiamies</w:t>
      </w:r>
      <w:r w:rsidRPr="003650DC">
        <w:t xml:space="preserve"> kritisoi työryhmän muistiota siitä, että näin monitahoista hanketta on arvioitu pelkästään suppeasta toiminnallisesta ja teknisestä näkökulmasta. Muun muassa eduskunnan apulaisoikeusasiamiehen mukaan säilöön ottamisen tilastoinnin kehi</w:t>
      </w:r>
      <w:r w:rsidRPr="003650DC">
        <w:t>t</w:t>
      </w:r>
      <w:r w:rsidRPr="003650DC">
        <w:t>tämistä tulisi arvioida tilasto- ja tietohallintolainsäädännön sekä henkilötietojen käsittelyä koskevan lainsäädännön kannalta. Apulaisoikeusasiamies huomauttaa, että tietojärjestelm</w:t>
      </w:r>
      <w:r w:rsidRPr="003650DC">
        <w:t>i</w:t>
      </w:r>
      <w:r w:rsidRPr="003650DC">
        <w:t>en ja niiden välisen tiedonvaihdon kehittämisessä on oikeudelliselta kannalta kysymys ve</w:t>
      </w:r>
      <w:r w:rsidRPr="003650DC">
        <w:t>r</w:t>
      </w:r>
      <w:r w:rsidRPr="003650DC">
        <w:t>kottuneesta hallinnosta ja tilastoinnin kehittäminen merkitsisi uuden elementin mukaantuloa jo nykyisin laajaan VITJA-järjestelmään. Lisäksi apulaisoikeusasiamies huomauttaa, että s</w:t>
      </w:r>
      <w:r w:rsidRPr="003650DC">
        <w:t>i</w:t>
      </w:r>
      <w:r w:rsidRPr="003650DC">
        <w:t>säasiainministeriön verkkosivuilla ei ole mainittu muistion tarkoittamaa hanketta maaha</w:t>
      </w:r>
      <w:r w:rsidRPr="003650DC">
        <w:t>n</w:t>
      </w:r>
      <w:r w:rsidRPr="003650DC">
        <w:t>muuttoon liittyvänä säädöshankkeena.</w:t>
      </w:r>
    </w:p>
    <w:p w:rsidR="00AF7A79" w:rsidRPr="003650DC" w:rsidRDefault="00AF7A79" w:rsidP="00AF7A79">
      <w:pPr>
        <w:ind w:left="1304"/>
      </w:pPr>
    </w:p>
    <w:p w:rsidR="00AF7A79" w:rsidRPr="003650DC" w:rsidRDefault="00AF7A79" w:rsidP="00AF7A79">
      <w:pPr>
        <w:ind w:left="1304"/>
      </w:pPr>
    </w:p>
    <w:p w:rsidR="00AF7A79" w:rsidRPr="003650DC" w:rsidRDefault="00AF7A79" w:rsidP="00AF7A79">
      <w:pPr>
        <w:rPr>
          <w:b/>
          <w:color w:val="FF0000"/>
        </w:rPr>
      </w:pPr>
      <w:r w:rsidRPr="003650DC">
        <w:rPr>
          <w:b/>
        </w:rPr>
        <w:t xml:space="preserve">Tietojärjestelmien välisen tiedonsiirron ja yhteen toimivuuden varmistaminen </w:t>
      </w:r>
    </w:p>
    <w:p w:rsidR="00AF7A79" w:rsidRPr="003650DC" w:rsidRDefault="00AF7A79" w:rsidP="00AF7A79">
      <w:pPr>
        <w:ind w:left="1304"/>
      </w:pPr>
    </w:p>
    <w:p w:rsidR="00AF7A79" w:rsidRPr="003650DC" w:rsidRDefault="00AF7A79" w:rsidP="00AF7A79">
      <w:pPr>
        <w:ind w:left="1304"/>
      </w:pPr>
      <w:r w:rsidRPr="003650DC">
        <w:t xml:space="preserve">Lausunnonantajat korostavat erityisen tärkeänä asiana, että eri virastojen tietojärjestelmien välinen tiedonsiirto ja yhteen toimivuus kehitetään toimiviksi ja käyttäjäystävällisiksi. </w:t>
      </w:r>
      <w:r w:rsidRPr="003650DC">
        <w:rPr>
          <w:i/>
        </w:rPr>
        <w:t>Ma</w:t>
      </w:r>
      <w:r w:rsidRPr="003650DC">
        <w:rPr>
          <w:i/>
        </w:rPr>
        <w:t>a</w:t>
      </w:r>
      <w:r w:rsidRPr="003650DC">
        <w:rPr>
          <w:i/>
        </w:rPr>
        <w:t>hanmuuttoviraston</w:t>
      </w:r>
      <w:r w:rsidRPr="003650DC">
        <w:t xml:space="preserve"> mukaan UMA- ja VITJA- järjestelmien yhteenliittymän suunnittelu tul</w:t>
      </w:r>
      <w:r w:rsidRPr="003650DC">
        <w:t>i</w:t>
      </w:r>
      <w:r w:rsidRPr="003650DC">
        <w:t>si aloittaa välittömästi, sillä VITJA-järjestelmän käyttöajankohta on jo hyvin lähellä. Lisäksi liittymän toimintaperiaatteiden suunnittelu on kesken ja liittymän määrittelyyn liittyy luku</w:t>
      </w:r>
      <w:r w:rsidRPr="003650DC">
        <w:t>i</w:t>
      </w:r>
      <w:r w:rsidRPr="003650DC">
        <w:t xml:space="preserve">sia avoimia kysymyksiä. Lisäksi </w:t>
      </w:r>
      <w:r w:rsidRPr="003650DC">
        <w:rPr>
          <w:i/>
        </w:rPr>
        <w:t>Helsingin kaupungin sosiaalivirasto</w:t>
      </w:r>
      <w:r w:rsidRPr="003650DC">
        <w:t xml:space="preserve">, </w:t>
      </w:r>
      <w:r w:rsidRPr="003650DC">
        <w:rPr>
          <w:i/>
        </w:rPr>
        <w:t>Maahanmuuttovira</w:t>
      </w:r>
      <w:r w:rsidRPr="003650DC">
        <w:rPr>
          <w:i/>
        </w:rPr>
        <w:t>s</w:t>
      </w:r>
      <w:r w:rsidRPr="003650DC">
        <w:rPr>
          <w:i/>
        </w:rPr>
        <w:t>to</w:t>
      </w:r>
      <w:r w:rsidRPr="003650DC">
        <w:t xml:space="preserve"> ja </w:t>
      </w:r>
      <w:r w:rsidRPr="003650DC">
        <w:rPr>
          <w:i/>
        </w:rPr>
        <w:t>sisäasianministeriön rajaosasto</w:t>
      </w:r>
      <w:r w:rsidRPr="003650DC">
        <w:t xml:space="preserve"> korostavat lausunnoissaan sitä, että UMA- ja VITJA- </w:t>
      </w:r>
      <w:r w:rsidRPr="003650DC">
        <w:lastRenderedPageBreak/>
        <w:t>järjestelmien välinen yhteys tulisi suunnitella siten, että saman tiedon kirjaaminen usea</w:t>
      </w:r>
      <w:r w:rsidRPr="003650DC">
        <w:t>m</w:t>
      </w:r>
      <w:r w:rsidRPr="003650DC">
        <w:t>paan järjestelmään vältettäisiin.</w:t>
      </w:r>
    </w:p>
    <w:p w:rsidR="00AF7A79" w:rsidRPr="003650DC" w:rsidRDefault="00AF7A79" w:rsidP="00AF7A79">
      <w:pPr>
        <w:ind w:left="1304"/>
      </w:pPr>
      <w:r w:rsidRPr="003650DC">
        <w:t xml:space="preserve"> </w:t>
      </w:r>
    </w:p>
    <w:p w:rsidR="00AF7A79" w:rsidRPr="003650DC" w:rsidRDefault="00AF7A79" w:rsidP="00AF7A79">
      <w:pPr>
        <w:ind w:left="1304"/>
      </w:pPr>
      <w:r w:rsidRPr="003650DC">
        <w:rPr>
          <w:i/>
        </w:rPr>
        <w:t>Tilastokeskus</w:t>
      </w:r>
      <w:r w:rsidRPr="003650DC">
        <w:t xml:space="preserve"> painottaa, että tietojen kerääminen kattavasti ja laadukkaasti edellyttää sitä, e</w:t>
      </w:r>
      <w:r w:rsidRPr="003650DC">
        <w:t>t</w:t>
      </w:r>
      <w:r w:rsidRPr="003650DC">
        <w:t>tä tietojen sisällöstä ja kirjaamisen vastuista sovitaan järjestelmän eri toimijoiden välillä. T</w:t>
      </w:r>
      <w:r w:rsidRPr="003650DC">
        <w:t>i</w:t>
      </w:r>
      <w:r w:rsidRPr="003650DC">
        <w:t>lastokeskuksen mukaan on myös tärkeää, että eri viranomaisten tieto- ja tilastointitarpeet t</w:t>
      </w:r>
      <w:r w:rsidRPr="003650DC">
        <w:t>u</w:t>
      </w:r>
      <w:r w:rsidRPr="003650DC">
        <w:t>levat otetuksi huomioon järjestelmien yhteenliittymien suunnittelussa.</w:t>
      </w:r>
    </w:p>
    <w:p w:rsidR="00AF7A79" w:rsidRPr="003650DC" w:rsidRDefault="00AF7A79" w:rsidP="00AF7A79">
      <w:pPr>
        <w:ind w:left="1304"/>
      </w:pPr>
    </w:p>
    <w:p w:rsidR="00AF7A79" w:rsidRPr="003650DC" w:rsidRDefault="00AF7A79" w:rsidP="00AF7A79">
      <w:pPr>
        <w:ind w:left="1304"/>
      </w:pPr>
      <w:r w:rsidRPr="003650DC">
        <w:rPr>
          <w:i/>
        </w:rPr>
        <w:t>Oikeusministeriön oikeushallinto-osasto</w:t>
      </w:r>
      <w:r w:rsidRPr="003650DC">
        <w:t xml:space="preserve"> esittää, että järjestelmien toimiva liittymä tietojen vaihdon osalta tulisi varmistaa myös suunnitteilla olevan syyttäjälaitoksen ja yleisten tu</w:t>
      </w:r>
      <w:r w:rsidRPr="003650DC">
        <w:t>o</w:t>
      </w:r>
      <w:r w:rsidRPr="003650DC">
        <w:t xml:space="preserve">mioistuinten toiminnanohjaus- ja dokumenttihallintajärjestelmän (AIPA) sekä VITJA-järjestelmän välillä. </w:t>
      </w:r>
      <w:r w:rsidRPr="003650DC">
        <w:rPr>
          <w:i/>
        </w:rPr>
        <w:t>Sisäasianministeriön rajaosasto</w:t>
      </w:r>
      <w:r w:rsidRPr="003650DC">
        <w:t xml:space="preserve"> pitää tärkeänä, että UMA- ja VITJA- järjestelmien sekä oikeushallinnon tietojärjestelmien välisten liittymärajapintojen toteutu</w:t>
      </w:r>
      <w:r w:rsidRPr="003650DC">
        <w:t>k</w:t>
      </w:r>
      <w:r w:rsidRPr="003650DC">
        <w:t xml:space="preserve">sesta huolehditaan. </w:t>
      </w:r>
    </w:p>
    <w:p w:rsidR="00AF7A79" w:rsidRPr="003650DC" w:rsidRDefault="00AF7A79" w:rsidP="00AF7A79">
      <w:pPr>
        <w:ind w:left="1304"/>
      </w:pPr>
    </w:p>
    <w:p w:rsidR="00AF7A79" w:rsidRPr="003650DC" w:rsidRDefault="00AF7A79" w:rsidP="00AF7A79">
      <w:pPr>
        <w:ind w:left="1304"/>
      </w:pPr>
    </w:p>
    <w:p w:rsidR="00AF7A79" w:rsidRPr="003650DC" w:rsidRDefault="00AF7A79" w:rsidP="00AF7A79">
      <w:pPr>
        <w:rPr>
          <w:b/>
        </w:rPr>
      </w:pPr>
      <w:r w:rsidRPr="003650DC">
        <w:rPr>
          <w:b/>
        </w:rPr>
        <w:t>Säilöön ottamisen tilastoinnin järjestäminen ylimenokauden 2012–2013 aikana</w:t>
      </w:r>
    </w:p>
    <w:p w:rsidR="00AF7A79" w:rsidRPr="003650DC" w:rsidRDefault="00AF7A79" w:rsidP="00AF7A79">
      <w:pPr>
        <w:ind w:left="1304"/>
      </w:pPr>
    </w:p>
    <w:p w:rsidR="00AF7A79" w:rsidRPr="003650DC" w:rsidRDefault="00AF7A79" w:rsidP="00AF7A79">
      <w:pPr>
        <w:ind w:left="1304"/>
      </w:pPr>
      <w:r w:rsidRPr="003650DC">
        <w:t xml:space="preserve">Useat lausunnonantajat painottavat tilastoinnin kehittämisen tärkeyttä ennen VITJA-järjestelmän käyttöönottoa. </w:t>
      </w:r>
      <w:r w:rsidRPr="003650DC">
        <w:rPr>
          <w:i/>
        </w:rPr>
        <w:t>Pakolaisneuvonta ry</w:t>
      </w:r>
      <w:r w:rsidRPr="003650DC">
        <w:t xml:space="preserve">, </w:t>
      </w:r>
      <w:r w:rsidRPr="003650DC">
        <w:rPr>
          <w:i/>
        </w:rPr>
        <w:t>Suomen Mielenterveysseura</w:t>
      </w:r>
      <w:r w:rsidRPr="003650DC">
        <w:t xml:space="preserve"> sekä </w:t>
      </w:r>
      <w:r w:rsidRPr="003650DC">
        <w:rPr>
          <w:i/>
        </w:rPr>
        <w:t>Suomen Punainen Risti</w:t>
      </w:r>
      <w:r w:rsidRPr="003650DC">
        <w:t xml:space="preserve"> pitävät tärkeänä, että luotettavien ja tarkkojen tilastotietojen saaminen va</w:t>
      </w:r>
      <w:r w:rsidRPr="003650DC">
        <w:t>r</w:t>
      </w:r>
      <w:r w:rsidRPr="003650DC">
        <w:t xml:space="preserve">mistetaan ja luodaan toimiva ja keskitetty järjestelmä myös ylimenokauden aikana. Myös </w:t>
      </w:r>
      <w:r w:rsidRPr="003650DC">
        <w:rPr>
          <w:i/>
        </w:rPr>
        <w:t>vähemmistövaltuutettu</w:t>
      </w:r>
      <w:r w:rsidRPr="003650DC">
        <w:t xml:space="preserve"> pitää tärkeänä, että asianmukainen tietojen tallentaminen, kerääm</w:t>
      </w:r>
      <w:r w:rsidRPr="003650DC">
        <w:t>i</w:t>
      </w:r>
      <w:r w:rsidRPr="003650DC">
        <w:t>nen ja julkaiseminen alkavat mahdollisimman pian.</w:t>
      </w:r>
    </w:p>
    <w:p w:rsidR="00AF7A79" w:rsidRPr="003650DC" w:rsidRDefault="00AF7A79" w:rsidP="00AF7A79">
      <w:pPr>
        <w:ind w:left="1304"/>
      </w:pPr>
    </w:p>
    <w:p w:rsidR="00AF7A79" w:rsidRPr="003650DC" w:rsidRDefault="00AF7A79" w:rsidP="00AF7A79">
      <w:pPr>
        <w:ind w:left="1304"/>
      </w:pPr>
      <w:r w:rsidRPr="003650DC">
        <w:rPr>
          <w:i/>
        </w:rPr>
        <w:t>Valtionvarainministeriö</w:t>
      </w:r>
      <w:r w:rsidRPr="003650DC">
        <w:t xml:space="preserve"> yhtyy työryhmän kantaan siitä, että UMA-järjestelmää ei ryhdytä väliaikaisratkaisuna ylimenokauden aikana toteuttamaan, vaan tietojen välittämisen edelly</w:t>
      </w:r>
      <w:r w:rsidRPr="003650DC">
        <w:t>t</w:t>
      </w:r>
      <w:r w:rsidRPr="003650DC">
        <w:t xml:space="preserve">tämä yhteentoimivuus toteutetaan VITJA:n käyttöönoton yhteydessä. </w:t>
      </w:r>
      <w:r w:rsidRPr="003650DC">
        <w:rPr>
          <w:i/>
        </w:rPr>
        <w:t>Sisäasiainministeriön rajaosaston</w:t>
      </w:r>
      <w:r w:rsidRPr="003650DC">
        <w:t xml:space="preserve"> mukaan ylimenokauden väliaikaistentoimenpiteiden tarpeellisuus tulisi arvioida erityisesti kustannustehokkuuden näkökulmasta siitä syystä, että VITJA-järjestelmän käy</w:t>
      </w:r>
      <w:r w:rsidRPr="003650DC">
        <w:t>t</w:t>
      </w:r>
      <w:r w:rsidRPr="003650DC">
        <w:t>töönottoon on jäljellä enää kohtuullisen lyhyt aika.</w:t>
      </w:r>
    </w:p>
    <w:p w:rsidR="00AF7A79" w:rsidRPr="003650DC" w:rsidRDefault="00AF7A79" w:rsidP="00AF7A79">
      <w:pPr>
        <w:ind w:left="1304"/>
      </w:pPr>
    </w:p>
    <w:p w:rsidR="00AF7A79" w:rsidRPr="003650DC" w:rsidRDefault="00AF7A79" w:rsidP="00AF7A79">
      <w:pPr>
        <w:ind w:left="1304"/>
      </w:pPr>
      <w:r w:rsidRPr="003650DC">
        <w:rPr>
          <w:i/>
        </w:rPr>
        <w:t>Maahanmuuttoviraston</w:t>
      </w:r>
      <w:r w:rsidRPr="003650DC">
        <w:t xml:space="preserve"> mukaan kattavien ja julkaisukelpoisten valtakunnallisten tilastoti</w:t>
      </w:r>
      <w:r w:rsidRPr="003650DC">
        <w:t>e</w:t>
      </w:r>
      <w:r w:rsidRPr="003650DC">
        <w:t>tojen kerääminen ylimenokauden aikana edellyttää eri vastuutahoilta suuria kehittämisto</w:t>
      </w:r>
      <w:r w:rsidRPr="003650DC">
        <w:t>i</w:t>
      </w:r>
      <w:r w:rsidRPr="003650DC">
        <w:t>menpiteitä. Maahanmuuttovirasto pitää säilöön ottamisen tilastoinnin nykytila niin puuttee</w:t>
      </w:r>
      <w:r w:rsidRPr="003650DC">
        <w:t>l</w:t>
      </w:r>
      <w:r w:rsidRPr="003650DC">
        <w:t>lisena, ettei se näe julkaisukelpoisen tilastojen tuottamista ylimenokauden aikana tarkoitu</w:t>
      </w:r>
      <w:r w:rsidRPr="003650DC">
        <w:t>k</w:t>
      </w:r>
      <w:r w:rsidRPr="003650DC">
        <w:t>senmukaisena. Maahanmuuttovirasto pitää parempana resurssien suuntaamisena sitä, että t</w:t>
      </w:r>
      <w:r w:rsidRPr="003650DC">
        <w:t>i</w:t>
      </w:r>
      <w:r w:rsidRPr="003650DC">
        <w:t xml:space="preserve">lastointia keskitytään kehittämään VITJA-järjestelmän puitteissa. </w:t>
      </w:r>
    </w:p>
    <w:p w:rsidR="00AF7A79" w:rsidRPr="003650DC" w:rsidRDefault="00AF7A79" w:rsidP="00AF7A79">
      <w:pPr>
        <w:ind w:left="1304"/>
      </w:pPr>
    </w:p>
    <w:p w:rsidR="00AF7A79" w:rsidRPr="003650DC" w:rsidRDefault="00AF7A79" w:rsidP="00AF7A79">
      <w:pPr>
        <w:ind w:left="1304"/>
      </w:pPr>
      <w:r w:rsidRPr="003650DC">
        <w:t>Siinä tapauksessa, että tilastoinnin kerääminen ja koordinointi aiotaan ylimenokauden aik</w:t>
      </w:r>
      <w:r w:rsidRPr="003650DC">
        <w:t>a</w:t>
      </w:r>
      <w:r w:rsidRPr="003650DC">
        <w:t xml:space="preserve">na järjestää, </w:t>
      </w:r>
      <w:r w:rsidRPr="003650DC">
        <w:rPr>
          <w:i/>
        </w:rPr>
        <w:t>Maahanmuuttovirasto</w:t>
      </w:r>
      <w:r w:rsidRPr="003650DC">
        <w:t xml:space="preserve"> ehdottaa, että koordinoijaksi valittaisiin esimerkiksi P</w:t>
      </w:r>
      <w:r w:rsidRPr="003650DC">
        <w:t>o</w:t>
      </w:r>
      <w:r w:rsidRPr="003650DC">
        <w:t>liisihallitus. Maahanmuuttovirasto ei pidä itseään järkevänä tilastoinnin koordinoijatahona ja perustelee näkemyksensä sillä, että se ei ole ulkomaalaisten säilöön ottamisessa päätökse</w:t>
      </w:r>
      <w:r w:rsidRPr="003650DC">
        <w:t>n</w:t>
      </w:r>
      <w:r w:rsidRPr="003650DC">
        <w:t>tekijänä, eivätkä säilöön ottamista koskevat tilastotiedot ole Maahanmuuttoviraston toimi</w:t>
      </w:r>
      <w:r w:rsidRPr="003650DC">
        <w:t>t</w:t>
      </w:r>
      <w:r w:rsidRPr="003650DC">
        <w:t>tamia. Maahanmuuttovirasto ei pidä tarkoituksenmukaisena, että sen niukkoja resursseja suunnattaisiin lyhyen ylimenokauden aikana viraston lakisääteisten tehtävien kannalta vi</w:t>
      </w:r>
      <w:r w:rsidRPr="003650DC">
        <w:t>e</w:t>
      </w:r>
      <w:r w:rsidRPr="003650DC">
        <w:t>raaksi koettuun säilöön ottamisen tilastoinnin koordinointitehtävään.</w:t>
      </w:r>
    </w:p>
    <w:p w:rsidR="00AF7A79" w:rsidRPr="003650DC" w:rsidRDefault="00AF7A79" w:rsidP="00AF7A79">
      <w:pPr>
        <w:ind w:left="1304"/>
      </w:pPr>
    </w:p>
    <w:p w:rsidR="00AF7A79" w:rsidRPr="003650DC" w:rsidRDefault="00AF7A79" w:rsidP="00AF7A79">
      <w:pPr>
        <w:ind w:left="1304"/>
      </w:pPr>
      <w:r w:rsidRPr="003650DC">
        <w:rPr>
          <w:i/>
        </w:rPr>
        <w:t>Maahanmuuttovirasto</w:t>
      </w:r>
      <w:r w:rsidRPr="003650DC">
        <w:t xml:space="preserve"> pitää mahdollisena, että säilöön ottamista koskeva tilastotieto julkai</w:t>
      </w:r>
      <w:r w:rsidRPr="003650DC">
        <w:t>s</w:t>
      </w:r>
      <w:r w:rsidRPr="003650DC">
        <w:t>taisiin ylimenokauden ajan sen internetsivuilla edellyttäen, että Maahanmuuttoviraston rooli tilastojen toimittamisessa on puhtaan viestinnällinen. Maahanmuuttovirasto on myös sitä mieltä, ettei tilastojen julkaiseminen vain kahden vuoden ajan Maahanmuuttoviraston inte</w:t>
      </w:r>
      <w:r w:rsidRPr="003650DC">
        <w:t>r</w:t>
      </w:r>
      <w:r w:rsidRPr="003650DC">
        <w:lastRenderedPageBreak/>
        <w:t>netsivuilla vaikuta järkevältä, sillä VITJA- järjestelmän käyttöönoton myötä tilastojen ju</w:t>
      </w:r>
      <w:r w:rsidRPr="003650DC">
        <w:t>l</w:t>
      </w:r>
      <w:r w:rsidRPr="003650DC">
        <w:t>kaisemisvastuu oletettavasti kuuluu Maahanmuuttovirastoa luontevammalle viranomaist</w:t>
      </w:r>
      <w:r w:rsidRPr="003650DC">
        <w:t>a</w:t>
      </w:r>
      <w:r w:rsidRPr="003650DC">
        <w:t>holle.</w:t>
      </w:r>
    </w:p>
    <w:p w:rsidR="00AF7A79" w:rsidRPr="003650DC" w:rsidRDefault="00AF7A79" w:rsidP="00AF7A79">
      <w:pPr>
        <w:ind w:left="1304"/>
      </w:pPr>
    </w:p>
    <w:p w:rsidR="00AF7A79" w:rsidRPr="003650DC" w:rsidRDefault="00AF7A79" w:rsidP="00AF7A79">
      <w:pPr>
        <w:ind w:left="1304"/>
      </w:pPr>
    </w:p>
    <w:p w:rsidR="00AF7A79" w:rsidRPr="003650DC" w:rsidRDefault="00AF7A79" w:rsidP="00AF7A79">
      <w:pPr>
        <w:rPr>
          <w:b/>
        </w:rPr>
      </w:pPr>
      <w:r w:rsidRPr="003650DC">
        <w:rPr>
          <w:b/>
        </w:rPr>
        <w:t>Lausunnonantajien lisäysehdotukset tilastotietojärjestelmistä saatavaan tietoon</w:t>
      </w:r>
    </w:p>
    <w:p w:rsidR="00AF7A79" w:rsidRPr="003650DC" w:rsidRDefault="00AF7A79" w:rsidP="00AF7A79">
      <w:pPr>
        <w:ind w:left="1304"/>
      </w:pPr>
    </w:p>
    <w:p w:rsidR="00AF7A79" w:rsidRPr="003650DC" w:rsidRDefault="00AF7A79" w:rsidP="00AF7A79">
      <w:pPr>
        <w:ind w:left="1304"/>
      </w:pPr>
      <w:r w:rsidRPr="003650DC">
        <w:t>Lausunnonantajilla oli useita lisäyksiä työryhmän muistion ehdotukseen siitä, mitä tietoa t</w:t>
      </w:r>
      <w:r w:rsidRPr="003650DC">
        <w:t>i</w:t>
      </w:r>
      <w:r w:rsidRPr="003650DC">
        <w:t xml:space="preserve">lastoista tulisi tulevaisuudessa olla saatavilla. </w:t>
      </w:r>
      <w:r w:rsidRPr="003650DC">
        <w:rPr>
          <w:i/>
        </w:rPr>
        <w:t>Suomen Mielenterveysseuran</w:t>
      </w:r>
      <w:r w:rsidRPr="003650DC">
        <w:t xml:space="preserve"> mukaan tilast</w:t>
      </w:r>
      <w:r w:rsidRPr="003650DC">
        <w:t>o</w:t>
      </w:r>
      <w:r w:rsidRPr="003650DC">
        <w:t>järjestelmästä tulisi tulevaisuudessa käydä ehdotettujen tietojen lisäksi ilmi, onko kyseessä yksin vai huoltajan kanssa säilöön otettu lapsi. Ilman huoltajaa säilöön otettujen lasten sä</w:t>
      </w:r>
      <w:r w:rsidRPr="003650DC">
        <w:t>i</w:t>
      </w:r>
      <w:r w:rsidRPr="003650DC">
        <w:t>löönoton tulisi ulkomaalaislain muuttamisen myötä loppua kokonaan, mutta Mielentervey</w:t>
      </w:r>
      <w:r w:rsidRPr="003650DC">
        <w:t>s</w:t>
      </w:r>
      <w:r w:rsidRPr="003650DC">
        <w:t>seuran mukaan tämä pitäisi myös tilastollisesti voida todentaa. Suomen Mielenterveysseura huomauttaa, että säilöönoton tilastointia kehitettäessä tulisi siirtyä systemaattisesti sanan lapsi käyttöön ja luopua sanasta alaikäinen.</w:t>
      </w:r>
    </w:p>
    <w:p w:rsidR="00AF7A79" w:rsidRPr="003650DC" w:rsidRDefault="00AF7A79" w:rsidP="00AF7A79">
      <w:pPr>
        <w:ind w:left="1304"/>
      </w:pPr>
    </w:p>
    <w:p w:rsidR="00AF7A79" w:rsidRPr="003650DC" w:rsidRDefault="00AF7A79" w:rsidP="00AF7A79">
      <w:pPr>
        <w:ind w:left="1304"/>
      </w:pPr>
      <w:r w:rsidRPr="003650DC">
        <w:rPr>
          <w:i/>
        </w:rPr>
        <w:t>Lapsiasiavaltuutettu</w:t>
      </w:r>
      <w:r w:rsidRPr="003650DC">
        <w:t xml:space="preserve"> korostaa, että ulkomaalaisten säilöönottoa koskevissa tilastoissa tulee käydä ilmi perusteet niille tilanteille, joissa lapsi yhdessä huoltajansa kanssa on otettu sä</w:t>
      </w:r>
      <w:r w:rsidRPr="003650DC">
        <w:t>i</w:t>
      </w:r>
      <w:r w:rsidRPr="003650DC">
        <w:t>löön. Huoltajansa kanssa säilöön otettujen lasten määrää ja säilöönotossa käytettyjä peru</w:t>
      </w:r>
      <w:r w:rsidRPr="003650DC">
        <w:t>s</w:t>
      </w:r>
      <w:r w:rsidRPr="003650DC">
        <w:t>teita on lapsiasiavaltuutetun mielestä pystyttävä seuraamaan tilastollisesti. Lisäksi tilastoista tulisi selvitä vanhempiensa kanssa säilöön otettujen lasten elinolojen laadulliset seikat, er</w:t>
      </w:r>
      <w:r w:rsidRPr="003650DC">
        <w:t>i</w:t>
      </w:r>
      <w:r w:rsidRPr="003650DC">
        <w:t>tyisesti lapsen mahdollisuus perusopetukseen.</w:t>
      </w:r>
    </w:p>
    <w:p w:rsidR="00AF7A79" w:rsidRPr="003650DC" w:rsidRDefault="00AF7A79" w:rsidP="00AF7A79">
      <w:pPr>
        <w:ind w:left="1304"/>
      </w:pPr>
    </w:p>
    <w:p w:rsidR="00AF7A79" w:rsidRPr="003650DC" w:rsidRDefault="00AF7A79" w:rsidP="00AF7A79">
      <w:pPr>
        <w:ind w:left="1304"/>
      </w:pPr>
      <w:r w:rsidRPr="003650DC">
        <w:rPr>
          <w:i/>
        </w:rPr>
        <w:t>Lapsiasiavaltuutettu</w:t>
      </w:r>
      <w:r w:rsidRPr="003650DC">
        <w:t xml:space="preserve"> pitää tärkeänä myös sitä, että tilastoihin kirjataan aikuisten säilöön ote</w:t>
      </w:r>
      <w:r w:rsidRPr="003650DC">
        <w:t>t</w:t>
      </w:r>
      <w:r w:rsidRPr="003650DC">
        <w:t>tujen osalta, onko heillä huollettavia lapsia Suomessa tai mahdollisesti muualla. Säilöön otettujen huollettavien lasten lukumäärä on lapsiasiavaltuutetusta tarpeen tietää, jotta vo</w:t>
      </w:r>
      <w:r w:rsidRPr="003650DC">
        <w:t>i</w:t>
      </w:r>
      <w:r w:rsidRPr="003650DC">
        <w:t>daan arvioida säilöön otettujen vanhempien ja heidän lastensa väliseen yhteydenpitoon ta</w:t>
      </w:r>
      <w:r w:rsidRPr="003650DC">
        <w:t>r</w:t>
      </w:r>
      <w:r w:rsidRPr="003650DC">
        <w:t>vittavat tukitoimenpiteet.</w:t>
      </w:r>
    </w:p>
    <w:p w:rsidR="00AF7A79" w:rsidRPr="003650DC" w:rsidRDefault="00AF7A79" w:rsidP="00AF7A79">
      <w:pPr>
        <w:ind w:left="1304"/>
      </w:pPr>
    </w:p>
    <w:p w:rsidR="00AF7A79" w:rsidRPr="003650DC" w:rsidRDefault="00AF7A79" w:rsidP="00AF7A79">
      <w:pPr>
        <w:ind w:left="1304"/>
      </w:pPr>
      <w:r w:rsidRPr="003650DC">
        <w:rPr>
          <w:i/>
        </w:rPr>
        <w:t>Suomen Mielenterveysseura</w:t>
      </w:r>
      <w:r w:rsidRPr="003650DC">
        <w:t xml:space="preserve"> kritisoi sitä, että työryhmän muistiossa ei ole kiinnitetty ta</w:t>
      </w:r>
      <w:r w:rsidRPr="003650DC">
        <w:t>r</w:t>
      </w:r>
      <w:r w:rsidRPr="003650DC">
        <w:t>peeksi huomiota säilöönoton vaihtoehtojen selvittämiseen. Mielenterveysseuran mukaan t</w:t>
      </w:r>
      <w:r w:rsidRPr="003650DC">
        <w:t>i</w:t>
      </w:r>
      <w:r w:rsidRPr="003650DC">
        <w:t xml:space="preserve">lastoista tulisi saada vaihtoehtoisten turvaamistoimien määrien lisäksi kattava kuva siitä, milloin toimenpiteitä käytetään, ketkä ovat muiden turvaamistoimien kohteena ja milloin toimenpiteeksi valitaan säilöönotto. </w:t>
      </w:r>
      <w:r w:rsidRPr="003650DC">
        <w:rPr>
          <w:i/>
        </w:rPr>
        <w:t>Pakolaisneuvonta ry</w:t>
      </w:r>
      <w:r w:rsidRPr="003650DC">
        <w:t xml:space="preserve"> pitää vaihtoehtoisten turvaami</w:t>
      </w:r>
      <w:r w:rsidRPr="003650DC">
        <w:t>s</w:t>
      </w:r>
      <w:r w:rsidRPr="003650DC">
        <w:t>toimien kirjaamista tärkeänä, jotta tulevaisuudessa pystyttäisiin selvittämään eroja vira</w:t>
      </w:r>
      <w:r w:rsidRPr="003650DC">
        <w:t>n</w:t>
      </w:r>
      <w:r w:rsidRPr="003650DC">
        <w:t>omaisten käytännöissä.</w:t>
      </w:r>
    </w:p>
    <w:p w:rsidR="00AF7A79" w:rsidRPr="003650DC" w:rsidRDefault="00AF7A79" w:rsidP="00AF7A79">
      <w:pPr>
        <w:ind w:left="1304"/>
      </w:pPr>
    </w:p>
    <w:p w:rsidR="00AF7A79" w:rsidRPr="003650DC" w:rsidRDefault="00AF7A79" w:rsidP="00AF7A79">
      <w:pPr>
        <w:ind w:left="1304"/>
      </w:pPr>
      <w:r w:rsidRPr="003650DC">
        <w:rPr>
          <w:i/>
        </w:rPr>
        <w:t>Eduskunnan apulaisoikeusasiamiehen</w:t>
      </w:r>
      <w:r w:rsidRPr="003650DC">
        <w:t xml:space="preserve"> mukaan tilastoitavaan tietoon on tärkeä kirjata vira</w:t>
      </w:r>
      <w:r w:rsidRPr="003650DC">
        <w:t>n</w:t>
      </w:r>
      <w:r w:rsidRPr="003650DC">
        <w:t>omaistoimenpiteiden toteutus. Erityistä huomiota apulaisoikeusasiamiehen mukaan pitää kiinnittää säilöönoton oikeusturvakysymyksiin liittyviin seikkoihin, sillä ulkomaalaisten sä</w:t>
      </w:r>
      <w:r w:rsidRPr="003650DC">
        <w:t>i</w:t>
      </w:r>
      <w:r w:rsidRPr="003650DC">
        <w:t>löön ottamista koskevan lain 5 §:n mukaan ulkomaalaiselle on tiedotettava hänen säilööno</w:t>
      </w:r>
      <w:r w:rsidRPr="003650DC">
        <w:t>t</w:t>
      </w:r>
      <w:r w:rsidRPr="003650DC">
        <w:t>tojärjestelyistään sekä oikeuksistaan ja velvollisuuksistaan sellaisella kielellä, jota hän y</w:t>
      </w:r>
      <w:r w:rsidRPr="003650DC">
        <w:t>m</w:t>
      </w:r>
      <w:r w:rsidRPr="003650DC">
        <w:t>märtää.</w:t>
      </w:r>
    </w:p>
    <w:p w:rsidR="00AF7A79" w:rsidRPr="003650DC" w:rsidRDefault="00AF7A79" w:rsidP="00AF7A79">
      <w:pPr>
        <w:ind w:left="1304"/>
      </w:pPr>
    </w:p>
    <w:p w:rsidR="00AF7A79" w:rsidRPr="003650DC" w:rsidRDefault="00AF7A79" w:rsidP="00AF7A79">
      <w:pPr>
        <w:ind w:left="1304"/>
      </w:pPr>
      <w:r w:rsidRPr="003650DC">
        <w:t xml:space="preserve">YK:n pakolaisjärjestö </w:t>
      </w:r>
      <w:r w:rsidRPr="003650DC">
        <w:rPr>
          <w:i/>
        </w:rPr>
        <w:t>UNHCR</w:t>
      </w:r>
      <w:r w:rsidRPr="003650DC">
        <w:t xml:space="preserve"> painottaa, että säilöön ottamista koskevista tilastoista tulisi tulevaisuudessa selvitä ulkomaalaisen asema (esim. turvapaikanhakija, kielteisen päätöksen saanut turvapaikanhakija, muut ulkomaalainen). UNHCR:n näkökulmasta on tärkeää saada selville, missä määrin säilöönottoa käytetään turvapaikanhakijoille, jotka saapuvat maahan ja missä määrin ennen maasta poistamista. </w:t>
      </w:r>
    </w:p>
    <w:p w:rsidR="00AF7A79" w:rsidRPr="003650DC" w:rsidRDefault="00AF7A79" w:rsidP="00AF7A79">
      <w:pPr>
        <w:ind w:left="1304"/>
      </w:pPr>
    </w:p>
    <w:p w:rsidR="00AF7A79" w:rsidRPr="003650DC" w:rsidRDefault="00AF7A79" w:rsidP="00AF7A79"/>
    <w:p w:rsidR="00CD3C54" w:rsidRDefault="00CD3C54" w:rsidP="00AF7A79">
      <w:pPr>
        <w:rPr>
          <w:b/>
        </w:rPr>
      </w:pPr>
    </w:p>
    <w:p w:rsidR="00AF7A79" w:rsidRPr="003650DC" w:rsidRDefault="00AF7A79" w:rsidP="00AF7A79">
      <w:pPr>
        <w:rPr>
          <w:b/>
        </w:rPr>
      </w:pPr>
      <w:r w:rsidRPr="003650DC">
        <w:rPr>
          <w:b/>
        </w:rPr>
        <w:lastRenderedPageBreak/>
        <w:t>Säilöön otettujen henkilötietojen käsittelyyn liittyvät huomiot</w:t>
      </w:r>
    </w:p>
    <w:p w:rsidR="00AF7A79" w:rsidRPr="003650DC" w:rsidRDefault="00AF7A79" w:rsidP="00AF7A79">
      <w:pPr>
        <w:ind w:left="1304"/>
      </w:pPr>
    </w:p>
    <w:p w:rsidR="00AF7A79" w:rsidRPr="003650DC" w:rsidRDefault="00AF7A79" w:rsidP="00AF7A79">
      <w:pPr>
        <w:ind w:left="1304"/>
        <w:rPr>
          <w:color w:val="FF0000"/>
        </w:rPr>
      </w:pPr>
      <w:r w:rsidRPr="003650DC">
        <w:t xml:space="preserve">Muutamat lausunnonantajista kritisoivat työryhmän muistiota siitä, ettei siinä ole kiinnitetty huomiota säilöön otettujen yksityisyyden suojaan ja henkilötietojen käsittelyyn. </w:t>
      </w:r>
      <w:r w:rsidRPr="003650DC">
        <w:rPr>
          <w:i/>
        </w:rPr>
        <w:t>Tietosuoj</w:t>
      </w:r>
      <w:r w:rsidRPr="003650DC">
        <w:rPr>
          <w:i/>
        </w:rPr>
        <w:t>a</w:t>
      </w:r>
      <w:r w:rsidRPr="003650DC">
        <w:rPr>
          <w:i/>
        </w:rPr>
        <w:t>valtuutettu</w:t>
      </w:r>
      <w:r w:rsidRPr="003650DC">
        <w:t xml:space="preserve"> huomauttaa, että säilöön ottamisen tilastoinnin kehittelyssä on jatkossa otettava huomioon henkilötietojen käsittelyä koskeva lainsäädäntö. Tietosuojavaltuutettu muistuttaa, että lainvalvontaviranomaisten rekisterinpidosta on säädetty mm. laissa henkilötietojen k</w:t>
      </w:r>
      <w:r w:rsidRPr="003650DC">
        <w:t>ä</w:t>
      </w:r>
      <w:r w:rsidRPr="003650DC">
        <w:t>sittelystä poliisitoimessa (761/2003), henkilötietojen käsittelystä rajavartiolaitoksessa (579/2005) ja ulkomaalaisten rekisteröinnistä (1270/1998). Henkilötietojen käsittelyä ko</w:t>
      </w:r>
      <w:r w:rsidRPr="003650DC">
        <w:t>s</w:t>
      </w:r>
      <w:r w:rsidRPr="003650DC">
        <w:t>kevista yleisistä periaatteista säädetään henkilötietolain (523/1999) 2 luvussa. Henkilötiet</w:t>
      </w:r>
      <w:r w:rsidRPr="003650DC">
        <w:t>o</w:t>
      </w:r>
      <w:r w:rsidRPr="003650DC">
        <w:t>jen käsittely on suunniteltava mm lain 6 §:ssä tarkoitetulla tavalla ja henkilötietojen käsitt</w:t>
      </w:r>
      <w:r w:rsidRPr="003650DC">
        <w:t>e</w:t>
      </w:r>
      <w:r w:rsidRPr="003650DC">
        <w:t>lyn yleisistä edellytyksistä säädetään lain 8 §:ssä.</w:t>
      </w:r>
    </w:p>
    <w:p w:rsidR="00AF7A79" w:rsidRPr="003650DC" w:rsidRDefault="00AF7A79" w:rsidP="00AF7A79">
      <w:pPr>
        <w:ind w:left="1304"/>
      </w:pPr>
    </w:p>
    <w:p w:rsidR="00AF7A79" w:rsidRPr="003650DC" w:rsidRDefault="00AF7A79" w:rsidP="00AF7A79">
      <w:pPr>
        <w:ind w:left="1304"/>
      </w:pPr>
      <w:r w:rsidRPr="003650DC">
        <w:rPr>
          <w:i/>
        </w:rPr>
        <w:t>Eduskunnan apulaisoikeusasiamies</w:t>
      </w:r>
      <w:r w:rsidRPr="003650DC">
        <w:t xml:space="preserve"> huomauttaa, että perustuslain 10 §:n 1 momentin m</w:t>
      </w:r>
      <w:r w:rsidRPr="003650DC">
        <w:t>u</w:t>
      </w:r>
      <w:r w:rsidRPr="003650DC">
        <w:t xml:space="preserve">kaan henkilötietojen suojasta on säädettävä tarkemmin lailla ja tilastotiedot perustuvat tässä tapauksessa hyvin arkaluontoisiin henkilötietoihin. Eduskunnan apulaisoikeusasiamiehen mukaan eduskunnan perustuslakivaliokunta on arvioinut esimerkiksi hallituksen esityksen HE 266/2010 mainitun perustuslain kohdan vastaiseksi. </w:t>
      </w:r>
      <w:proofErr w:type="gramStart"/>
      <w:r w:rsidRPr="003650DC">
        <w:t>Perustuslakivaliokunnan mukaan kyseisessä lakiehdotuksessa olisi eriteltävä tarkemmin tietojen saatiin oikeutetut sekä se, m</w:t>
      </w:r>
      <w:r w:rsidRPr="003650DC">
        <w:t>i</w:t>
      </w:r>
      <w:r w:rsidRPr="003650DC">
        <w:t>tä ja ketä koskevia tietoja tiedonsaantioikeus esityksessä koskee.</w:t>
      </w:r>
      <w:proofErr w:type="gramEnd"/>
      <w:r w:rsidRPr="003650DC">
        <w:t xml:space="preserve"> Apulaisoikeusasiamies huomauttaa, että perustuslakivaliokunta on aiemmin vastaanoton asiakasrekisterin osalta katsonut, että tietoja rekisteröidyn etnisestä alkuperästä ja uskonnollisesta vakaumuksesta voidaan tallettaa vain, jos se on tarpeen vastaanottopalvelujen järjestämiseksi ja rekisteröity antaa siihen suostumuksen.</w:t>
      </w:r>
    </w:p>
    <w:p w:rsidR="00AF7A79" w:rsidRPr="003650DC" w:rsidRDefault="00AF7A79" w:rsidP="00AF7A79">
      <w:pPr>
        <w:ind w:left="1304"/>
      </w:pPr>
    </w:p>
    <w:p w:rsidR="00AF7A79" w:rsidRPr="003650DC" w:rsidRDefault="00AF7A79" w:rsidP="00AF7A79">
      <w:pPr>
        <w:ind w:left="1304"/>
      </w:pPr>
      <w:r w:rsidRPr="003650DC">
        <w:t xml:space="preserve">Lisäksi </w:t>
      </w:r>
      <w:r w:rsidRPr="003650DC">
        <w:rPr>
          <w:i/>
        </w:rPr>
        <w:t>eduskunnan apulaisoikeusasiamies</w:t>
      </w:r>
      <w:r w:rsidRPr="003650DC">
        <w:t xml:space="preserve"> huomauttaa, että tilastolain 5§:n periaatteen m</w:t>
      </w:r>
      <w:r w:rsidRPr="003650DC">
        <w:t>u</w:t>
      </w:r>
      <w:r w:rsidRPr="003650DC">
        <w:t>kaan tietoja tulee kerätä ja tallettaa ilman tunnistetietoja aina, kun se tilastojen laatimisen kannalta on mahdollista. Tunnistetietoja voidaan kerätä ainoastaan silloin, kun se on vältt</w:t>
      </w:r>
      <w:r w:rsidRPr="003650DC">
        <w:t>ä</w:t>
      </w:r>
      <w:r w:rsidRPr="003650DC">
        <w:t>mätöntä tietoaineistojen yhdistämiseksi tai kun se on muutoin välttämätöntä yhteiskuntaol</w:t>
      </w:r>
      <w:r w:rsidRPr="003650DC">
        <w:t>o</w:t>
      </w:r>
      <w:r w:rsidRPr="003650DC">
        <w:t>jen kehityspiirteitä kuvaavien luotettavien ja vertailukelpoisten tilastojen tuottamiseksi.</w:t>
      </w:r>
    </w:p>
    <w:p w:rsidR="00AF7A79" w:rsidRPr="003650DC" w:rsidRDefault="00AF7A79" w:rsidP="00AF7A79">
      <w:pPr>
        <w:ind w:left="1304"/>
      </w:pPr>
    </w:p>
    <w:p w:rsidR="00AF7A79" w:rsidRPr="003650DC" w:rsidRDefault="00AF7A79" w:rsidP="00AF7A79">
      <w:pPr>
        <w:ind w:left="1304"/>
      </w:pPr>
      <w:r w:rsidRPr="003650DC">
        <w:rPr>
          <w:i/>
        </w:rPr>
        <w:t>Pakolaisneuvonta ry</w:t>
      </w:r>
      <w:r w:rsidRPr="003650DC">
        <w:t xml:space="preserve"> haluaa painottaa, että mikäli säilöönottoyksikön kirjaajille annetaan käyttöoikeudet VITJA-järjestelmään, oikeudet tulee ehdottomasti rajata vain tietojen ki</w:t>
      </w:r>
      <w:r w:rsidRPr="003650DC">
        <w:t>r</w:t>
      </w:r>
      <w:r w:rsidRPr="003650DC">
        <w:t xml:space="preserve">jaamiseen. Myös </w:t>
      </w:r>
      <w:r w:rsidRPr="003650DC">
        <w:rPr>
          <w:i/>
        </w:rPr>
        <w:t>eduskunnan apulaisoikeusasiamiehen</w:t>
      </w:r>
      <w:r w:rsidRPr="003650DC">
        <w:t xml:space="preserve"> mukaan säilöönoton tilastoinnin k</w:t>
      </w:r>
      <w:r w:rsidRPr="003650DC">
        <w:t>e</w:t>
      </w:r>
      <w:r w:rsidRPr="003650DC">
        <w:t>hittämisessä ratkaistavia ongelmia ovat muun muassa VITJA-järjestelmän käyttöoikeuksien antaminen sijaisille ja poliisihallinnon ulkopuolisille tahoille sekä lokitietojen tehokkaan seurannan järjestäminen.</w:t>
      </w:r>
    </w:p>
    <w:p w:rsidR="00AF7A79" w:rsidRPr="003650DC" w:rsidRDefault="00AF7A79" w:rsidP="00AF7A79">
      <w:pPr>
        <w:ind w:left="1304"/>
      </w:pPr>
    </w:p>
    <w:p w:rsidR="00AF7A79" w:rsidRPr="003650DC" w:rsidRDefault="00AF7A79" w:rsidP="00AF7A79">
      <w:pPr>
        <w:ind w:left="1304"/>
      </w:pPr>
      <w:r w:rsidRPr="003650DC">
        <w:rPr>
          <w:i/>
        </w:rPr>
        <w:t>Pakolaisneuvonta ry</w:t>
      </w:r>
      <w:r w:rsidRPr="003650DC">
        <w:t xml:space="preserve"> sekä </w:t>
      </w:r>
      <w:r w:rsidRPr="003650DC">
        <w:rPr>
          <w:i/>
        </w:rPr>
        <w:t>tietosuojavaltuutettu</w:t>
      </w:r>
      <w:r w:rsidRPr="003650DC">
        <w:t xml:space="preserve"> kiinnittävät huomiota työryhmän muistion ehdotukseen siitä, että esimerkiksi säilöön otettujen ruokailu, ulkoilutus sekä lääkitys voita</w:t>
      </w:r>
      <w:r w:rsidRPr="003650DC">
        <w:t>i</w:t>
      </w:r>
      <w:r w:rsidRPr="003650DC">
        <w:t>siin kirjata VITJA-järjestelmään. Pakolaisneuvonta huomauttaa, että henkilötietolain 11 §: 4 kohdan mukaan terveyden tilaa koskevat tiedot ovat arkaluonteisia ja henkilötietolain 11 §:n 1,2, 4-6 kohdissa tarkoitettuja tietoja saa kerätä ja tallettaa poliisin henkilötietorekisteriin ja käsitellä ainoastaan kun se on poliisin yksittäisen tehtävän suorittamiseksi välttämätöntä. Myös tietosuojavaltuutetun mukaan henkilötietojen käsittelyn suunnittelun yhteydessä tulee ottaa huomioon, että uusien tietojen ja tietoryhmien kirjaamiselle viranomaisen henkilör</w:t>
      </w:r>
      <w:r w:rsidRPr="003650DC">
        <w:t>e</w:t>
      </w:r>
      <w:r w:rsidRPr="003650DC">
        <w:t>kisteriin tulee olla laissa tarkoitettu käsittelyn peruste.</w:t>
      </w:r>
    </w:p>
    <w:p w:rsidR="00AF7A79" w:rsidRPr="003650DC" w:rsidRDefault="00AF7A79" w:rsidP="00AF7A79">
      <w:pPr>
        <w:ind w:left="1304"/>
      </w:pPr>
    </w:p>
    <w:p w:rsidR="00AD7A60" w:rsidRDefault="00AD7A60" w:rsidP="00AF7A79"/>
    <w:p w:rsidR="00AD7A60" w:rsidRDefault="00AD7A60" w:rsidP="00AF7A79"/>
    <w:p w:rsidR="00AD7A60" w:rsidRDefault="00AD7A60" w:rsidP="00AF7A79"/>
    <w:p w:rsidR="00AD7A60" w:rsidRDefault="00AD7A60" w:rsidP="00AF7A79"/>
    <w:p w:rsidR="00AF7A79" w:rsidRPr="003650DC" w:rsidRDefault="00AF7A79" w:rsidP="00AF7A79">
      <w:pPr>
        <w:rPr>
          <w:b/>
        </w:rPr>
      </w:pPr>
      <w:r w:rsidRPr="003650DC">
        <w:rPr>
          <w:b/>
        </w:rPr>
        <w:lastRenderedPageBreak/>
        <w:t>Lausunnonantajien kehitysehdotukset tilasto- ja tietohallintolainsäädäntöä koskien</w:t>
      </w:r>
    </w:p>
    <w:p w:rsidR="00AF7A79" w:rsidRPr="003650DC" w:rsidRDefault="00AF7A79" w:rsidP="00AF7A79">
      <w:pPr>
        <w:ind w:left="1304"/>
      </w:pPr>
    </w:p>
    <w:p w:rsidR="00AF7A79" w:rsidRPr="003650DC" w:rsidRDefault="00AF7A79" w:rsidP="00AF7A79">
      <w:pPr>
        <w:ind w:left="1304"/>
      </w:pPr>
      <w:r w:rsidRPr="003650DC">
        <w:rPr>
          <w:i/>
        </w:rPr>
        <w:t>Eduskunnan apulaisoikeusasiamies</w:t>
      </w:r>
      <w:r w:rsidRPr="003650DC">
        <w:t xml:space="preserve"> kritisoi työryhmän muistiota siitä, ettei se myöskään k</w:t>
      </w:r>
      <w:r w:rsidRPr="003650DC">
        <w:t>ä</w:t>
      </w:r>
      <w:r w:rsidRPr="003650DC">
        <w:t>sittele tilastoinnin kehittämistä tilasto- ja tietohallintolainsäädäntöä kannalta. Apulaisoike</w:t>
      </w:r>
      <w:r w:rsidRPr="003650DC">
        <w:t>u</w:t>
      </w:r>
      <w:r w:rsidRPr="003650DC">
        <w:t>sasiamies muistuttaa, että nykyisenä perustana tietojärjestelmien uudistamiselle on laki ju</w:t>
      </w:r>
      <w:r w:rsidRPr="003650DC">
        <w:t>l</w:t>
      </w:r>
      <w:r w:rsidRPr="003650DC">
        <w:t xml:space="preserve">kisen hallinnon tietohallinnon ohjauksesta (634/2011). </w:t>
      </w:r>
    </w:p>
    <w:p w:rsidR="00AF7A79" w:rsidRPr="003650DC" w:rsidRDefault="00AF7A79" w:rsidP="00AF7A79">
      <w:pPr>
        <w:ind w:left="1304"/>
      </w:pPr>
    </w:p>
    <w:p w:rsidR="00AF7A79" w:rsidRDefault="00AF7A79" w:rsidP="00AF7A79">
      <w:pPr>
        <w:ind w:left="1304"/>
      </w:pPr>
      <w:r w:rsidRPr="003650DC">
        <w:rPr>
          <w:i/>
        </w:rPr>
        <w:t>Eduskunnan apulaisoikeusasiamies</w:t>
      </w:r>
      <w:r w:rsidRPr="003650DC">
        <w:t xml:space="preserve"> kritisoi sitä, että muistiossa ei ole osana tilastoinnin k</w:t>
      </w:r>
      <w:r w:rsidRPr="003650DC">
        <w:t>e</w:t>
      </w:r>
      <w:r w:rsidRPr="003650DC">
        <w:t>hittämistä analysoitu viranomaisten välistä vastuunjakoa lain vaatimalla tavalla. Apulaiso</w:t>
      </w:r>
      <w:r w:rsidRPr="003650DC">
        <w:t>i</w:t>
      </w:r>
      <w:r w:rsidRPr="003650DC">
        <w:t>keusasiamies huomauttaa, että tietohallinnon ja tietojohtamisen kannalta on aihetta todeta, että tilastolain (280/2004) 2 §:n 2 momentin mukaan tilastoinnissa tulee erottaa tilastovira</w:t>
      </w:r>
      <w:r w:rsidRPr="003650DC">
        <w:t>n</w:t>
      </w:r>
      <w:r w:rsidRPr="003650DC">
        <w:t>omaiset, tilastoja laativat muut viranomaiset, tiedonantajatahot, tiedonantovelvolliset tahot sekä tiedonantajien ja tiedonantovelvollisten edustajat.</w:t>
      </w:r>
    </w:p>
    <w:p w:rsidR="00AF7A79" w:rsidRDefault="00AF7A79" w:rsidP="00AF7A79"/>
    <w:p w:rsidR="003F72E6" w:rsidRPr="00AF7A79" w:rsidRDefault="003F72E6" w:rsidP="00AF7A79"/>
    <w:sectPr w:rsidR="003F72E6" w:rsidRPr="00AF7A79" w:rsidSect="00200C64">
      <w:headerReference w:type="even" r:id="rId9"/>
      <w:headerReference w:type="default" r:id="rId10"/>
      <w:footerReference w:type="even" r:id="rId11"/>
      <w:footerReference w:type="default" r:id="rId12"/>
      <w:headerReference w:type="first" r:id="rId13"/>
      <w:footerReference w:type="first" r:id="rId14"/>
      <w:pgSz w:w="11906" w:h="16838" w:code="9"/>
      <w:pgMar w:top="1531" w:right="567" w:bottom="851"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70" w:rsidRDefault="00F73E70" w:rsidP="00345EDC">
      <w:r>
        <w:separator/>
      </w:r>
    </w:p>
  </w:endnote>
  <w:endnote w:type="continuationSeparator" w:id="0">
    <w:p w:rsidR="00F73E70" w:rsidRDefault="00F73E70" w:rsidP="0034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22" w:rsidRDefault="00DC4B2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22" w:rsidRDefault="00DC4B22">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0" w:rsidRPr="005834A9" w:rsidRDefault="00F73E70" w:rsidP="00200C64">
    <w:pPr>
      <w:rPr>
        <w:rFonts w:ascii="Arial" w:hAnsi="Arial" w:cs="Arial"/>
        <w:sz w:val="16"/>
        <w:szCs w:val="16"/>
      </w:rPr>
    </w:pPr>
  </w:p>
  <w:p w:rsidR="00F73E70" w:rsidRDefault="00F73E70" w:rsidP="00200C64">
    <w:pPr>
      <w:pStyle w:val="Alatunniste"/>
    </w:pPr>
  </w:p>
  <w:p w:rsidR="00F73E70" w:rsidRDefault="00F73E70" w:rsidP="00200C64">
    <w:pPr>
      <w:pStyle w:val="Alatunniste"/>
    </w:pPr>
    <w:r>
      <w:t>Postiosoite:</w:t>
    </w:r>
    <w:r>
      <w:tab/>
      <w:t>Käyntiosoitteet:</w:t>
    </w:r>
    <w:r>
      <w:tab/>
      <w:t>Puhelin:</w:t>
    </w:r>
    <w:r>
      <w:tab/>
      <w:t>Virkasähköpostiosoite:</w:t>
    </w:r>
  </w:p>
  <w:p w:rsidR="00F73E70" w:rsidRDefault="00F73E70" w:rsidP="00200C64">
    <w:pPr>
      <w:pStyle w:val="Alatunniste"/>
    </w:pPr>
    <w:r>
      <w:t>PL 26</w:t>
    </w:r>
    <w:r>
      <w:tab/>
      <w:t>Kirkkokatu 12</w:t>
    </w:r>
    <w:r>
      <w:tab/>
      <w:t>Vaihde 071 878 0171</w:t>
    </w:r>
    <w:r>
      <w:tab/>
      <w:t>kirjaamo(at)intermin.fi</w:t>
    </w:r>
  </w:p>
  <w:p w:rsidR="00F73E70" w:rsidRDefault="00F73E70" w:rsidP="00200C64">
    <w:pPr>
      <w:pStyle w:val="Alatunniste"/>
    </w:pPr>
    <w:r>
      <w:t>00023 Valtioneuvosto</w:t>
    </w:r>
    <w:r>
      <w:tab/>
      <w:t>Helsinki</w:t>
    </w:r>
    <w:r>
      <w:tab/>
      <w:t>Faksi:</w:t>
    </w:r>
    <w:r>
      <w:tab/>
      <w:t>Sähköpostiosoite:</w:t>
    </w:r>
  </w:p>
  <w:p w:rsidR="00F73E70" w:rsidRDefault="00F73E70" w:rsidP="00200C64">
    <w:pPr>
      <w:pStyle w:val="Alatunniste"/>
    </w:pPr>
    <w:r>
      <w:tab/>
      <w:t>Vuorikatu 20</w:t>
    </w:r>
    <w:r>
      <w:tab/>
      <w:t>071 878 8555</w:t>
    </w:r>
    <w:r>
      <w:tab/>
      <w:t>etunimi.sukunimi(at)intermin.fi</w:t>
    </w:r>
  </w:p>
  <w:p w:rsidR="00F73E70" w:rsidRDefault="00F73E70" w:rsidP="00200C64">
    <w:pPr>
      <w:pStyle w:val="Alatunniste"/>
    </w:pPr>
    <w:r>
      <w:tab/>
      <w:t>Helsinki</w:t>
    </w:r>
    <w:r>
      <w:tab/>
    </w:r>
    <w:r>
      <w:tab/>
      <w:t>www.intermin.fi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70" w:rsidRDefault="00F73E70" w:rsidP="00345EDC">
      <w:r>
        <w:separator/>
      </w:r>
    </w:p>
  </w:footnote>
  <w:footnote w:type="continuationSeparator" w:id="0">
    <w:p w:rsidR="00F73E70" w:rsidRDefault="00F73E70" w:rsidP="0034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22" w:rsidRDefault="00DC4B2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188"/>
      <w:gridCol w:w="4028"/>
      <w:gridCol w:w="2609"/>
      <w:gridCol w:w="1463"/>
      <w:gridCol w:w="1057"/>
    </w:tblGrid>
    <w:tr w:rsidR="00F73E70" w:rsidRPr="000204C4">
      <w:tc>
        <w:tcPr>
          <w:tcW w:w="1188" w:type="dxa"/>
        </w:tcPr>
        <w:p w:rsidR="00F73E70" w:rsidRPr="00E03748" w:rsidRDefault="00F73E70">
          <w:pPr>
            <w:pStyle w:val="Yltunniste"/>
            <w:rPr>
              <w:b/>
              <w:szCs w:val="24"/>
            </w:rPr>
          </w:pPr>
          <w:r>
            <w:rPr>
              <w:noProof/>
            </w:rPr>
            <w:drawing>
              <wp:anchor distT="0" distB="0" distL="114300" distR="114300" simplePos="0" relativeHeight="251658240" behindDoc="1" locked="0" layoutInCell="1" allowOverlap="1" wp14:anchorId="72ABE96A" wp14:editId="48268277">
                <wp:simplePos x="0" y="0"/>
                <wp:positionH relativeFrom="column">
                  <wp:posOffset>-34290</wp:posOffset>
                </wp:positionH>
                <wp:positionV relativeFrom="paragraph">
                  <wp:posOffset>-98425</wp:posOffset>
                </wp:positionV>
                <wp:extent cx="720090" cy="408305"/>
                <wp:effectExtent l="0" t="0" r="3810" b="0"/>
                <wp:wrapNone/>
                <wp:docPr id="1" name="Kuva 2" descr="pieni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pienilogo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08305"/>
                        </a:xfrm>
                        <a:prstGeom prst="rect">
                          <a:avLst/>
                        </a:prstGeom>
                        <a:noFill/>
                      </pic:spPr>
                    </pic:pic>
                  </a:graphicData>
                </a:graphic>
                <wp14:sizeRelH relativeFrom="page">
                  <wp14:pctWidth>0</wp14:pctWidth>
                </wp14:sizeRelH>
                <wp14:sizeRelV relativeFrom="page">
                  <wp14:pctHeight>0</wp14:pctHeight>
                </wp14:sizeRelV>
              </wp:anchor>
            </w:drawing>
          </w:r>
        </w:p>
      </w:tc>
      <w:tc>
        <w:tcPr>
          <w:tcW w:w="4028" w:type="dxa"/>
        </w:tcPr>
        <w:p w:rsidR="00F73E70" w:rsidRPr="00E03748" w:rsidRDefault="00F73E70">
          <w:pPr>
            <w:pStyle w:val="Yltunniste"/>
            <w:rPr>
              <w:rFonts w:ascii="Arial" w:hAnsi="Arial" w:cs="Arial"/>
              <w:b/>
              <w:szCs w:val="24"/>
            </w:rPr>
          </w:pPr>
          <w:r w:rsidRPr="00E03748">
            <w:rPr>
              <w:rFonts w:ascii="Arial" w:hAnsi="Arial" w:cs="Arial"/>
              <w:b/>
              <w:szCs w:val="24"/>
            </w:rPr>
            <w:t>Sisäasiainministeriö</w:t>
          </w:r>
        </w:p>
      </w:tc>
      <w:tc>
        <w:tcPr>
          <w:tcW w:w="2609" w:type="dxa"/>
        </w:tcPr>
        <w:p w:rsidR="00F73E70" w:rsidRPr="00E03748" w:rsidRDefault="00F73E70">
          <w:pPr>
            <w:pStyle w:val="Yltunniste"/>
            <w:rPr>
              <w:rFonts w:ascii="Arial" w:hAnsi="Arial" w:cs="Arial"/>
              <w:szCs w:val="24"/>
            </w:rPr>
          </w:pPr>
        </w:p>
      </w:tc>
      <w:tc>
        <w:tcPr>
          <w:tcW w:w="1463" w:type="dxa"/>
        </w:tcPr>
        <w:p w:rsidR="00F73E70" w:rsidRPr="00E03748" w:rsidRDefault="00F73E70">
          <w:pPr>
            <w:pStyle w:val="Yltunniste"/>
            <w:rPr>
              <w:rFonts w:ascii="Arial" w:hAnsi="Arial" w:cs="Arial"/>
              <w:szCs w:val="24"/>
            </w:rPr>
          </w:pPr>
        </w:p>
      </w:tc>
      <w:tc>
        <w:tcPr>
          <w:tcW w:w="1057" w:type="dxa"/>
        </w:tcPr>
        <w:p w:rsidR="00F73E70" w:rsidRPr="00E03748" w:rsidRDefault="00F73E70">
          <w:pPr>
            <w:pStyle w:val="Yltunniste"/>
            <w:jc w:val="center"/>
            <w:rPr>
              <w:rFonts w:ascii="Arial" w:hAnsi="Arial" w:cs="Arial"/>
              <w:szCs w:val="24"/>
            </w:rPr>
          </w:pPr>
          <w:r w:rsidRPr="00E03748">
            <w:rPr>
              <w:rStyle w:val="Sivunumero"/>
              <w:sz w:val="22"/>
              <w:szCs w:val="22"/>
            </w:rPr>
            <w:fldChar w:fldCharType="begin"/>
          </w:r>
          <w:r w:rsidRPr="00E03748">
            <w:rPr>
              <w:rStyle w:val="Sivunumero"/>
              <w:sz w:val="22"/>
              <w:szCs w:val="22"/>
            </w:rPr>
            <w:instrText xml:space="preserve"> PAGE </w:instrText>
          </w:r>
          <w:r w:rsidRPr="00E03748">
            <w:rPr>
              <w:rStyle w:val="Sivunumero"/>
              <w:sz w:val="22"/>
              <w:szCs w:val="22"/>
            </w:rPr>
            <w:fldChar w:fldCharType="separate"/>
          </w:r>
          <w:r w:rsidR="00C82248">
            <w:rPr>
              <w:rStyle w:val="Sivunumero"/>
              <w:noProof/>
              <w:sz w:val="22"/>
              <w:szCs w:val="22"/>
            </w:rPr>
            <w:t>6</w:t>
          </w:r>
          <w:r w:rsidRPr="00E03748">
            <w:rPr>
              <w:rStyle w:val="Sivunumero"/>
              <w:sz w:val="22"/>
              <w:szCs w:val="22"/>
            </w:rPr>
            <w:fldChar w:fldCharType="end"/>
          </w:r>
          <w:r w:rsidRPr="00E03748">
            <w:rPr>
              <w:rStyle w:val="Sivunumero"/>
              <w:sz w:val="22"/>
              <w:szCs w:val="22"/>
            </w:rPr>
            <w:t xml:space="preserve"> (</w:t>
          </w:r>
          <w:r w:rsidRPr="00E03748">
            <w:rPr>
              <w:rStyle w:val="Sivunumero"/>
              <w:sz w:val="22"/>
              <w:szCs w:val="22"/>
            </w:rPr>
            <w:fldChar w:fldCharType="begin"/>
          </w:r>
          <w:r w:rsidRPr="00E03748">
            <w:rPr>
              <w:rStyle w:val="Sivunumero"/>
              <w:sz w:val="22"/>
              <w:szCs w:val="22"/>
            </w:rPr>
            <w:instrText xml:space="preserve"> NUMPAGES </w:instrText>
          </w:r>
          <w:r w:rsidRPr="00E03748">
            <w:rPr>
              <w:rStyle w:val="Sivunumero"/>
              <w:sz w:val="22"/>
              <w:szCs w:val="22"/>
            </w:rPr>
            <w:fldChar w:fldCharType="separate"/>
          </w:r>
          <w:r w:rsidR="00C82248">
            <w:rPr>
              <w:rStyle w:val="Sivunumero"/>
              <w:noProof/>
              <w:sz w:val="22"/>
              <w:szCs w:val="22"/>
            </w:rPr>
            <w:t>6</w:t>
          </w:r>
          <w:r w:rsidRPr="00E03748">
            <w:rPr>
              <w:rStyle w:val="Sivunumero"/>
              <w:sz w:val="22"/>
              <w:szCs w:val="22"/>
            </w:rPr>
            <w:fldChar w:fldCharType="end"/>
          </w:r>
          <w:r w:rsidRPr="00E03748">
            <w:rPr>
              <w:rStyle w:val="Sivunumero"/>
              <w:sz w:val="22"/>
              <w:szCs w:val="22"/>
            </w:rPr>
            <w:t>)</w:t>
          </w:r>
        </w:p>
      </w:tc>
    </w:tr>
  </w:tbl>
  <w:p w:rsidR="00F73E70" w:rsidRPr="00775C66" w:rsidRDefault="00F73E70" w:rsidP="00200C64">
    <w:pPr>
      <w:pStyle w:val="Yltunniste"/>
      <w:tabs>
        <w:tab w:val="left" w:pos="5216"/>
        <w:tab w:val="left" w:pos="6521"/>
        <w:tab w:val="left" w:pos="9129"/>
      </w:tabs>
    </w:pPr>
  </w:p>
  <w:p w:rsidR="00F73E70" w:rsidRPr="00775C66" w:rsidRDefault="00F73E70" w:rsidP="00200C64">
    <w:pPr>
      <w:pStyle w:val="Yltunniste"/>
      <w:tabs>
        <w:tab w:val="left" w:pos="5216"/>
        <w:tab w:val="left" w:pos="6521"/>
        <w:tab w:val="left" w:pos="912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188"/>
      <w:gridCol w:w="3780"/>
      <w:gridCol w:w="3420"/>
      <w:gridCol w:w="900"/>
      <w:gridCol w:w="1057"/>
    </w:tblGrid>
    <w:tr w:rsidR="00F73E70" w:rsidRPr="00363EEA" w:rsidTr="006335E7">
      <w:tc>
        <w:tcPr>
          <w:tcW w:w="1188" w:type="dxa"/>
        </w:tcPr>
        <w:p w:rsidR="00F73E70" w:rsidRPr="00E03748" w:rsidRDefault="00F73E70" w:rsidP="00200C64">
          <w:pPr>
            <w:pStyle w:val="Yltunniste"/>
            <w:rPr>
              <w:b/>
              <w:szCs w:val="24"/>
            </w:rPr>
          </w:pPr>
          <w:r>
            <w:rPr>
              <w:noProof/>
            </w:rPr>
            <w:drawing>
              <wp:anchor distT="0" distB="0" distL="114300" distR="114300" simplePos="0" relativeHeight="251657216" behindDoc="1" locked="0" layoutInCell="1" allowOverlap="1" wp14:anchorId="11D41667" wp14:editId="106C2F48">
                <wp:simplePos x="0" y="0"/>
                <wp:positionH relativeFrom="column">
                  <wp:posOffset>-34290</wp:posOffset>
                </wp:positionH>
                <wp:positionV relativeFrom="paragraph">
                  <wp:posOffset>-98425</wp:posOffset>
                </wp:positionV>
                <wp:extent cx="720090" cy="408305"/>
                <wp:effectExtent l="0" t="0" r="3810" b="0"/>
                <wp:wrapNone/>
                <wp:docPr id="2" name="Kuva 1" descr="pieni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ienilogo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08305"/>
                        </a:xfrm>
                        <a:prstGeom prst="rect">
                          <a:avLst/>
                        </a:prstGeom>
                        <a:noFill/>
                      </pic:spPr>
                    </pic:pic>
                  </a:graphicData>
                </a:graphic>
                <wp14:sizeRelH relativeFrom="page">
                  <wp14:pctWidth>0</wp14:pctWidth>
                </wp14:sizeRelH>
                <wp14:sizeRelV relativeFrom="page">
                  <wp14:pctHeight>0</wp14:pctHeight>
                </wp14:sizeRelV>
              </wp:anchor>
            </w:drawing>
          </w:r>
        </w:p>
      </w:tc>
      <w:tc>
        <w:tcPr>
          <w:tcW w:w="3780" w:type="dxa"/>
        </w:tcPr>
        <w:p w:rsidR="00F73E70" w:rsidRPr="00E03748" w:rsidRDefault="00F73E70" w:rsidP="00200C64">
          <w:pPr>
            <w:pStyle w:val="Yltunniste"/>
            <w:rPr>
              <w:rFonts w:ascii="Arial" w:hAnsi="Arial" w:cs="Arial"/>
              <w:sz w:val="28"/>
              <w:szCs w:val="28"/>
            </w:rPr>
          </w:pPr>
          <w:r w:rsidRPr="00E03748">
            <w:rPr>
              <w:rFonts w:ascii="Arial" w:hAnsi="Arial" w:cs="Arial"/>
              <w:sz w:val="28"/>
              <w:szCs w:val="28"/>
            </w:rPr>
            <w:t>Sisäasiainministeriö</w:t>
          </w:r>
        </w:p>
      </w:tc>
      <w:tc>
        <w:tcPr>
          <w:tcW w:w="3420" w:type="dxa"/>
        </w:tcPr>
        <w:p w:rsidR="00F73E70" w:rsidRPr="00E03748" w:rsidRDefault="00F73E70" w:rsidP="00200C64">
          <w:pPr>
            <w:pStyle w:val="Yltunniste"/>
            <w:rPr>
              <w:rFonts w:ascii="Arial" w:hAnsi="Arial" w:cs="Arial"/>
              <w:b/>
              <w:szCs w:val="24"/>
            </w:rPr>
          </w:pPr>
          <w:r w:rsidRPr="00E03748">
            <w:rPr>
              <w:rFonts w:ascii="Arial" w:hAnsi="Arial" w:cs="Arial"/>
              <w:b/>
              <w:szCs w:val="24"/>
            </w:rPr>
            <w:t xml:space="preserve">LAUSUNTOYHTEENVETO </w:t>
          </w:r>
        </w:p>
      </w:tc>
      <w:tc>
        <w:tcPr>
          <w:tcW w:w="900" w:type="dxa"/>
        </w:tcPr>
        <w:p w:rsidR="00F73E70" w:rsidRPr="00E03748" w:rsidRDefault="00F73E70" w:rsidP="00200C64">
          <w:pPr>
            <w:pStyle w:val="Yltunniste"/>
            <w:rPr>
              <w:rFonts w:ascii="Arial" w:hAnsi="Arial" w:cs="Arial"/>
              <w:szCs w:val="24"/>
            </w:rPr>
          </w:pPr>
        </w:p>
      </w:tc>
      <w:tc>
        <w:tcPr>
          <w:tcW w:w="1057" w:type="dxa"/>
        </w:tcPr>
        <w:p w:rsidR="00F73E70" w:rsidRPr="00E03748" w:rsidRDefault="00F73E70" w:rsidP="00DC4B22">
          <w:pPr>
            <w:pStyle w:val="Yltunniste"/>
            <w:jc w:val="center"/>
            <w:rPr>
              <w:rFonts w:ascii="Arial" w:hAnsi="Arial" w:cs="Arial"/>
              <w:szCs w:val="24"/>
            </w:rPr>
          </w:pPr>
          <w:r w:rsidRPr="00E03748">
            <w:rPr>
              <w:rStyle w:val="Sivunumero"/>
              <w:sz w:val="22"/>
              <w:szCs w:val="22"/>
            </w:rPr>
            <w:fldChar w:fldCharType="begin"/>
          </w:r>
          <w:r w:rsidRPr="00E03748">
            <w:rPr>
              <w:rStyle w:val="Sivunumero"/>
              <w:sz w:val="22"/>
              <w:szCs w:val="22"/>
            </w:rPr>
            <w:instrText xml:space="preserve"> PAGE </w:instrText>
          </w:r>
          <w:r w:rsidRPr="00E03748">
            <w:rPr>
              <w:rStyle w:val="Sivunumero"/>
              <w:sz w:val="22"/>
              <w:szCs w:val="22"/>
            </w:rPr>
            <w:fldChar w:fldCharType="separate"/>
          </w:r>
          <w:r w:rsidR="00C82248">
            <w:rPr>
              <w:rStyle w:val="Sivunumero"/>
              <w:noProof/>
              <w:sz w:val="22"/>
              <w:szCs w:val="22"/>
            </w:rPr>
            <w:t>1</w:t>
          </w:r>
          <w:r w:rsidRPr="00E03748">
            <w:rPr>
              <w:rStyle w:val="Sivunumero"/>
              <w:sz w:val="22"/>
              <w:szCs w:val="22"/>
            </w:rPr>
            <w:fldChar w:fldCharType="end"/>
          </w:r>
          <w:r w:rsidRPr="00E03748">
            <w:rPr>
              <w:rStyle w:val="Sivunumero"/>
              <w:sz w:val="22"/>
              <w:szCs w:val="22"/>
            </w:rPr>
            <w:t xml:space="preserve"> (</w:t>
          </w:r>
          <w:r w:rsidR="00DC4B22">
            <w:rPr>
              <w:rStyle w:val="Sivunumero"/>
              <w:sz w:val="22"/>
              <w:szCs w:val="22"/>
            </w:rPr>
            <w:t>6</w:t>
          </w:r>
          <w:r w:rsidRPr="00E03748">
            <w:rPr>
              <w:rStyle w:val="Sivunumero"/>
              <w:sz w:val="22"/>
              <w:szCs w:val="22"/>
            </w:rPr>
            <w:t>)</w:t>
          </w:r>
        </w:p>
      </w:tc>
    </w:tr>
    <w:tr w:rsidR="00F73E70" w:rsidRPr="00363EEA" w:rsidTr="006335E7">
      <w:tc>
        <w:tcPr>
          <w:tcW w:w="1188" w:type="dxa"/>
        </w:tcPr>
        <w:p w:rsidR="00F73E70" w:rsidRPr="00E03748" w:rsidRDefault="00F73E70" w:rsidP="00200C64">
          <w:pPr>
            <w:pStyle w:val="Yltunniste"/>
            <w:rPr>
              <w:noProof/>
              <w:szCs w:val="24"/>
            </w:rPr>
          </w:pPr>
        </w:p>
      </w:tc>
      <w:tc>
        <w:tcPr>
          <w:tcW w:w="3780" w:type="dxa"/>
          <w:vMerge w:val="restart"/>
        </w:tcPr>
        <w:p w:rsidR="00F73E70" w:rsidRPr="00E03748" w:rsidRDefault="00F73E70" w:rsidP="00200C64">
          <w:pPr>
            <w:pStyle w:val="Yltunniste"/>
            <w:rPr>
              <w:rFonts w:ascii="Arial" w:hAnsi="Arial" w:cs="Arial"/>
              <w:szCs w:val="24"/>
            </w:rPr>
          </w:pPr>
          <w:r w:rsidRPr="00E03748">
            <w:rPr>
              <w:rFonts w:ascii="Arial" w:hAnsi="Arial" w:cs="Arial"/>
              <w:szCs w:val="24"/>
            </w:rPr>
            <w:t>Maahanmuutto-osasto</w:t>
          </w:r>
        </w:p>
      </w:tc>
      <w:tc>
        <w:tcPr>
          <w:tcW w:w="3420" w:type="dxa"/>
        </w:tcPr>
        <w:p w:rsidR="00F73E70" w:rsidRPr="00E03748" w:rsidRDefault="00F73E70" w:rsidP="00200C64">
          <w:pPr>
            <w:pStyle w:val="Yltunniste"/>
            <w:rPr>
              <w:rFonts w:ascii="Arial" w:hAnsi="Arial" w:cs="Arial"/>
              <w:b/>
              <w:szCs w:val="24"/>
            </w:rPr>
          </w:pPr>
        </w:p>
      </w:tc>
      <w:tc>
        <w:tcPr>
          <w:tcW w:w="1957" w:type="dxa"/>
          <w:gridSpan w:val="2"/>
        </w:tcPr>
        <w:p w:rsidR="00F73E70" w:rsidRPr="00E03748" w:rsidRDefault="00F73E70" w:rsidP="00200C64">
          <w:pPr>
            <w:pStyle w:val="Yltunniste"/>
            <w:rPr>
              <w:rStyle w:val="Sivunumero"/>
              <w:szCs w:val="24"/>
            </w:rPr>
          </w:pPr>
        </w:p>
      </w:tc>
    </w:tr>
    <w:tr w:rsidR="00F73E70" w:rsidRPr="00363EEA" w:rsidTr="006335E7">
      <w:tc>
        <w:tcPr>
          <w:tcW w:w="1188" w:type="dxa"/>
        </w:tcPr>
        <w:p w:rsidR="00F73E70" w:rsidRPr="00E03748" w:rsidRDefault="00F73E70" w:rsidP="00200C64">
          <w:pPr>
            <w:pStyle w:val="Yltunniste"/>
            <w:rPr>
              <w:noProof/>
              <w:szCs w:val="24"/>
            </w:rPr>
          </w:pPr>
        </w:p>
      </w:tc>
      <w:tc>
        <w:tcPr>
          <w:tcW w:w="3780" w:type="dxa"/>
          <w:vMerge/>
        </w:tcPr>
        <w:p w:rsidR="00F73E70" w:rsidRPr="00E03748" w:rsidRDefault="00F73E70" w:rsidP="00200C64">
          <w:pPr>
            <w:pStyle w:val="Yltunniste"/>
            <w:rPr>
              <w:szCs w:val="24"/>
            </w:rPr>
          </w:pPr>
        </w:p>
      </w:tc>
      <w:tc>
        <w:tcPr>
          <w:tcW w:w="3420" w:type="dxa"/>
        </w:tcPr>
        <w:p w:rsidR="00F73E70" w:rsidRPr="00E03748" w:rsidRDefault="00F73E70" w:rsidP="000852BD">
          <w:pPr>
            <w:pStyle w:val="Yltunniste"/>
            <w:rPr>
              <w:rFonts w:ascii="Arial" w:hAnsi="Arial" w:cs="Arial"/>
              <w:szCs w:val="24"/>
            </w:rPr>
          </w:pPr>
          <w:r>
            <w:rPr>
              <w:rFonts w:ascii="Arial" w:hAnsi="Arial" w:cs="Arial"/>
              <w:sz w:val="22"/>
              <w:szCs w:val="22"/>
            </w:rPr>
            <w:t>29.8.</w:t>
          </w:r>
          <w:proofErr w:type="gramStart"/>
          <w:r>
            <w:rPr>
              <w:rFonts w:ascii="Arial" w:hAnsi="Arial" w:cs="Arial"/>
              <w:sz w:val="22"/>
              <w:szCs w:val="22"/>
            </w:rPr>
            <w:t xml:space="preserve">2012          </w:t>
          </w:r>
          <w:r w:rsidRPr="00E03748">
            <w:rPr>
              <w:rFonts w:ascii="Arial" w:hAnsi="Arial" w:cs="Arial"/>
              <w:sz w:val="22"/>
              <w:szCs w:val="22"/>
            </w:rPr>
            <w:t>SM072</w:t>
          </w:r>
          <w:proofErr w:type="gramEnd"/>
          <w:r w:rsidRPr="00E03748">
            <w:rPr>
              <w:rFonts w:ascii="Arial" w:hAnsi="Arial" w:cs="Arial"/>
              <w:sz w:val="22"/>
              <w:szCs w:val="22"/>
            </w:rPr>
            <w:t>:00/2011</w:t>
          </w:r>
        </w:p>
      </w:tc>
      <w:tc>
        <w:tcPr>
          <w:tcW w:w="1957" w:type="dxa"/>
          <w:gridSpan w:val="2"/>
        </w:tcPr>
        <w:p w:rsidR="00F73E70" w:rsidRPr="00E03748" w:rsidRDefault="00F73E70" w:rsidP="00200C64">
          <w:pPr>
            <w:pStyle w:val="Yltunniste"/>
            <w:rPr>
              <w:rFonts w:ascii="Arial" w:hAnsi="Arial" w:cs="Arial"/>
              <w:szCs w:val="24"/>
            </w:rPr>
          </w:pPr>
        </w:p>
      </w:tc>
    </w:tr>
    <w:tr w:rsidR="00F73E70" w:rsidRPr="00363EEA" w:rsidTr="006335E7">
      <w:tc>
        <w:tcPr>
          <w:tcW w:w="1188" w:type="dxa"/>
        </w:tcPr>
        <w:p w:rsidR="00F73E70" w:rsidRPr="00E03748" w:rsidRDefault="00F73E70" w:rsidP="00200C64">
          <w:pPr>
            <w:pStyle w:val="Yltunniste"/>
            <w:rPr>
              <w:noProof/>
              <w:szCs w:val="24"/>
            </w:rPr>
          </w:pPr>
        </w:p>
      </w:tc>
      <w:tc>
        <w:tcPr>
          <w:tcW w:w="3780" w:type="dxa"/>
          <w:vMerge/>
        </w:tcPr>
        <w:p w:rsidR="00F73E70" w:rsidRPr="00E03748" w:rsidRDefault="00F73E70" w:rsidP="00200C64">
          <w:pPr>
            <w:pStyle w:val="Yltunniste"/>
            <w:rPr>
              <w:szCs w:val="24"/>
            </w:rPr>
          </w:pPr>
        </w:p>
      </w:tc>
      <w:tc>
        <w:tcPr>
          <w:tcW w:w="3420" w:type="dxa"/>
        </w:tcPr>
        <w:p w:rsidR="00F73E70" w:rsidRPr="00E03748" w:rsidRDefault="00F73E70" w:rsidP="00200C64">
          <w:pPr>
            <w:pStyle w:val="Yltunniste"/>
            <w:rPr>
              <w:rFonts w:ascii="Arial" w:hAnsi="Arial" w:cs="Arial"/>
              <w:b/>
              <w:szCs w:val="24"/>
            </w:rPr>
          </w:pPr>
        </w:p>
      </w:tc>
      <w:tc>
        <w:tcPr>
          <w:tcW w:w="1957" w:type="dxa"/>
          <w:gridSpan w:val="2"/>
        </w:tcPr>
        <w:p w:rsidR="00F73E70" w:rsidRPr="00E03748" w:rsidRDefault="00F73E70" w:rsidP="00200C64">
          <w:pPr>
            <w:pStyle w:val="Yltunniste"/>
            <w:rPr>
              <w:rFonts w:ascii="Arial" w:hAnsi="Arial" w:cs="Arial"/>
              <w:szCs w:val="24"/>
            </w:rPr>
          </w:pPr>
        </w:p>
      </w:tc>
    </w:tr>
  </w:tbl>
  <w:p w:rsidR="00F73E70" w:rsidRDefault="00F73E7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18A"/>
    <w:multiLevelType w:val="hybridMultilevel"/>
    <w:tmpl w:val="52866B38"/>
    <w:lvl w:ilvl="0" w:tplc="37D2C1DA">
      <w:numFmt w:val="bullet"/>
      <w:lvlText w:val="-"/>
      <w:lvlJc w:val="left"/>
      <w:pPr>
        <w:ind w:left="720" w:hanging="360"/>
      </w:pPr>
      <w:rPr>
        <w:rFonts w:ascii="Calibri" w:eastAsia="Times New Roman" w:hAnsi="Calibri"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F3F7753"/>
    <w:multiLevelType w:val="hybridMultilevel"/>
    <w:tmpl w:val="E6422864"/>
    <w:lvl w:ilvl="0" w:tplc="5B58B9C2">
      <w:numFmt w:val="bullet"/>
      <w:lvlText w:val="-"/>
      <w:lvlJc w:val="left"/>
      <w:pPr>
        <w:tabs>
          <w:tab w:val="num" w:pos="3328"/>
        </w:tabs>
        <w:ind w:left="3328" w:hanging="360"/>
      </w:pPr>
      <w:rPr>
        <w:rFonts w:ascii="Times New Roman" w:eastAsia="Times New Roman" w:hAnsi="Times New Roman" w:cs="Times New Roman" w:hint="default"/>
      </w:rPr>
    </w:lvl>
    <w:lvl w:ilvl="1" w:tplc="040B0003" w:tentative="1">
      <w:start w:val="1"/>
      <w:numFmt w:val="bullet"/>
      <w:lvlText w:val="o"/>
      <w:lvlJc w:val="left"/>
      <w:pPr>
        <w:tabs>
          <w:tab w:val="num" w:pos="4048"/>
        </w:tabs>
        <w:ind w:left="4048" w:hanging="360"/>
      </w:pPr>
      <w:rPr>
        <w:rFonts w:ascii="Courier New" w:hAnsi="Courier New" w:cs="Courier New" w:hint="default"/>
      </w:rPr>
    </w:lvl>
    <w:lvl w:ilvl="2" w:tplc="040B0005" w:tentative="1">
      <w:start w:val="1"/>
      <w:numFmt w:val="bullet"/>
      <w:lvlText w:val=""/>
      <w:lvlJc w:val="left"/>
      <w:pPr>
        <w:tabs>
          <w:tab w:val="num" w:pos="4768"/>
        </w:tabs>
        <w:ind w:left="4768" w:hanging="360"/>
      </w:pPr>
      <w:rPr>
        <w:rFonts w:ascii="Wingdings" w:hAnsi="Wingdings" w:hint="default"/>
      </w:rPr>
    </w:lvl>
    <w:lvl w:ilvl="3" w:tplc="040B0001" w:tentative="1">
      <w:start w:val="1"/>
      <w:numFmt w:val="bullet"/>
      <w:lvlText w:val=""/>
      <w:lvlJc w:val="left"/>
      <w:pPr>
        <w:tabs>
          <w:tab w:val="num" w:pos="5488"/>
        </w:tabs>
        <w:ind w:left="5488" w:hanging="360"/>
      </w:pPr>
      <w:rPr>
        <w:rFonts w:ascii="Symbol" w:hAnsi="Symbol" w:hint="default"/>
      </w:rPr>
    </w:lvl>
    <w:lvl w:ilvl="4" w:tplc="040B0003" w:tentative="1">
      <w:start w:val="1"/>
      <w:numFmt w:val="bullet"/>
      <w:lvlText w:val="o"/>
      <w:lvlJc w:val="left"/>
      <w:pPr>
        <w:tabs>
          <w:tab w:val="num" w:pos="6208"/>
        </w:tabs>
        <w:ind w:left="6208" w:hanging="360"/>
      </w:pPr>
      <w:rPr>
        <w:rFonts w:ascii="Courier New" w:hAnsi="Courier New" w:cs="Courier New" w:hint="default"/>
      </w:rPr>
    </w:lvl>
    <w:lvl w:ilvl="5" w:tplc="040B0005" w:tentative="1">
      <w:start w:val="1"/>
      <w:numFmt w:val="bullet"/>
      <w:lvlText w:val=""/>
      <w:lvlJc w:val="left"/>
      <w:pPr>
        <w:tabs>
          <w:tab w:val="num" w:pos="6928"/>
        </w:tabs>
        <w:ind w:left="6928" w:hanging="360"/>
      </w:pPr>
      <w:rPr>
        <w:rFonts w:ascii="Wingdings" w:hAnsi="Wingdings" w:hint="default"/>
      </w:rPr>
    </w:lvl>
    <w:lvl w:ilvl="6" w:tplc="040B0001" w:tentative="1">
      <w:start w:val="1"/>
      <w:numFmt w:val="bullet"/>
      <w:lvlText w:val=""/>
      <w:lvlJc w:val="left"/>
      <w:pPr>
        <w:tabs>
          <w:tab w:val="num" w:pos="7648"/>
        </w:tabs>
        <w:ind w:left="7648" w:hanging="360"/>
      </w:pPr>
      <w:rPr>
        <w:rFonts w:ascii="Symbol" w:hAnsi="Symbol" w:hint="default"/>
      </w:rPr>
    </w:lvl>
    <w:lvl w:ilvl="7" w:tplc="040B0003" w:tentative="1">
      <w:start w:val="1"/>
      <w:numFmt w:val="bullet"/>
      <w:lvlText w:val="o"/>
      <w:lvlJc w:val="left"/>
      <w:pPr>
        <w:tabs>
          <w:tab w:val="num" w:pos="8368"/>
        </w:tabs>
        <w:ind w:left="8368" w:hanging="360"/>
      </w:pPr>
      <w:rPr>
        <w:rFonts w:ascii="Courier New" w:hAnsi="Courier New" w:cs="Courier New" w:hint="default"/>
      </w:rPr>
    </w:lvl>
    <w:lvl w:ilvl="8" w:tplc="040B0005" w:tentative="1">
      <w:start w:val="1"/>
      <w:numFmt w:val="bullet"/>
      <w:lvlText w:val=""/>
      <w:lvlJc w:val="left"/>
      <w:pPr>
        <w:tabs>
          <w:tab w:val="num" w:pos="9088"/>
        </w:tabs>
        <w:ind w:left="90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C3"/>
    <w:rsid w:val="0000135B"/>
    <w:rsid w:val="00002232"/>
    <w:rsid w:val="000034DD"/>
    <w:rsid w:val="00003ABD"/>
    <w:rsid w:val="000173DD"/>
    <w:rsid w:val="000204C4"/>
    <w:rsid w:val="000327E5"/>
    <w:rsid w:val="00033171"/>
    <w:rsid w:val="00035160"/>
    <w:rsid w:val="00035C4F"/>
    <w:rsid w:val="00036879"/>
    <w:rsid w:val="00037C6B"/>
    <w:rsid w:val="00047A4D"/>
    <w:rsid w:val="00051180"/>
    <w:rsid w:val="0006038B"/>
    <w:rsid w:val="00062193"/>
    <w:rsid w:val="00065E8F"/>
    <w:rsid w:val="00070C31"/>
    <w:rsid w:val="000717DF"/>
    <w:rsid w:val="00074C2A"/>
    <w:rsid w:val="00077F01"/>
    <w:rsid w:val="00083745"/>
    <w:rsid w:val="000847A4"/>
    <w:rsid w:val="000852BD"/>
    <w:rsid w:val="000B38FB"/>
    <w:rsid w:val="000B3B8F"/>
    <w:rsid w:val="000B453B"/>
    <w:rsid w:val="000B4DB5"/>
    <w:rsid w:val="000B540F"/>
    <w:rsid w:val="000C09ED"/>
    <w:rsid w:val="000C409F"/>
    <w:rsid w:val="000D1230"/>
    <w:rsid w:val="000D35E8"/>
    <w:rsid w:val="000E493A"/>
    <w:rsid w:val="000E5B02"/>
    <w:rsid w:val="000E6C61"/>
    <w:rsid w:val="000F0DB7"/>
    <w:rsid w:val="000F4DCA"/>
    <w:rsid w:val="000F4EA5"/>
    <w:rsid w:val="0010159A"/>
    <w:rsid w:val="00104954"/>
    <w:rsid w:val="00110663"/>
    <w:rsid w:val="001238D3"/>
    <w:rsid w:val="001255DE"/>
    <w:rsid w:val="00125E7D"/>
    <w:rsid w:val="001325E0"/>
    <w:rsid w:val="00135416"/>
    <w:rsid w:val="001464D0"/>
    <w:rsid w:val="0015304D"/>
    <w:rsid w:val="00155AF1"/>
    <w:rsid w:val="0016037C"/>
    <w:rsid w:val="00167621"/>
    <w:rsid w:val="0017357B"/>
    <w:rsid w:val="00173847"/>
    <w:rsid w:val="00175134"/>
    <w:rsid w:val="00176E9C"/>
    <w:rsid w:val="001835FC"/>
    <w:rsid w:val="001921EA"/>
    <w:rsid w:val="0019307E"/>
    <w:rsid w:val="001A1445"/>
    <w:rsid w:val="001B410B"/>
    <w:rsid w:val="001B4597"/>
    <w:rsid w:val="001B66EC"/>
    <w:rsid w:val="001C355C"/>
    <w:rsid w:val="001C6A83"/>
    <w:rsid w:val="001D13E6"/>
    <w:rsid w:val="001D3315"/>
    <w:rsid w:val="001E29DD"/>
    <w:rsid w:val="001E2D0A"/>
    <w:rsid w:val="001E39A0"/>
    <w:rsid w:val="001E47DF"/>
    <w:rsid w:val="001E74AE"/>
    <w:rsid w:val="001E78F7"/>
    <w:rsid w:val="001E7E61"/>
    <w:rsid w:val="001F484F"/>
    <w:rsid w:val="001F49AC"/>
    <w:rsid w:val="001F4CA7"/>
    <w:rsid w:val="001F4D46"/>
    <w:rsid w:val="001F5061"/>
    <w:rsid w:val="001F68B6"/>
    <w:rsid w:val="001F7502"/>
    <w:rsid w:val="00200C64"/>
    <w:rsid w:val="002033DE"/>
    <w:rsid w:val="00204D2E"/>
    <w:rsid w:val="00206977"/>
    <w:rsid w:val="00212747"/>
    <w:rsid w:val="00225B38"/>
    <w:rsid w:val="0023445C"/>
    <w:rsid w:val="002453D3"/>
    <w:rsid w:val="002539A6"/>
    <w:rsid w:val="00254F72"/>
    <w:rsid w:val="002567D7"/>
    <w:rsid w:val="00263779"/>
    <w:rsid w:val="002752AA"/>
    <w:rsid w:val="00280A74"/>
    <w:rsid w:val="00282AC0"/>
    <w:rsid w:val="0028576E"/>
    <w:rsid w:val="00287D66"/>
    <w:rsid w:val="002A2E3B"/>
    <w:rsid w:val="002B2B2B"/>
    <w:rsid w:val="002B4702"/>
    <w:rsid w:val="002B4991"/>
    <w:rsid w:val="002C316E"/>
    <w:rsid w:val="002C5BE2"/>
    <w:rsid w:val="002F3A2B"/>
    <w:rsid w:val="002F63BF"/>
    <w:rsid w:val="003014A8"/>
    <w:rsid w:val="00305CFC"/>
    <w:rsid w:val="00305F6E"/>
    <w:rsid w:val="0031334B"/>
    <w:rsid w:val="00323FF4"/>
    <w:rsid w:val="00326BC8"/>
    <w:rsid w:val="00332795"/>
    <w:rsid w:val="00341AE0"/>
    <w:rsid w:val="00343801"/>
    <w:rsid w:val="003459CC"/>
    <w:rsid w:val="00345EDC"/>
    <w:rsid w:val="00347588"/>
    <w:rsid w:val="00347BA0"/>
    <w:rsid w:val="003501D9"/>
    <w:rsid w:val="00354DC4"/>
    <w:rsid w:val="00356629"/>
    <w:rsid w:val="00362BB7"/>
    <w:rsid w:val="00362C07"/>
    <w:rsid w:val="00362F09"/>
    <w:rsid w:val="0036300D"/>
    <w:rsid w:val="003631E6"/>
    <w:rsid w:val="00363EEA"/>
    <w:rsid w:val="003650DC"/>
    <w:rsid w:val="0036575C"/>
    <w:rsid w:val="00366052"/>
    <w:rsid w:val="00370A95"/>
    <w:rsid w:val="003731D6"/>
    <w:rsid w:val="00385C69"/>
    <w:rsid w:val="00392741"/>
    <w:rsid w:val="00392825"/>
    <w:rsid w:val="003933F9"/>
    <w:rsid w:val="00393A04"/>
    <w:rsid w:val="003975D9"/>
    <w:rsid w:val="003A22FF"/>
    <w:rsid w:val="003A24C9"/>
    <w:rsid w:val="003A56E4"/>
    <w:rsid w:val="003B2F00"/>
    <w:rsid w:val="003B5788"/>
    <w:rsid w:val="003B7190"/>
    <w:rsid w:val="003C043C"/>
    <w:rsid w:val="003D3508"/>
    <w:rsid w:val="003E3B32"/>
    <w:rsid w:val="003E6EF2"/>
    <w:rsid w:val="003E7960"/>
    <w:rsid w:val="003F3495"/>
    <w:rsid w:val="003F72E6"/>
    <w:rsid w:val="00401CD9"/>
    <w:rsid w:val="00403497"/>
    <w:rsid w:val="00410CB1"/>
    <w:rsid w:val="00417B70"/>
    <w:rsid w:val="00420CBF"/>
    <w:rsid w:val="00425763"/>
    <w:rsid w:val="00426F7E"/>
    <w:rsid w:val="0043276A"/>
    <w:rsid w:val="004504B0"/>
    <w:rsid w:val="00451AE2"/>
    <w:rsid w:val="00457FC8"/>
    <w:rsid w:val="004641DF"/>
    <w:rsid w:val="00465B81"/>
    <w:rsid w:val="00466D56"/>
    <w:rsid w:val="004930D9"/>
    <w:rsid w:val="004A1858"/>
    <w:rsid w:val="004A2EDB"/>
    <w:rsid w:val="004A5740"/>
    <w:rsid w:val="004B0468"/>
    <w:rsid w:val="004B484D"/>
    <w:rsid w:val="004B4CFC"/>
    <w:rsid w:val="004B6770"/>
    <w:rsid w:val="004B771E"/>
    <w:rsid w:val="004C409A"/>
    <w:rsid w:val="004C5219"/>
    <w:rsid w:val="004C7FE0"/>
    <w:rsid w:val="004D6235"/>
    <w:rsid w:val="004D7533"/>
    <w:rsid w:val="004E06CA"/>
    <w:rsid w:val="004E6176"/>
    <w:rsid w:val="004E7948"/>
    <w:rsid w:val="004F4A0C"/>
    <w:rsid w:val="0050099F"/>
    <w:rsid w:val="00502186"/>
    <w:rsid w:val="005026EB"/>
    <w:rsid w:val="00502C72"/>
    <w:rsid w:val="00502D0A"/>
    <w:rsid w:val="005034CB"/>
    <w:rsid w:val="0050415F"/>
    <w:rsid w:val="005106BB"/>
    <w:rsid w:val="00514742"/>
    <w:rsid w:val="0051688C"/>
    <w:rsid w:val="00516F0F"/>
    <w:rsid w:val="005228F1"/>
    <w:rsid w:val="0052599D"/>
    <w:rsid w:val="00526A18"/>
    <w:rsid w:val="00526ECF"/>
    <w:rsid w:val="0052730A"/>
    <w:rsid w:val="005326EC"/>
    <w:rsid w:val="00533ECB"/>
    <w:rsid w:val="00536A21"/>
    <w:rsid w:val="00544E53"/>
    <w:rsid w:val="005454FC"/>
    <w:rsid w:val="00551397"/>
    <w:rsid w:val="00553130"/>
    <w:rsid w:val="00554448"/>
    <w:rsid w:val="00565257"/>
    <w:rsid w:val="00573165"/>
    <w:rsid w:val="005834A9"/>
    <w:rsid w:val="00586010"/>
    <w:rsid w:val="00590E61"/>
    <w:rsid w:val="005B3AF7"/>
    <w:rsid w:val="005B53C1"/>
    <w:rsid w:val="005C1C8B"/>
    <w:rsid w:val="005C3FB7"/>
    <w:rsid w:val="005C6432"/>
    <w:rsid w:val="005C6A3A"/>
    <w:rsid w:val="005D01B2"/>
    <w:rsid w:val="005D1E99"/>
    <w:rsid w:val="005D360F"/>
    <w:rsid w:val="005E0627"/>
    <w:rsid w:val="005E16FC"/>
    <w:rsid w:val="005E2E88"/>
    <w:rsid w:val="00600B52"/>
    <w:rsid w:val="00602C54"/>
    <w:rsid w:val="00603D09"/>
    <w:rsid w:val="00605F20"/>
    <w:rsid w:val="00607BE1"/>
    <w:rsid w:val="00621975"/>
    <w:rsid w:val="006241FD"/>
    <w:rsid w:val="0062542D"/>
    <w:rsid w:val="006277A3"/>
    <w:rsid w:val="00627EAA"/>
    <w:rsid w:val="00630F5B"/>
    <w:rsid w:val="006335E7"/>
    <w:rsid w:val="006351A4"/>
    <w:rsid w:val="00635FDF"/>
    <w:rsid w:val="00643F1E"/>
    <w:rsid w:val="00653A37"/>
    <w:rsid w:val="00654A8C"/>
    <w:rsid w:val="00656EFF"/>
    <w:rsid w:val="006650E5"/>
    <w:rsid w:val="00667724"/>
    <w:rsid w:val="00673A8C"/>
    <w:rsid w:val="00675B45"/>
    <w:rsid w:val="00677334"/>
    <w:rsid w:val="00680E15"/>
    <w:rsid w:val="00684CB1"/>
    <w:rsid w:val="00692806"/>
    <w:rsid w:val="00692A7F"/>
    <w:rsid w:val="00692F6F"/>
    <w:rsid w:val="00695D75"/>
    <w:rsid w:val="006972DC"/>
    <w:rsid w:val="006A27DA"/>
    <w:rsid w:val="006A2A2D"/>
    <w:rsid w:val="006B0F28"/>
    <w:rsid w:val="006B56D9"/>
    <w:rsid w:val="006C025D"/>
    <w:rsid w:val="006C2F48"/>
    <w:rsid w:val="006C3245"/>
    <w:rsid w:val="006C7153"/>
    <w:rsid w:val="006D15C8"/>
    <w:rsid w:val="006E5990"/>
    <w:rsid w:val="00702633"/>
    <w:rsid w:val="0070595A"/>
    <w:rsid w:val="007120A3"/>
    <w:rsid w:val="00741AE3"/>
    <w:rsid w:val="00744F85"/>
    <w:rsid w:val="0074665A"/>
    <w:rsid w:val="00747E1E"/>
    <w:rsid w:val="007554BB"/>
    <w:rsid w:val="00756FAF"/>
    <w:rsid w:val="00765739"/>
    <w:rsid w:val="00771BD7"/>
    <w:rsid w:val="00772C47"/>
    <w:rsid w:val="00775C66"/>
    <w:rsid w:val="00776785"/>
    <w:rsid w:val="0078762B"/>
    <w:rsid w:val="007A10CE"/>
    <w:rsid w:val="007A3E0E"/>
    <w:rsid w:val="007A4A34"/>
    <w:rsid w:val="007B0BE9"/>
    <w:rsid w:val="007B181A"/>
    <w:rsid w:val="007B6EB5"/>
    <w:rsid w:val="007C16CE"/>
    <w:rsid w:val="007C28FF"/>
    <w:rsid w:val="007C62A1"/>
    <w:rsid w:val="007C6600"/>
    <w:rsid w:val="007D4494"/>
    <w:rsid w:val="007D58BF"/>
    <w:rsid w:val="007D718E"/>
    <w:rsid w:val="007E187C"/>
    <w:rsid w:val="007E5B74"/>
    <w:rsid w:val="007E6429"/>
    <w:rsid w:val="007E6D78"/>
    <w:rsid w:val="007E75B3"/>
    <w:rsid w:val="007F1D5C"/>
    <w:rsid w:val="00805874"/>
    <w:rsid w:val="00812D33"/>
    <w:rsid w:val="00813EF6"/>
    <w:rsid w:val="008208C5"/>
    <w:rsid w:val="00820D8C"/>
    <w:rsid w:val="008211E7"/>
    <w:rsid w:val="008230E1"/>
    <w:rsid w:val="00830F58"/>
    <w:rsid w:val="00833207"/>
    <w:rsid w:val="0083427A"/>
    <w:rsid w:val="008353EA"/>
    <w:rsid w:val="00835BD5"/>
    <w:rsid w:val="00836932"/>
    <w:rsid w:val="00856FAF"/>
    <w:rsid w:val="00861005"/>
    <w:rsid w:val="0086210E"/>
    <w:rsid w:val="008658DA"/>
    <w:rsid w:val="00874969"/>
    <w:rsid w:val="008802CB"/>
    <w:rsid w:val="0088505E"/>
    <w:rsid w:val="0089302F"/>
    <w:rsid w:val="00897052"/>
    <w:rsid w:val="00897BDC"/>
    <w:rsid w:val="008A58E9"/>
    <w:rsid w:val="008B2FF2"/>
    <w:rsid w:val="008B5834"/>
    <w:rsid w:val="008B76BA"/>
    <w:rsid w:val="008C56BF"/>
    <w:rsid w:val="008C6881"/>
    <w:rsid w:val="008C7545"/>
    <w:rsid w:val="008D504E"/>
    <w:rsid w:val="008E017C"/>
    <w:rsid w:val="008E2261"/>
    <w:rsid w:val="008F25B1"/>
    <w:rsid w:val="008F2F2B"/>
    <w:rsid w:val="008F54BD"/>
    <w:rsid w:val="00911BAD"/>
    <w:rsid w:val="00915CDC"/>
    <w:rsid w:val="009174A9"/>
    <w:rsid w:val="0092176A"/>
    <w:rsid w:val="00923FFE"/>
    <w:rsid w:val="00924818"/>
    <w:rsid w:val="00925923"/>
    <w:rsid w:val="00932585"/>
    <w:rsid w:val="0093485B"/>
    <w:rsid w:val="009348F5"/>
    <w:rsid w:val="0093639C"/>
    <w:rsid w:val="0094166B"/>
    <w:rsid w:val="009454D3"/>
    <w:rsid w:val="00947A3A"/>
    <w:rsid w:val="00951D90"/>
    <w:rsid w:val="009520F6"/>
    <w:rsid w:val="009539F6"/>
    <w:rsid w:val="00955FC6"/>
    <w:rsid w:val="00956BCD"/>
    <w:rsid w:val="009572BF"/>
    <w:rsid w:val="00975F04"/>
    <w:rsid w:val="00976050"/>
    <w:rsid w:val="00976A12"/>
    <w:rsid w:val="00980678"/>
    <w:rsid w:val="00982FD4"/>
    <w:rsid w:val="00986A50"/>
    <w:rsid w:val="00987F52"/>
    <w:rsid w:val="00991A4A"/>
    <w:rsid w:val="0099310B"/>
    <w:rsid w:val="009940E3"/>
    <w:rsid w:val="00994C87"/>
    <w:rsid w:val="00996B96"/>
    <w:rsid w:val="009A14DE"/>
    <w:rsid w:val="009A2EE8"/>
    <w:rsid w:val="009B2B12"/>
    <w:rsid w:val="009B2EA0"/>
    <w:rsid w:val="009B4438"/>
    <w:rsid w:val="009B6EE5"/>
    <w:rsid w:val="009C3EF8"/>
    <w:rsid w:val="009C455A"/>
    <w:rsid w:val="009D272F"/>
    <w:rsid w:val="009D3248"/>
    <w:rsid w:val="009D33BE"/>
    <w:rsid w:val="009D4BD3"/>
    <w:rsid w:val="009E1F8E"/>
    <w:rsid w:val="009E6186"/>
    <w:rsid w:val="009F011C"/>
    <w:rsid w:val="009F5A7E"/>
    <w:rsid w:val="009F5C94"/>
    <w:rsid w:val="00A03709"/>
    <w:rsid w:val="00A07052"/>
    <w:rsid w:val="00A07745"/>
    <w:rsid w:val="00A07DEA"/>
    <w:rsid w:val="00A13A2E"/>
    <w:rsid w:val="00A15952"/>
    <w:rsid w:val="00A17731"/>
    <w:rsid w:val="00A25796"/>
    <w:rsid w:val="00A26DC7"/>
    <w:rsid w:val="00A347A2"/>
    <w:rsid w:val="00A35194"/>
    <w:rsid w:val="00A36B44"/>
    <w:rsid w:val="00A45718"/>
    <w:rsid w:val="00A46619"/>
    <w:rsid w:val="00A46A13"/>
    <w:rsid w:val="00A522EC"/>
    <w:rsid w:val="00A53F3E"/>
    <w:rsid w:val="00A60D29"/>
    <w:rsid w:val="00A63E19"/>
    <w:rsid w:val="00A7181D"/>
    <w:rsid w:val="00A71B1D"/>
    <w:rsid w:val="00A75194"/>
    <w:rsid w:val="00A76FCB"/>
    <w:rsid w:val="00A8191F"/>
    <w:rsid w:val="00A83088"/>
    <w:rsid w:val="00A83A5C"/>
    <w:rsid w:val="00A86A1F"/>
    <w:rsid w:val="00A876A9"/>
    <w:rsid w:val="00A87DF1"/>
    <w:rsid w:val="00A90B47"/>
    <w:rsid w:val="00AA2FC2"/>
    <w:rsid w:val="00AA5A1F"/>
    <w:rsid w:val="00AC0F7E"/>
    <w:rsid w:val="00AC2C8E"/>
    <w:rsid w:val="00AC35E7"/>
    <w:rsid w:val="00AC593D"/>
    <w:rsid w:val="00AC6FD6"/>
    <w:rsid w:val="00AD3569"/>
    <w:rsid w:val="00AD7A60"/>
    <w:rsid w:val="00AF16B8"/>
    <w:rsid w:val="00AF6081"/>
    <w:rsid w:val="00AF6D39"/>
    <w:rsid w:val="00AF7A79"/>
    <w:rsid w:val="00B017A2"/>
    <w:rsid w:val="00B05C1B"/>
    <w:rsid w:val="00B1186A"/>
    <w:rsid w:val="00B14D78"/>
    <w:rsid w:val="00B1738C"/>
    <w:rsid w:val="00B232DD"/>
    <w:rsid w:val="00B2539F"/>
    <w:rsid w:val="00B405E1"/>
    <w:rsid w:val="00B43617"/>
    <w:rsid w:val="00B4754A"/>
    <w:rsid w:val="00B51C59"/>
    <w:rsid w:val="00B53068"/>
    <w:rsid w:val="00B57244"/>
    <w:rsid w:val="00B60862"/>
    <w:rsid w:val="00B61C6A"/>
    <w:rsid w:val="00B6693C"/>
    <w:rsid w:val="00B72188"/>
    <w:rsid w:val="00B73D02"/>
    <w:rsid w:val="00B852D7"/>
    <w:rsid w:val="00B8572B"/>
    <w:rsid w:val="00B86941"/>
    <w:rsid w:val="00B903EE"/>
    <w:rsid w:val="00B919C8"/>
    <w:rsid w:val="00B93C7D"/>
    <w:rsid w:val="00BB51FA"/>
    <w:rsid w:val="00BB6571"/>
    <w:rsid w:val="00BC14FC"/>
    <w:rsid w:val="00BD19F8"/>
    <w:rsid w:val="00BD3CEF"/>
    <w:rsid w:val="00BD61BF"/>
    <w:rsid w:val="00BD62E0"/>
    <w:rsid w:val="00BD72D8"/>
    <w:rsid w:val="00BD7D44"/>
    <w:rsid w:val="00BE12F3"/>
    <w:rsid w:val="00BE18DB"/>
    <w:rsid w:val="00BE43D8"/>
    <w:rsid w:val="00BE7D30"/>
    <w:rsid w:val="00BF11EB"/>
    <w:rsid w:val="00BF5E10"/>
    <w:rsid w:val="00BF7D2E"/>
    <w:rsid w:val="00C06893"/>
    <w:rsid w:val="00C07AC3"/>
    <w:rsid w:val="00C1003D"/>
    <w:rsid w:val="00C117FD"/>
    <w:rsid w:val="00C14552"/>
    <w:rsid w:val="00C202B9"/>
    <w:rsid w:val="00C24D43"/>
    <w:rsid w:val="00C25458"/>
    <w:rsid w:val="00C26F77"/>
    <w:rsid w:val="00C319E6"/>
    <w:rsid w:val="00C31EB3"/>
    <w:rsid w:val="00C32946"/>
    <w:rsid w:val="00C40A51"/>
    <w:rsid w:val="00C50974"/>
    <w:rsid w:val="00C52C4D"/>
    <w:rsid w:val="00C53099"/>
    <w:rsid w:val="00C55CBD"/>
    <w:rsid w:val="00C57692"/>
    <w:rsid w:val="00C65835"/>
    <w:rsid w:val="00C71853"/>
    <w:rsid w:val="00C722C4"/>
    <w:rsid w:val="00C73591"/>
    <w:rsid w:val="00C821D7"/>
    <w:rsid w:val="00C82248"/>
    <w:rsid w:val="00C93275"/>
    <w:rsid w:val="00C9640E"/>
    <w:rsid w:val="00C97AB9"/>
    <w:rsid w:val="00CA1717"/>
    <w:rsid w:val="00CB5BAF"/>
    <w:rsid w:val="00CC1FD5"/>
    <w:rsid w:val="00CC3AD9"/>
    <w:rsid w:val="00CC63BA"/>
    <w:rsid w:val="00CD2F78"/>
    <w:rsid w:val="00CD3C54"/>
    <w:rsid w:val="00CD43C8"/>
    <w:rsid w:val="00CE2ACA"/>
    <w:rsid w:val="00CF5A7B"/>
    <w:rsid w:val="00CF7BDC"/>
    <w:rsid w:val="00D04C4F"/>
    <w:rsid w:val="00D06259"/>
    <w:rsid w:val="00D07680"/>
    <w:rsid w:val="00D11C01"/>
    <w:rsid w:val="00D174F6"/>
    <w:rsid w:val="00D26D5D"/>
    <w:rsid w:val="00D27E36"/>
    <w:rsid w:val="00D36115"/>
    <w:rsid w:val="00D36D8E"/>
    <w:rsid w:val="00D40733"/>
    <w:rsid w:val="00D41F90"/>
    <w:rsid w:val="00D42308"/>
    <w:rsid w:val="00D53F02"/>
    <w:rsid w:val="00D613C1"/>
    <w:rsid w:val="00D62D8A"/>
    <w:rsid w:val="00D63387"/>
    <w:rsid w:val="00D7191A"/>
    <w:rsid w:val="00D8091A"/>
    <w:rsid w:val="00D93E0F"/>
    <w:rsid w:val="00DA0AE0"/>
    <w:rsid w:val="00DA0C4B"/>
    <w:rsid w:val="00DA2CD2"/>
    <w:rsid w:val="00DA7B28"/>
    <w:rsid w:val="00DA7D54"/>
    <w:rsid w:val="00DB3839"/>
    <w:rsid w:val="00DB4540"/>
    <w:rsid w:val="00DB5183"/>
    <w:rsid w:val="00DB6B40"/>
    <w:rsid w:val="00DC4198"/>
    <w:rsid w:val="00DC4B22"/>
    <w:rsid w:val="00DD6289"/>
    <w:rsid w:val="00DD7336"/>
    <w:rsid w:val="00DD777A"/>
    <w:rsid w:val="00DD78E8"/>
    <w:rsid w:val="00DE0C01"/>
    <w:rsid w:val="00DE1883"/>
    <w:rsid w:val="00DE56B3"/>
    <w:rsid w:val="00DF1D6E"/>
    <w:rsid w:val="00DF25B9"/>
    <w:rsid w:val="00DF4FEB"/>
    <w:rsid w:val="00E03748"/>
    <w:rsid w:val="00E128D5"/>
    <w:rsid w:val="00E13460"/>
    <w:rsid w:val="00E13B37"/>
    <w:rsid w:val="00E14C74"/>
    <w:rsid w:val="00E20E8B"/>
    <w:rsid w:val="00E349B3"/>
    <w:rsid w:val="00E40209"/>
    <w:rsid w:val="00E40419"/>
    <w:rsid w:val="00E41EA5"/>
    <w:rsid w:val="00E43B11"/>
    <w:rsid w:val="00E43E07"/>
    <w:rsid w:val="00E4599C"/>
    <w:rsid w:val="00E5334D"/>
    <w:rsid w:val="00E55947"/>
    <w:rsid w:val="00E634D3"/>
    <w:rsid w:val="00E660A9"/>
    <w:rsid w:val="00E67D94"/>
    <w:rsid w:val="00E841FF"/>
    <w:rsid w:val="00E84431"/>
    <w:rsid w:val="00E95859"/>
    <w:rsid w:val="00E95B17"/>
    <w:rsid w:val="00E971AF"/>
    <w:rsid w:val="00E97AA0"/>
    <w:rsid w:val="00EA0D69"/>
    <w:rsid w:val="00EC2C5B"/>
    <w:rsid w:val="00ED1C5E"/>
    <w:rsid w:val="00ED6587"/>
    <w:rsid w:val="00EE7B60"/>
    <w:rsid w:val="00EF58C2"/>
    <w:rsid w:val="00F021EB"/>
    <w:rsid w:val="00F03459"/>
    <w:rsid w:val="00F1022A"/>
    <w:rsid w:val="00F14FCC"/>
    <w:rsid w:val="00F34BF6"/>
    <w:rsid w:val="00F35B1A"/>
    <w:rsid w:val="00F405EB"/>
    <w:rsid w:val="00F42EEC"/>
    <w:rsid w:val="00F45FFB"/>
    <w:rsid w:val="00F50FE3"/>
    <w:rsid w:val="00F520CB"/>
    <w:rsid w:val="00F52B1D"/>
    <w:rsid w:val="00F66B15"/>
    <w:rsid w:val="00F73352"/>
    <w:rsid w:val="00F73E70"/>
    <w:rsid w:val="00F74E4D"/>
    <w:rsid w:val="00F75B43"/>
    <w:rsid w:val="00F77188"/>
    <w:rsid w:val="00F77420"/>
    <w:rsid w:val="00F864AA"/>
    <w:rsid w:val="00F95471"/>
    <w:rsid w:val="00FA007B"/>
    <w:rsid w:val="00FA131D"/>
    <w:rsid w:val="00FA2569"/>
    <w:rsid w:val="00FA3C7F"/>
    <w:rsid w:val="00FC00FD"/>
    <w:rsid w:val="00FC351B"/>
    <w:rsid w:val="00FC77D9"/>
    <w:rsid w:val="00FD0694"/>
    <w:rsid w:val="00FD49CF"/>
    <w:rsid w:val="00FD6EE8"/>
    <w:rsid w:val="00FF103E"/>
    <w:rsid w:val="00FF325D"/>
    <w:rsid w:val="00FF4D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03709"/>
    <w:rPr>
      <w:rFonts w:ascii="Times New Roman" w:eastAsia="Times New Roman" w:hAnsi="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C07AC3"/>
    <w:rPr>
      <w:rFonts w:eastAsia="Calibri"/>
      <w:szCs w:val="20"/>
    </w:rPr>
  </w:style>
  <w:style w:type="character" w:customStyle="1" w:styleId="YltunnisteChar">
    <w:name w:val="Ylätunniste Char"/>
    <w:basedOn w:val="Kappaleenoletusfontti"/>
    <w:link w:val="Yltunniste"/>
    <w:uiPriority w:val="99"/>
    <w:semiHidden/>
    <w:locked/>
    <w:rsid w:val="00C07AC3"/>
    <w:rPr>
      <w:rFonts w:ascii="Times New Roman" w:hAnsi="Times New Roman"/>
      <w:sz w:val="24"/>
      <w:lang w:eastAsia="fi-FI"/>
    </w:rPr>
  </w:style>
  <w:style w:type="paragraph" w:styleId="Alatunniste">
    <w:name w:val="footer"/>
    <w:basedOn w:val="Normaali"/>
    <w:link w:val="AlatunnisteChar"/>
    <w:uiPriority w:val="99"/>
    <w:rsid w:val="00C07AC3"/>
    <w:pPr>
      <w:pBdr>
        <w:top w:val="single" w:sz="6" w:space="1" w:color="auto"/>
      </w:pBdr>
      <w:tabs>
        <w:tab w:val="left" w:pos="2608"/>
        <w:tab w:val="left" w:pos="5216"/>
        <w:tab w:val="left" w:pos="7825"/>
      </w:tabs>
    </w:pPr>
    <w:rPr>
      <w:rFonts w:ascii="Arial" w:eastAsia="Calibri" w:hAnsi="Arial"/>
      <w:sz w:val="16"/>
      <w:szCs w:val="20"/>
    </w:rPr>
  </w:style>
  <w:style w:type="character" w:customStyle="1" w:styleId="AlatunnisteChar">
    <w:name w:val="Alatunniste Char"/>
    <w:basedOn w:val="Kappaleenoletusfontti"/>
    <w:link w:val="Alatunniste"/>
    <w:uiPriority w:val="99"/>
    <w:locked/>
    <w:rsid w:val="00C07AC3"/>
    <w:rPr>
      <w:rFonts w:ascii="Arial" w:hAnsi="Arial"/>
      <w:sz w:val="16"/>
      <w:lang w:eastAsia="fi-FI"/>
    </w:rPr>
  </w:style>
  <w:style w:type="character" w:styleId="Sivunumero">
    <w:name w:val="page number"/>
    <w:basedOn w:val="Kappaleenoletusfontti"/>
    <w:uiPriority w:val="99"/>
    <w:semiHidden/>
    <w:rsid w:val="00C07AC3"/>
    <w:rPr>
      <w:rFonts w:cs="Times New Roman"/>
    </w:rPr>
  </w:style>
  <w:style w:type="paragraph" w:customStyle="1" w:styleId="Sisennys2">
    <w:name w:val="Sisennys 2"/>
    <w:basedOn w:val="Normaali"/>
    <w:uiPriority w:val="99"/>
    <w:rsid w:val="00C07AC3"/>
    <w:pPr>
      <w:ind w:left="2608"/>
    </w:pPr>
    <w:rPr>
      <w:szCs w:val="20"/>
    </w:rPr>
  </w:style>
  <w:style w:type="paragraph" w:customStyle="1" w:styleId="Jakelu">
    <w:name w:val="Jakelu"/>
    <w:basedOn w:val="Normaali"/>
    <w:next w:val="Sisennys2"/>
    <w:uiPriority w:val="99"/>
    <w:rsid w:val="00C07AC3"/>
    <w:pPr>
      <w:ind w:left="2608" w:hanging="2608"/>
    </w:pPr>
    <w:rPr>
      <w:szCs w:val="20"/>
    </w:rPr>
  </w:style>
  <w:style w:type="paragraph" w:customStyle="1" w:styleId="Tiedoksi">
    <w:name w:val="Tiedoksi"/>
    <w:basedOn w:val="Normaali"/>
    <w:next w:val="Sisennys2"/>
    <w:rsid w:val="00C07AC3"/>
    <w:pPr>
      <w:ind w:left="2608" w:hanging="2608"/>
    </w:pPr>
    <w:rPr>
      <w:szCs w:val="20"/>
    </w:rPr>
  </w:style>
  <w:style w:type="paragraph" w:styleId="Seliteteksti">
    <w:name w:val="Balloon Text"/>
    <w:basedOn w:val="Normaali"/>
    <w:link w:val="SelitetekstiChar"/>
    <w:uiPriority w:val="99"/>
    <w:semiHidden/>
    <w:rsid w:val="00A71B1D"/>
    <w:rPr>
      <w:rFonts w:eastAsia="Calibri"/>
      <w:sz w:val="2"/>
      <w:szCs w:val="20"/>
    </w:rPr>
  </w:style>
  <w:style w:type="character" w:customStyle="1" w:styleId="SelitetekstiChar">
    <w:name w:val="Seliteteksti Char"/>
    <w:basedOn w:val="Kappaleenoletusfontti"/>
    <w:link w:val="Seliteteksti"/>
    <w:uiPriority w:val="99"/>
    <w:semiHidden/>
    <w:locked/>
    <w:rsid w:val="00C722C4"/>
    <w:rPr>
      <w:rFonts w:ascii="Times New Roman" w:hAnsi="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03709"/>
    <w:rPr>
      <w:rFonts w:ascii="Times New Roman" w:eastAsia="Times New Roman" w:hAnsi="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C07AC3"/>
    <w:rPr>
      <w:rFonts w:eastAsia="Calibri"/>
      <w:szCs w:val="20"/>
    </w:rPr>
  </w:style>
  <w:style w:type="character" w:customStyle="1" w:styleId="YltunnisteChar">
    <w:name w:val="Ylätunniste Char"/>
    <w:basedOn w:val="Kappaleenoletusfontti"/>
    <w:link w:val="Yltunniste"/>
    <w:uiPriority w:val="99"/>
    <w:semiHidden/>
    <w:locked/>
    <w:rsid w:val="00C07AC3"/>
    <w:rPr>
      <w:rFonts w:ascii="Times New Roman" w:hAnsi="Times New Roman"/>
      <w:sz w:val="24"/>
      <w:lang w:eastAsia="fi-FI"/>
    </w:rPr>
  </w:style>
  <w:style w:type="paragraph" w:styleId="Alatunniste">
    <w:name w:val="footer"/>
    <w:basedOn w:val="Normaali"/>
    <w:link w:val="AlatunnisteChar"/>
    <w:uiPriority w:val="99"/>
    <w:rsid w:val="00C07AC3"/>
    <w:pPr>
      <w:pBdr>
        <w:top w:val="single" w:sz="6" w:space="1" w:color="auto"/>
      </w:pBdr>
      <w:tabs>
        <w:tab w:val="left" w:pos="2608"/>
        <w:tab w:val="left" w:pos="5216"/>
        <w:tab w:val="left" w:pos="7825"/>
      </w:tabs>
    </w:pPr>
    <w:rPr>
      <w:rFonts w:ascii="Arial" w:eastAsia="Calibri" w:hAnsi="Arial"/>
      <w:sz w:val="16"/>
      <w:szCs w:val="20"/>
    </w:rPr>
  </w:style>
  <w:style w:type="character" w:customStyle="1" w:styleId="AlatunnisteChar">
    <w:name w:val="Alatunniste Char"/>
    <w:basedOn w:val="Kappaleenoletusfontti"/>
    <w:link w:val="Alatunniste"/>
    <w:uiPriority w:val="99"/>
    <w:locked/>
    <w:rsid w:val="00C07AC3"/>
    <w:rPr>
      <w:rFonts w:ascii="Arial" w:hAnsi="Arial"/>
      <w:sz w:val="16"/>
      <w:lang w:eastAsia="fi-FI"/>
    </w:rPr>
  </w:style>
  <w:style w:type="character" w:styleId="Sivunumero">
    <w:name w:val="page number"/>
    <w:basedOn w:val="Kappaleenoletusfontti"/>
    <w:uiPriority w:val="99"/>
    <w:semiHidden/>
    <w:rsid w:val="00C07AC3"/>
    <w:rPr>
      <w:rFonts w:cs="Times New Roman"/>
    </w:rPr>
  </w:style>
  <w:style w:type="paragraph" w:customStyle="1" w:styleId="Sisennys2">
    <w:name w:val="Sisennys 2"/>
    <w:basedOn w:val="Normaali"/>
    <w:uiPriority w:val="99"/>
    <w:rsid w:val="00C07AC3"/>
    <w:pPr>
      <w:ind w:left="2608"/>
    </w:pPr>
    <w:rPr>
      <w:szCs w:val="20"/>
    </w:rPr>
  </w:style>
  <w:style w:type="paragraph" w:customStyle="1" w:styleId="Jakelu">
    <w:name w:val="Jakelu"/>
    <w:basedOn w:val="Normaali"/>
    <w:next w:val="Sisennys2"/>
    <w:uiPriority w:val="99"/>
    <w:rsid w:val="00C07AC3"/>
    <w:pPr>
      <w:ind w:left="2608" w:hanging="2608"/>
    </w:pPr>
    <w:rPr>
      <w:szCs w:val="20"/>
    </w:rPr>
  </w:style>
  <w:style w:type="paragraph" w:customStyle="1" w:styleId="Tiedoksi">
    <w:name w:val="Tiedoksi"/>
    <w:basedOn w:val="Normaali"/>
    <w:next w:val="Sisennys2"/>
    <w:rsid w:val="00C07AC3"/>
    <w:pPr>
      <w:ind w:left="2608" w:hanging="2608"/>
    </w:pPr>
    <w:rPr>
      <w:szCs w:val="20"/>
    </w:rPr>
  </w:style>
  <w:style w:type="paragraph" w:styleId="Seliteteksti">
    <w:name w:val="Balloon Text"/>
    <w:basedOn w:val="Normaali"/>
    <w:link w:val="SelitetekstiChar"/>
    <w:uiPriority w:val="99"/>
    <w:semiHidden/>
    <w:rsid w:val="00A71B1D"/>
    <w:rPr>
      <w:rFonts w:eastAsia="Calibri"/>
      <w:sz w:val="2"/>
      <w:szCs w:val="20"/>
    </w:rPr>
  </w:style>
  <w:style w:type="character" w:customStyle="1" w:styleId="SelitetekstiChar">
    <w:name w:val="Seliteteksti Char"/>
    <w:basedOn w:val="Kappaleenoletusfontti"/>
    <w:link w:val="Seliteteksti"/>
    <w:uiPriority w:val="99"/>
    <w:semiHidden/>
    <w:locked/>
    <w:rsid w:val="00C722C4"/>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82189">
      <w:marLeft w:val="0"/>
      <w:marRight w:val="0"/>
      <w:marTop w:val="0"/>
      <w:marBottom w:val="0"/>
      <w:divBdr>
        <w:top w:val="none" w:sz="0" w:space="0" w:color="auto"/>
        <w:left w:val="none" w:sz="0" w:space="0" w:color="auto"/>
        <w:bottom w:val="none" w:sz="0" w:space="0" w:color="auto"/>
        <w:right w:val="none" w:sz="0" w:space="0" w:color="auto"/>
      </w:divBdr>
    </w:div>
    <w:div w:id="1686982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E722-D3DF-430C-A2F7-E9BF6E18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1766</Words>
  <Characters>16445</Characters>
  <Application>Microsoft Office Word</Application>
  <DocSecurity>0</DocSecurity>
  <Lines>137</Lines>
  <Paragraphs>36</Paragraphs>
  <ScaleCrop>false</ScaleCrop>
  <HeadingPairs>
    <vt:vector size="2" baseType="variant">
      <vt:variant>
        <vt:lpstr>Otsikko</vt:lpstr>
      </vt:variant>
      <vt:variant>
        <vt:i4>1</vt:i4>
      </vt:variant>
    </vt:vector>
  </HeadingPairs>
  <TitlesOfParts>
    <vt:vector size="1" baseType="lpstr">
      <vt:lpstr/>
    </vt:vector>
  </TitlesOfParts>
  <Company>haltik</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Piiparinen Anni SM</dc:creator>
  <cp:lastModifiedBy>Heinolainen Päivi SM</cp:lastModifiedBy>
  <cp:revision>41</cp:revision>
  <cp:lastPrinted>2012-08-29T07:56:00Z</cp:lastPrinted>
  <dcterms:created xsi:type="dcterms:W3CDTF">2012-08-29T05:53:00Z</dcterms:created>
  <dcterms:modified xsi:type="dcterms:W3CDTF">2012-08-29T08:01:00Z</dcterms:modified>
</cp:coreProperties>
</file>