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6B" w:rsidRDefault="00011F45" w:rsidP="009E7D6B">
      <w:r>
        <w:fldChar w:fldCharType="begin"/>
      </w:r>
      <w:r w:rsidR="00523B98" w:rsidRPr="009E7D6B">
        <w:instrText xml:space="preserve"> MACROBUTTON </w:instrText>
      </w:r>
      <w:r>
        <w:fldChar w:fldCharType="end"/>
      </w:r>
      <w:r>
        <w:fldChar w:fldCharType="begin"/>
      </w:r>
      <w:r w:rsidR="00523B98" w:rsidRPr="009E7D6B">
        <w:instrText xml:space="preserve"> MACROBUTTON [napsauta] </w:instrText>
      </w:r>
      <w:r>
        <w:fldChar w:fldCharType="end"/>
      </w:r>
    </w:p>
    <w:p w:rsidR="008A27FE" w:rsidRDefault="008A27FE" w:rsidP="009E7D6B"/>
    <w:p w:rsidR="008A27FE" w:rsidRDefault="008A27FE" w:rsidP="009E7D6B"/>
    <w:p w:rsidR="00E625BB" w:rsidRDefault="00C605DC" w:rsidP="00C605DC">
      <w:pPr>
        <w:rPr>
          <w:rFonts w:cs="Arial"/>
          <w:b/>
          <w:sz w:val="22"/>
        </w:rPr>
      </w:pPr>
      <w:r w:rsidRPr="009A6207">
        <w:rPr>
          <w:rFonts w:cs="Arial"/>
          <w:b/>
          <w:sz w:val="22"/>
        </w:rPr>
        <w:t xml:space="preserve">Lausuntoyhteenveto; </w:t>
      </w:r>
      <w:r w:rsidR="009A6207" w:rsidRPr="009A6207">
        <w:rPr>
          <w:rFonts w:cs="Arial"/>
          <w:b/>
          <w:sz w:val="22"/>
        </w:rPr>
        <w:t>Täydentävä lausuntokierros; Luonnos hallituksen esitykseksi laiksi sotilaskurinpidosta ja rikostorjunnasta Puolustusvoimissa ja siihen liittyviksi laeiksi - pykäläluonnos 188 §:ksi</w:t>
      </w:r>
    </w:p>
    <w:p w:rsidR="00C605DC" w:rsidRPr="00C605DC" w:rsidRDefault="00C605DC" w:rsidP="00C605DC">
      <w:pPr>
        <w:rPr>
          <w:rFonts w:cs="Arial"/>
          <w:b/>
          <w:sz w:val="22"/>
        </w:rPr>
      </w:pPr>
    </w:p>
    <w:p w:rsidR="00C605DC" w:rsidRDefault="00C605DC" w:rsidP="00C605DC">
      <w:pPr>
        <w:rPr>
          <w:b/>
        </w:rPr>
      </w:pPr>
      <w:r w:rsidRPr="00C605DC">
        <w:rPr>
          <w:b/>
        </w:rPr>
        <w:t>Tausta</w:t>
      </w:r>
      <w:r w:rsidR="004973AE">
        <w:rPr>
          <w:b/>
        </w:rPr>
        <w:tab/>
      </w:r>
    </w:p>
    <w:p w:rsidR="004973AE" w:rsidRDefault="004973AE" w:rsidP="00C605DC">
      <w:pPr>
        <w:rPr>
          <w:b/>
        </w:rPr>
      </w:pPr>
    </w:p>
    <w:p w:rsidR="000329A4" w:rsidRDefault="000329A4" w:rsidP="000329A4">
      <w:pPr>
        <w:ind w:left="1304"/>
      </w:pPr>
      <w:r>
        <w:t>Puolustusministeriö on 12.6.2023 pyytänyt lausuntoja luonnokseen hallituksen esitykseksi laiksi sotilaskurinpidosta ja rikostorjunnasta Puolustusvoimissa sisältyvästä 188 §:</w:t>
      </w:r>
      <w:proofErr w:type="spellStart"/>
      <w:r>
        <w:t>stä</w:t>
      </w:r>
      <w:proofErr w:type="spellEnd"/>
      <w:r>
        <w:t>, jossa säädettäisiin rikostorjuntatehtävän siirtämisestä poliisille.</w:t>
      </w:r>
    </w:p>
    <w:p w:rsidR="000329A4" w:rsidRDefault="000329A4" w:rsidP="000329A4">
      <w:pPr>
        <w:ind w:left="1304"/>
      </w:pPr>
    </w:p>
    <w:p w:rsidR="000329A4" w:rsidRDefault="000329A4" w:rsidP="000329A4">
      <w:pPr>
        <w:ind w:left="1304"/>
      </w:pPr>
      <w:r>
        <w:t>Pykälää on hallituksen esityksen jatkovalmistelussa muutettu siitä saatu lausuntopalaute huomioiden siten, että siinä esitetään aiemman sanamuodon lisäksi esitutkinnan siirtämistä poliisin suoritettavaksi aina, jos rikoksesta epäilty on Puolustusvoimain komentajan, Pääesikunnan päällikön, kenraalin tai amiraalin virkaan nimitetty virkamies. Lisäksi esitutkinta olisi aina siirrettävä poliisin suoritettavaksi myös, jos rikoksesta epäilty on sotilastiedusteluviranomaisessa palveleva virkamies ja epäilty rikos on tapahtunut sotilastiedustelusta annetun lain (590/2019) 4 luvussa tarkoitettujen tiedustelumenetelmien käytön yhteydessä tai sotilastiedustelutehtävän suorittamisen yhteydessä.</w:t>
      </w:r>
    </w:p>
    <w:p w:rsidR="000329A4" w:rsidRDefault="000329A4" w:rsidP="000329A4">
      <w:pPr>
        <w:ind w:left="1304"/>
      </w:pPr>
    </w:p>
    <w:p w:rsidR="000329A4" w:rsidRDefault="000329A4" w:rsidP="004973AE">
      <w:pPr>
        <w:ind w:left="1304"/>
      </w:pPr>
      <w:r>
        <w:t>Pykälässä tarkoitetuissa rikosepäilyissä on kyse yhteiskunnallisesti merkittävästä asiasta, joten esimerkiksi objektiivisuussyyt perustelevat sitä, että esitutkinnan suorittaisi poliisi.  Menettelyllä turvattaisiin myös tutkinnan puolueettomuus. Poliisin resurssit huomioon ottaen on tarkoituksenmukaista, että poliisi suorittaisi vain Puolustusvoimien ylimpien virkamiesten sekä sotilastiedusteluviranomaisen virkamiesten epäiltyjen rikosten esitutkinnan.</w:t>
      </w:r>
    </w:p>
    <w:p w:rsidR="000329A4" w:rsidRDefault="000329A4" w:rsidP="004973AE">
      <w:pPr>
        <w:ind w:left="1304"/>
      </w:pPr>
    </w:p>
    <w:p w:rsidR="004973AE" w:rsidRPr="004973AE" w:rsidRDefault="004973AE" w:rsidP="004973AE">
      <w:pPr>
        <w:ind w:left="1304"/>
      </w:pPr>
      <w:r w:rsidRPr="004973AE">
        <w:t>Puolustusministeriö asetti 15.1.2020 työryhmän, jonka tehtävänä oli arvioida sotilaskurinpitoa ja rikostorjuntaa Puolustusvoimissa koskevan lainsäädännön muutostarpeet ja valmistella tarvittaessa ehdotus sääntelyn uudistamiseksi. Puolustusministeriön lisäksi työryhmässä edustettuina ovat olleet oikeusministeriö, sisäministeriö, Rajavartiolaitoksen esikunta, pääesikunta, suojelupoliisi, keskusrikospoliisi sekä Poliisihallitus.</w:t>
      </w:r>
    </w:p>
    <w:p w:rsidR="004973AE" w:rsidRPr="004973AE" w:rsidRDefault="004973AE" w:rsidP="004973AE">
      <w:pPr>
        <w:ind w:left="1304"/>
      </w:pPr>
    </w:p>
    <w:p w:rsidR="004973AE" w:rsidRDefault="004973AE" w:rsidP="004973AE">
      <w:pPr>
        <w:ind w:left="1304"/>
      </w:pPr>
      <w:r>
        <w:t>Sotilaskurinpidosta ja rikostorjunnasta Puolustusvoimissa ehdotetaan annettavaksi uusi laki. Voimassa oleva sotilaskurinpidosta ja rikostorjunnasta puolustusvoimissa annettu laki (255/2014) kumottaisiin. Henkilötietojen käsittelystä Puolustusvoimissa annettua lakia (339/2019) sekä tiedustelutoiminnan valvonnasta annettua lakia (121/2019) muutettaisiin. Lisäksi kuuteen lakiin tehtäisiin teknisluontoisia muutoksia.</w:t>
      </w:r>
    </w:p>
    <w:p w:rsidR="004973AE" w:rsidRDefault="004973AE" w:rsidP="004973AE">
      <w:pPr>
        <w:ind w:left="1304"/>
      </w:pPr>
    </w:p>
    <w:p w:rsidR="002D120A" w:rsidRDefault="002D120A" w:rsidP="004973AE">
      <w:pPr>
        <w:ind w:left="1304"/>
      </w:pPr>
    </w:p>
    <w:p w:rsidR="00FB731A" w:rsidRPr="00C605DC" w:rsidRDefault="00EC3107" w:rsidP="00C605DC">
      <w:pPr>
        <w:rPr>
          <w:b/>
        </w:rPr>
      </w:pPr>
      <w:r>
        <w:rPr>
          <w:b/>
        </w:rPr>
        <w:t>L</w:t>
      </w:r>
      <w:r w:rsidR="00C605DC" w:rsidRPr="00C605DC">
        <w:rPr>
          <w:b/>
        </w:rPr>
        <w:t>ausuntokierros</w:t>
      </w:r>
    </w:p>
    <w:p w:rsidR="001455F1" w:rsidRDefault="001455F1" w:rsidP="00B86A23"/>
    <w:p w:rsidR="00C605DC" w:rsidRDefault="007E77C5" w:rsidP="007E77C5">
      <w:pPr>
        <w:ind w:left="1300"/>
      </w:pPr>
      <w:r>
        <w:t>Puolustus</w:t>
      </w:r>
      <w:r w:rsidRPr="00C747A2">
        <w:t xml:space="preserve">ministeriö järjesti </w:t>
      </w:r>
      <w:r w:rsidR="00C13DB1" w:rsidRPr="00C747A2">
        <w:t xml:space="preserve">ylimääräisen </w:t>
      </w:r>
      <w:r w:rsidRPr="00C747A2">
        <w:t>lausuntokierrokse</w:t>
      </w:r>
      <w:r w:rsidR="004973AE" w:rsidRPr="00C747A2">
        <w:t xml:space="preserve">n </w:t>
      </w:r>
      <w:r w:rsidR="00C13DB1" w:rsidRPr="00C747A2">
        <w:t xml:space="preserve">HE-luonnoksen 188 §:n osalta </w:t>
      </w:r>
      <w:r w:rsidR="00C747A2" w:rsidRPr="00C747A2">
        <w:t>12</w:t>
      </w:r>
      <w:r w:rsidR="00FB731A" w:rsidRPr="00C747A2">
        <w:t>.6.202</w:t>
      </w:r>
      <w:r w:rsidR="00C13DB1" w:rsidRPr="00C747A2">
        <w:t>3</w:t>
      </w:r>
      <w:r w:rsidR="00FB731A" w:rsidRPr="00C747A2">
        <w:t xml:space="preserve"> – </w:t>
      </w:r>
      <w:r w:rsidR="00C13DB1" w:rsidRPr="00C747A2">
        <w:t>31.7</w:t>
      </w:r>
      <w:r w:rsidR="00FB731A" w:rsidRPr="00C747A2">
        <w:t>.202</w:t>
      </w:r>
      <w:r w:rsidR="00C13DB1" w:rsidRPr="00C747A2">
        <w:t>3</w:t>
      </w:r>
      <w:r w:rsidRPr="00C747A2">
        <w:t>.</w:t>
      </w:r>
      <w:r>
        <w:t xml:space="preserve"> </w:t>
      </w:r>
      <w:r w:rsidR="00C13DB1">
        <w:t xml:space="preserve">Lausuntoa pyydettiin </w:t>
      </w:r>
      <w:r w:rsidR="00C13DB1" w:rsidRPr="00CB32A3">
        <w:t xml:space="preserve">yhteensä </w:t>
      </w:r>
      <w:r w:rsidR="00CB32A3" w:rsidRPr="00CB32A3">
        <w:t>22</w:t>
      </w:r>
      <w:r w:rsidR="006C7201" w:rsidRPr="00CB32A3">
        <w:t>:lta</w:t>
      </w:r>
      <w:r>
        <w:t xml:space="preserve"> eri taholta. Lausunto pyydettiin t</w:t>
      </w:r>
      <w:r w:rsidR="00C13DB1">
        <w:t>oimittamaan lausuntopalvelu.fi -</w:t>
      </w:r>
      <w:r>
        <w:t>p</w:t>
      </w:r>
      <w:r w:rsidR="001D7F67">
        <w:t>alvelussa, jossa myös kaikki muutkin</w:t>
      </w:r>
      <w:r>
        <w:t xml:space="preserve"> kuin </w:t>
      </w:r>
      <w:r w:rsidR="001D7F67">
        <w:t>lausuntopyynnön jakelussa olevat tahot saivat antaa lausunnon.</w:t>
      </w:r>
    </w:p>
    <w:p w:rsidR="001D7F67" w:rsidRDefault="001D7F67" w:rsidP="007E77C5">
      <w:pPr>
        <w:ind w:left="1300"/>
      </w:pPr>
    </w:p>
    <w:p w:rsidR="006C7201" w:rsidRDefault="001D7F67" w:rsidP="006C7201">
      <w:pPr>
        <w:autoSpaceDE w:val="0"/>
        <w:autoSpaceDN w:val="0"/>
        <w:adjustRightInd w:val="0"/>
        <w:ind w:left="1300"/>
      </w:pPr>
      <w:r>
        <w:t xml:space="preserve">Puolustusministeriö pyysi lausuntoa seuraavilta tahoilta: </w:t>
      </w:r>
    </w:p>
    <w:p w:rsidR="006C7201" w:rsidRDefault="006C7201" w:rsidP="006C7201">
      <w:pPr>
        <w:autoSpaceDE w:val="0"/>
        <w:autoSpaceDN w:val="0"/>
        <w:adjustRightInd w:val="0"/>
        <w:ind w:left="1300"/>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118"/>
        <w:gridCol w:w="1671"/>
        <w:gridCol w:w="1671"/>
      </w:tblGrid>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Aliupseeriliitto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Ammattiliitto Pro ry / Mikko Äikäs</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Eduskunnan oikeusasiamiehen kanslia</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Julkisalan koulutettujen neuvottelujärjestö JUKO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Julkisten ja hyvinvointialojen liitto JHL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lastRenderedPageBreak/>
              <w:t>Keskusrikospoliisi</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Maanpuolustuksen Henkilökuntaliitto MPHL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Oikeuskanslerinvirasto</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Poliisihallitus</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Puolustusministeriö</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Pääesikunta</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Päällystöliitto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Rajavartiolaitoksen esikunta</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Reserviläisliitto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Sisäministeriö</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Suojelupoliisi</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Suomen Reserviupseeriliitto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Tasavallan presidentin kanslia</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Ulkoministeriö</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Upseeriliitto ry</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Valtakunnansyyttäjän toimisto</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 </w:t>
            </w:r>
          </w:p>
        </w:tc>
      </w:tr>
      <w:tr w:rsidR="00C874E6" w:rsidRPr="00C874E6" w:rsidTr="00C874E6">
        <w:tc>
          <w:tcPr>
            <w:tcW w:w="0" w:type="auto"/>
            <w:shd w:val="clear" w:color="auto" w:fill="FFFFFF"/>
            <w:tcMar>
              <w:top w:w="15" w:type="dxa"/>
              <w:left w:w="15" w:type="dxa"/>
              <w:bottom w:w="15" w:type="dxa"/>
              <w:right w:w="300" w:type="dxa"/>
            </w:tcMar>
            <w:vAlign w:val="center"/>
            <w:hideMark/>
          </w:tcPr>
          <w:p w:rsidR="00C874E6" w:rsidRPr="00C874E6" w:rsidRDefault="00C874E6" w:rsidP="00C874E6">
            <w:pPr>
              <w:autoSpaceDE w:val="0"/>
              <w:autoSpaceDN w:val="0"/>
              <w:adjustRightInd w:val="0"/>
              <w:ind w:left="1300"/>
            </w:pPr>
            <w:r w:rsidRPr="00C874E6">
              <w:t>Valtioneuvoston kanslia</w:t>
            </w:r>
          </w:p>
        </w:tc>
        <w:tc>
          <w:tcPr>
            <w:tcW w:w="0" w:type="auto"/>
            <w:shd w:val="clear" w:color="auto" w:fill="FFFFFF"/>
            <w:vAlign w:val="center"/>
            <w:hideMark/>
          </w:tcPr>
          <w:p w:rsidR="00C874E6" w:rsidRPr="00C874E6" w:rsidRDefault="00C874E6" w:rsidP="00C874E6">
            <w:pPr>
              <w:autoSpaceDE w:val="0"/>
              <w:autoSpaceDN w:val="0"/>
              <w:adjustRightInd w:val="0"/>
              <w:ind w:left="1300"/>
            </w:pPr>
          </w:p>
        </w:tc>
        <w:tc>
          <w:tcPr>
            <w:tcW w:w="0" w:type="auto"/>
            <w:shd w:val="clear" w:color="auto" w:fill="FFFFFF"/>
            <w:vAlign w:val="center"/>
            <w:hideMark/>
          </w:tcPr>
          <w:p w:rsidR="00C874E6" w:rsidRPr="00C874E6" w:rsidRDefault="00C874E6" w:rsidP="00C874E6">
            <w:pPr>
              <w:autoSpaceDE w:val="0"/>
              <w:autoSpaceDN w:val="0"/>
              <w:adjustRightInd w:val="0"/>
              <w:ind w:left="1300"/>
            </w:pPr>
          </w:p>
        </w:tc>
      </w:tr>
    </w:tbl>
    <w:p w:rsidR="00C874E6" w:rsidRDefault="00C874E6" w:rsidP="006C7201">
      <w:pPr>
        <w:autoSpaceDE w:val="0"/>
        <w:autoSpaceDN w:val="0"/>
        <w:adjustRightInd w:val="0"/>
        <w:ind w:left="1300"/>
      </w:pPr>
    </w:p>
    <w:p w:rsidR="0083100A" w:rsidRDefault="00C874E6" w:rsidP="00866B9D">
      <w:pPr>
        <w:autoSpaceDE w:val="0"/>
        <w:autoSpaceDN w:val="0"/>
        <w:adjustRightInd w:val="0"/>
        <w:ind w:left="1300"/>
      </w:pPr>
      <w:r>
        <w:t>P</w:t>
      </w:r>
      <w:r w:rsidR="00E0025B">
        <w:t>uolustusministeriö s</w:t>
      </w:r>
      <w:r w:rsidR="002410A9">
        <w:t xml:space="preserve">ai mietintöä koskien yhteensä </w:t>
      </w:r>
      <w:r w:rsidR="007E005B">
        <w:t>11</w:t>
      </w:r>
      <w:r w:rsidR="00E0025B" w:rsidRPr="000F3898">
        <w:t xml:space="preserve"> lausuntoa</w:t>
      </w:r>
      <w:r w:rsidR="00E0025B" w:rsidRPr="00D07C90">
        <w:t xml:space="preserve">. </w:t>
      </w:r>
      <w:r w:rsidR="00914AA4">
        <w:t>Niistä tahoista, joilta lausunto oli pyydetty, lausunnon antoivat seuraavat:</w:t>
      </w:r>
    </w:p>
    <w:p w:rsidR="006C7201" w:rsidRDefault="006C7201" w:rsidP="00866B9D">
      <w:pPr>
        <w:autoSpaceDE w:val="0"/>
        <w:autoSpaceDN w:val="0"/>
        <w:adjustRightInd w:val="0"/>
        <w:ind w:left="1300"/>
      </w:pPr>
    </w:p>
    <w:p w:rsidR="006C7201" w:rsidRDefault="000F3898" w:rsidP="00866B9D">
      <w:pPr>
        <w:autoSpaceDE w:val="0"/>
        <w:autoSpaceDN w:val="0"/>
        <w:adjustRightInd w:val="0"/>
        <w:ind w:left="1300"/>
      </w:pPr>
      <w:r w:rsidRPr="00D60E3B">
        <w:t xml:space="preserve">Eduskunnan oikeusasiamiehen kanslia, sisäministeriö, </w:t>
      </w:r>
      <w:r w:rsidR="0034363C" w:rsidRPr="00D60E3B">
        <w:t xml:space="preserve">Pääesikunta, </w:t>
      </w:r>
      <w:r w:rsidRPr="00D60E3B">
        <w:t xml:space="preserve">Poliisihallitus, </w:t>
      </w:r>
      <w:r w:rsidR="007E005B">
        <w:t xml:space="preserve">Keskusrikospoliisi, </w:t>
      </w:r>
      <w:r w:rsidRPr="00D60E3B">
        <w:t>S</w:t>
      </w:r>
      <w:r w:rsidR="009869FC" w:rsidRPr="00D60E3B">
        <w:t xml:space="preserve">yyttäjälaitos, </w:t>
      </w:r>
      <w:r w:rsidR="00A313ED" w:rsidRPr="00D60E3B">
        <w:t>Upseeriliitto ry.,</w:t>
      </w:r>
      <w:r w:rsidRPr="00D60E3B">
        <w:t xml:space="preserve"> Reserviläisliitto ry. ja</w:t>
      </w:r>
      <w:r w:rsidR="00CF1C04" w:rsidRPr="00D60E3B">
        <w:t xml:space="preserve"> </w:t>
      </w:r>
      <w:r w:rsidRPr="00D60E3B">
        <w:t>Aliupseeriliitto ry.</w:t>
      </w:r>
    </w:p>
    <w:p w:rsidR="00914AA4" w:rsidRDefault="00914AA4" w:rsidP="00866B9D">
      <w:pPr>
        <w:autoSpaceDE w:val="0"/>
        <w:autoSpaceDN w:val="0"/>
        <w:adjustRightInd w:val="0"/>
        <w:ind w:left="1300"/>
      </w:pPr>
    </w:p>
    <w:p w:rsidR="00143CD3" w:rsidRDefault="00963E25" w:rsidP="00143CD3">
      <w:pPr>
        <w:autoSpaceDE w:val="0"/>
        <w:autoSpaceDN w:val="0"/>
        <w:adjustRightInd w:val="0"/>
      </w:pPr>
      <w:r>
        <w:tab/>
        <w:t>Lisäksi lausunnon antoi</w:t>
      </w:r>
      <w:r w:rsidR="0055112D">
        <w:t>vat</w:t>
      </w:r>
      <w:r>
        <w:t xml:space="preserve"> </w:t>
      </w:r>
      <w:proofErr w:type="spellStart"/>
      <w:r w:rsidR="00CD79CB">
        <w:t>Civix</w:t>
      </w:r>
      <w:proofErr w:type="spellEnd"/>
      <w:r w:rsidR="00CD79CB">
        <w:t xml:space="preserve"> ry., sekä </w:t>
      </w:r>
      <w:r>
        <w:t>yksi yksityinen henkilö.</w:t>
      </w:r>
    </w:p>
    <w:p w:rsidR="00EC76DB" w:rsidRDefault="00EC76DB" w:rsidP="00143CD3">
      <w:pPr>
        <w:autoSpaceDE w:val="0"/>
        <w:autoSpaceDN w:val="0"/>
        <w:adjustRightInd w:val="0"/>
      </w:pPr>
    </w:p>
    <w:p w:rsidR="00192413" w:rsidRDefault="00143CD3" w:rsidP="006D05F8">
      <w:pPr>
        <w:autoSpaceDE w:val="0"/>
        <w:autoSpaceDN w:val="0"/>
        <w:adjustRightInd w:val="0"/>
        <w:rPr>
          <w:b/>
        </w:rPr>
      </w:pPr>
      <w:r w:rsidRPr="00143CD3">
        <w:rPr>
          <w:b/>
        </w:rPr>
        <w:t>Hallituksen esitys eduskunnalle</w:t>
      </w:r>
      <w:r w:rsidR="00EE3367">
        <w:rPr>
          <w:b/>
        </w:rPr>
        <w:t xml:space="preserve"> </w:t>
      </w:r>
      <w:r w:rsidR="004D0A81">
        <w:rPr>
          <w:b/>
        </w:rPr>
        <w:t>laiksi sotilaskurinpidosta ja rikostorjunnasta Puolustusvoimissa</w:t>
      </w:r>
      <w:r w:rsidR="00EC3107">
        <w:rPr>
          <w:b/>
        </w:rPr>
        <w:t xml:space="preserve"> – 188 §; rikostorjuntatehtävän siirtäminen poliisille</w:t>
      </w:r>
    </w:p>
    <w:p w:rsidR="006D05F8" w:rsidRDefault="006D05F8" w:rsidP="00143CD3">
      <w:pPr>
        <w:autoSpaceDE w:val="0"/>
        <w:autoSpaceDN w:val="0"/>
        <w:adjustRightInd w:val="0"/>
        <w:rPr>
          <w:b/>
        </w:rPr>
      </w:pPr>
    </w:p>
    <w:p w:rsidR="00031FEB" w:rsidRDefault="00EC3107" w:rsidP="00EC3107">
      <w:pPr>
        <w:autoSpaceDE w:val="0"/>
        <w:autoSpaceDN w:val="0"/>
        <w:adjustRightInd w:val="0"/>
      </w:pPr>
      <w:r>
        <w:tab/>
      </w:r>
    </w:p>
    <w:p w:rsidR="00EC3107" w:rsidRPr="00EC3107" w:rsidRDefault="00EC3107" w:rsidP="00EC3107">
      <w:pPr>
        <w:autoSpaceDE w:val="0"/>
        <w:autoSpaceDN w:val="0"/>
        <w:adjustRightInd w:val="0"/>
        <w:rPr>
          <w:i/>
        </w:rPr>
      </w:pPr>
      <w:r w:rsidRPr="00EC3107">
        <w:rPr>
          <w:i/>
        </w:rPr>
        <w:t>Eduskunnan oikeusasiamies</w:t>
      </w:r>
      <w:r>
        <w:rPr>
          <w:i/>
        </w:rPr>
        <w:t xml:space="preserve"> (EOA)</w:t>
      </w:r>
    </w:p>
    <w:p w:rsidR="00EC3107" w:rsidRDefault="00EC3107" w:rsidP="00EC3107">
      <w:pPr>
        <w:autoSpaceDE w:val="0"/>
        <w:autoSpaceDN w:val="0"/>
        <w:adjustRightInd w:val="0"/>
      </w:pPr>
    </w:p>
    <w:p w:rsidR="00EC3107" w:rsidRDefault="00EC3107" w:rsidP="00EC3107">
      <w:pPr>
        <w:autoSpaceDE w:val="0"/>
        <w:autoSpaceDN w:val="0"/>
        <w:adjustRightInd w:val="0"/>
      </w:pPr>
      <w:r>
        <w:tab/>
        <w:t>EOA viittaa lausunnossaan aiempaan lausuntoonsa EOAK/3938/2022, jossa on todettu seuraavaa:</w:t>
      </w:r>
    </w:p>
    <w:p w:rsidR="00EC3107" w:rsidRDefault="00EC3107" w:rsidP="00D62A64">
      <w:pPr>
        <w:autoSpaceDE w:val="0"/>
        <w:autoSpaceDN w:val="0"/>
        <w:adjustRightInd w:val="0"/>
        <w:ind w:left="1304"/>
      </w:pPr>
      <w:r>
        <w:t>”Ylipäänsä se, että puolustusvoimat tutkii oman henkilöstönsä epäillyt virkarikokset, on periaatteessa ongelmallista. Menettelyssä ei ole ulkopuolisia puolueettomuuden takeita. Ns. poliisirikosten kohdalla tutkinnan puolueettomuus on pyritty varmistamaan niin, että näiden rikosten tutkinnanjohtajana on aina syyttäjä, joka myös aina ratkaisee sen, onko olemassa esitutkinnan edellytykset.”</w:t>
      </w:r>
    </w:p>
    <w:p w:rsidR="00EC3107" w:rsidRDefault="00EC3107" w:rsidP="00EC3107">
      <w:pPr>
        <w:autoSpaceDE w:val="0"/>
        <w:autoSpaceDN w:val="0"/>
        <w:adjustRightInd w:val="0"/>
        <w:ind w:firstLine="1304"/>
      </w:pPr>
    </w:p>
    <w:p w:rsidR="00EC3107" w:rsidRDefault="00EC3107" w:rsidP="00EC3107">
      <w:pPr>
        <w:autoSpaceDE w:val="0"/>
        <w:autoSpaceDN w:val="0"/>
        <w:adjustRightInd w:val="0"/>
        <w:ind w:left="1300"/>
      </w:pPr>
      <w:r>
        <w:t>EOA toteaa, että nyt ehdotettu 188 § on parannusta verrattuna aiempaan pykäläluonnokseen, josta puuttuivat nyt ehdotetut 2. ja 3 momentit, mutta se ei edelleenkään vastaa kaikilta osin tutkinnan</w:t>
      </w:r>
    </w:p>
    <w:p w:rsidR="00D62A64" w:rsidRDefault="00EC3107" w:rsidP="00EC3107">
      <w:pPr>
        <w:autoSpaceDE w:val="0"/>
        <w:autoSpaceDN w:val="0"/>
        <w:adjustRightInd w:val="0"/>
        <w:ind w:left="1300"/>
      </w:pPr>
      <w:r>
        <w:t xml:space="preserve">puolueettomuuden vaatimuksiin. Pääosin samoilla perusteilla, joilla poliisirikosten tutkinnanjohtajuus siirrettiin syyttäjälle, tulisi Puolustusvoimien henkilöstön </w:t>
      </w:r>
      <w:proofErr w:type="spellStart"/>
      <w:r>
        <w:t>SKRTL:ssä</w:t>
      </w:r>
      <w:proofErr w:type="spellEnd"/>
      <w:r>
        <w:t xml:space="preserve"> tarkoitettujen rikosten esitutkinta olla poliisilla. Lausuntopyynnön johdannon mukaan poliisin resurssit huomioon ottaen on tarkoituksenmukaista, että poliisi suorittaisi vain Puolustusvoimien ylimpien virkamiesten sekä</w:t>
      </w:r>
      <w:r w:rsidR="00D62A64">
        <w:t xml:space="preserve"> </w:t>
      </w:r>
      <w:r>
        <w:t>sotilastiedusteluviranomaisen virkamiesten epäiltyjen rikosten esitutkinnan.</w:t>
      </w:r>
      <w:r w:rsidR="00D62A64">
        <w:t xml:space="preserve"> </w:t>
      </w:r>
      <w:r>
        <w:t>Esimerkiksi vuonna 2020 palkattua henkilökuntaa koski 72 sotilasrikosten esitutkintaa</w:t>
      </w:r>
      <w:r w:rsidR="00D62A64">
        <w:t xml:space="preserve"> </w:t>
      </w:r>
      <w:r>
        <w:t>(https://puolustusvoimat.fi/-/sotilasrikosten-maara-edelleen-lievassa-laskussa). Vuonna 2021</w:t>
      </w:r>
      <w:r w:rsidR="00D62A64">
        <w:t xml:space="preserve"> </w:t>
      </w:r>
      <w:r>
        <w:t>palkattua henkilökuntaa koski 122 esitutkintaa (https://puolustusvoimat.fi/-/sotilasrikosten-maaralievassa-nousussa) ja vuonna 2022 (https://puolustusvoimat.fi/-/sotilasrikosten-maara-edelleenlievassa-nousussa) 59 esitutkintaa.</w:t>
      </w:r>
      <w:r w:rsidR="00D62A64">
        <w:t xml:space="preserve"> </w:t>
      </w:r>
    </w:p>
    <w:p w:rsidR="00D62A64" w:rsidRDefault="00D62A64" w:rsidP="00EC3107">
      <w:pPr>
        <w:autoSpaceDE w:val="0"/>
        <w:autoSpaceDN w:val="0"/>
        <w:adjustRightInd w:val="0"/>
        <w:ind w:left="1300"/>
      </w:pPr>
    </w:p>
    <w:p w:rsidR="00D62A64" w:rsidRDefault="00D62A64" w:rsidP="00EC3107">
      <w:pPr>
        <w:autoSpaceDE w:val="0"/>
        <w:autoSpaceDN w:val="0"/>
        <w:adjustRightInd w:val="0"/>
        <w:ind w:left="1300"/>
      </w:pPr>
      <w:r>
        <w:t xml:space="preserve">Määriä ei voi </w:t>
      </w:r>
      <w:proofErr w:type="spellStart"/>
      <w:r>
        <w:t>EOA:n</w:t>
      </w:r>
      <w:proofErr w:type="spellEnd"/>
      <w:r>
        <w:t xml:space="preserve"> mukaan</w:t>
      </w:r>
      <w:r w:rsidR="00EC3107">
        <w:t xml:space="preserve"> pitää sellaisina, että poliisin resursseilla voisi perustella sitä, että poliisi ei</w:t>
      </w:r>
      <w:r>
        <w:t xml:space="preserve"> </w:t>
      </w:r>
      <w:r w:rsidR="00EC3107">
        <w:t xml:space="preserve">tutkisi kaikkia palkattua henkilökuntaa koskevia </w:t>
      </w:r>
      <w:proofErr w:type="spellStart"/>
      <w:r w:rsidR="00EC3107">
        <w:t>SKRTL:ssa</w:t>
      </w:r>
      <w:proofErr w:type="spellEnd"/>
      <w:r w:rsidR="00EC3107">
        <w:t xml:space="preserve"> tarkoitettuja rikosepäilyjä.</w:t>
      </w:r>
      <w:r>
        <w:t xml:space="preserve"> </w:t>
      </w:r>
      <w:r w:rsidR="00EC3107">
        <w:t>Tutkinnan puolueettomuuden ja ri</w:t>
      </w:r>
      <w:r>
        <w:t xml:space="preserve">ippumattomuuden kannalta olisi </w:t>
      </w:r>
      <w:r w:rsidR="00EC3107">
        <w:t>joka tapauksessa</w:t>
      </w:r>
      <w:r>
        <w:t xml:space="preserve"> </w:t>
      </w:r>
      <w:r w:rsidR="00EC3107">
        <w:t xml:space="preserve">otettava huomioon muitakin </w:t>
      </w:r>
      <w:r w:rsidR="00EC3107">
        <w:lastRenderedPageBreak/>
        <w:t>henkilöryhmiä ja rikosepäilyjä kuin nyt ehdotetuissa 2 ja 3</w:t>
      </w:r>
      <w:r>
        <w:t xml:space="preserve"> </w:t>
      </w:r>
      <w:r w:rsidR="00EC3107">
        <w:t xml:space="preserve">momenteissa mainitut. Sellaisia voisivat perustellusti olla ainakin kaikki </w:t>
      </w:r>
      <w:proofErr w:type="spellStart"/>
      <w:r w:rsidR="00EC3107">
        <w:t>SKRTL:n</w:t>
      </w:r>
      <w:proofErr w:type="spellEnd"/>
      <w:r w:rsidR="00EC3107">
        <w:t xml:space="preserve"> soveltamisalaan</w:t>
      </w:r>
      <w:r>
        <w:t xml:space="preserve"> </w:t>
      </w:r>
      <w:r w:rsidR="00EC3107">
        <w:t>kuuluvat Pääesikunnan ja sotilastiedusteluviranomaisen virkamiesten rikosepäilyt.</w:t>
      </w:r>
    </w:p>
    <w:p w:rsidR="00D62A64" w:rsidRDefault="00D62A64" w:rsidP="00EC3107">
      <w:pPr>
        <w:autoSpaceDE w:val="0"/>
        <w:autoSpaceDN w:val="0"/>
        <w:adjustRightInd w:val="0"/>
        <w:ind w:left="1300"/>
      </w:pPr>
    </w:p>
    <w:p w:rsidR="00297DAF" w:rsidRDefault="00D62A64" w:rsidP="00297DAF">
      <w:pPr>
        <w:autoSpaceDE w:val="0"/>
        <w:autoSpaceDN w:val="0"/>
        <w:adjustRightInd w:val="0"/>
        <w:ind w:left="1300"/>
      </w:pPr>
      <w:r>
        <w:t>Lisäksi EOA on lausunnossaan kiinnittänyt huomiota</w:t>
      </w:r>
      <w:r w:rsidR="00E614CC">
        <w:t xml:space="preserve"> myös</w:t>
      </w:r>
      <w:r>
        <w:t xml:space="preserve"> HE-luonnoksen </w:t>
      </w:r>
      <w:r w:rsidR="00297DAF">
        <w:t xml:space="preserve">9 §:n 1 momenttiin. </w:t>
      </w:r>
      <w:r w:rsidR="00E614CC">
        <w:t xml:space="preserve">EOA viittaa aiempaan lausuntoonsa </w:t>
      </w:r>
      <w:r w:rsidR="00297DAF">
        <w:t xml:space="preserve">EOAK/3938/2022, </w:t>
      </w:r>
      <w:r w:rsidR="00E614CC">
        <w:t>jossa on viitannut</w:t>
      </w:r>
      <w:r w:rsidR="00297DAF">
        <w:t xml:space="preserve"> apulaisoikeusasiamies Pasi Pölösen tarkastushavaintoihin (EOAK/408/2022).</w:t>
      </w:r>
      <w:r w:rsidR="00E614CC">
        <w:t xml:space="preserve"> </w:t>
      </w:r>
      <w:r w:rsidR="00297DAF">
        <w:t>Pölönen totesi: ”Toisin kuin poliisissa, puolustusvoimissa ei joissain tapauksissa kirjata ilmoitusta niin, että kurinpitoesimies arvioisi tämän kirjatun ilmoituksen perusteella onko rikosta syytä epäillä ja</w:t>
      </w:r>
      <w:r w:rsidR="00E614CC">
        <w:t xml:space="preserve"> </w:t>
      </w:r>
      <w:r w:rsidR="00297DAF">
        <w:t>käynnistetäänkö asiassa esitutkinta. Epäillyn rikoksen tapahtumatietojen saattaminen</w:t>
      </w:r>
      <w:r w:rsidR="00C20C33">
        <w:t xml:space="preserve"> </w:t>
      </w:r>
      <w:r w:rsidR="00297DAF">
        <w:t>kurinpitoesimiehen tietoon on siten vapaamuotoista ja voi tapahtua esimerkiksi suullisesti. Ilmoitus</w:t>
      </w:r>
      <w:r w:rsidR="00C20C33">
        <w:t xml:space="preserve"> </w:t>
      </w:r>
      <w:r w:rsidR="00297DAF">
        <w:t>kirjataan vasta sen jälkeen, kun asiassa on päätetty suorittaa esitutkinta (SKRTL 27 §:n 1 momentti).</w:t>
      </w:r>
      <w:r w:rsidR="00C20C33">
        <w:t xml:space="preserve"> </w:t>
      </w:r>
      <w:r w:rsidR="00297DAF">
        <w:t>Näin ollen esitutkintakynnyksen alle jääneistä tapahtumista, joissa kuitenkin on arvioitu rikosepäilyn</w:t>
      </w:r>
      <w:r w:rsidR="00C20C33">
        <w:t xml:space="preserve"> </w:t>
      </w:r>
      <w:r w:rsidR="00297DAF">
        <w:t>olemassaoloa, ei ole olemassa välttämättä mitään dokumentaatiota. Myöskään esitutkinnan</w:t>
      </w:r>
      <w:r w:rsidR="00C20C33">
        <w:t xml:space="preserve"> </w:t>
      </w:r>
      <w:r w:rsidR="00297DAF">
        <w:t>aloittamista edeltäviä toimenpiteitä (esitutkintalain 3 luvun 3 §:n 2 momentti) ei dokumentoida, jos</w:t>
      </w:r>
      <w:r w:rsidR="00C20C33">
        <w:t xml:space="preserve"> </w:t>
      </w:r>
      <w:r w:rsidR="00297DAF">
        <w:t>asiassa ei kirjata ilmoitusta. Esitutkintalain 2 luvun 1 §:n 1 momentin mukaan, kun</w:t>
      </w:r>
      <w:r w:rsidR="00C20C33">
        <w:t xml:space="preserve"> </w:t>
      </w:r>
      <w:r w:rsidR="00297DAF">
        <w:t>esitutkintaviranomaiselle ilmoitetaan rikos tai tapahtuma, jota ilmoittaja epäilee rikokseksi,</w:t>
      </w:r>
      <w:r w:rsidR="00C20C33">
        <w:t xml:space="preserve"> </w:t>
      </w:r>
      <w:r w:rsidR="00297DAF">
        <w:t>esitutkintaviranomaisen on viipymättä kirjattava ilmoitus.</w:t>
      </w:r>
      <w:r w:rsidR="00C20C33">
        <w:t xml:space="preserve"> </w:t>
      </w:r>
      <w:r w:rsidR="00297DAF">
        <w:t>Asiassa jääkin epäselväksi sellaisten tapahtumien kirjaamismenettely, joissa ei ole ilmoittajaa ja jotka</w:t>
      </w:r>
      <w:r w:rsidR="00C20C33">
        <w:t xml:space="preserve"> </w:t>
      </w:r>
      <w:r w:rsidR="00297DAF">
        <w:t>eivät kurinpitoesimiehen harkinnassa ylitä rikosepäilyn kynnystä. Jälkikäteisvalvonnan ja toiminnan</w:t>
      </w:r>
      <w:r w:rsidR="00C20C33">
        <w:t xml:space="preserve"> </w:t>
      </w:r>
      <w:r w:rsidR="00297DAF">
        <w:t>ulkoisen uskottavuuden näkökulmasta voi olla ongelmallista, jos dokumenteista ei voida arvioida</w:t>
      </w:r>
      <w:r w:rsidR="00C20C33">
        <w:t xml:space="preserve"> </w:t>
      </w:r>
      <w:r w:rsidR="00297DAF">
        <w:t>kuin niitä juttuja, joissa esitutkinta aloitetaan.”</w:t>
      </w:r>
    </w:p>
    <w:p w:rsidR="00297DAF" w:rsidRDefault="00297DAF" w:rsidP="00297DAF">
      <w:pPr>
        <w:autoSpaceDE w:val="0"/>
        <w:autoSpaceDN w:val="0"/>
        <w:adjustRightInd w:val="0"/>
        <w:ind w:left="1300"/>
      </w:pPr>
    </w:p>
    <w:p w:rsidR="00297DAF" w:rsidRDefault="00297DAF" w:rsidP="00297DAF">
      <w:pPr>
        <w:autoSpaceDE w:val="0"/>
        <w:autoSpaceDN w:val="0"/>
        <w:adjustRightInd w:val="0"/>
        <w:ind w:left="1300"/>
      </w:pPr>
      <w:proofErr w:type="spellStart"/>
      <w:r w:rsidRPr="00600B32">
        <w:t>EOA:n</w:t>
      </w:r>
      <w:proofErr w:type="spellEnd"/>
      <w:r w:rsidRPr="00600B32">
        <w:t xml:space="preserve"> mielestä kaikki tietoon tulleet </w:t>
      </w:r>
      <w:proofErr w:type="spellStart"/>
      <w:r w:rsidRPr="00600B32">
        <w:t>SKRTL:ssa</w:t>
      </w:r>
      <w:proofErr w:type="spellEnd"/>
      <w:r w:rsidRPr="00600B32">
        <w:t xml:space="preserve"> tarkoitetut rikosepäilyt olisi kirjattava ja niissä tapauksissa, joissa esitutkinnan toimittaminen kuuluu poliisille, olisi kirjattu ilmoitus siirrettävä poliisille, joka arvioi, onko asiassa syytä epäillä rikosta. Näissä tapauksissa ”syytä epäillä” kynnyksen arvioiminen ei toisin sanoen voi jäädä Puolust</w:t>
      </w:r>
      <w:r w:rsidR="00E614CC" w:rsidRPr="00600B32">
        <w:t xml:space="preserve">usvoimissa tehtäväksi. </w:t>
      </w:r>
      <w:proofErr w:type="spellStart"/>
      <w:r w:rsidR="00E614CC" w:rsidRPr="00600B32">
        <w:t>EOA</w:t>
      </w:r>
      <w:r w:rsidR="00E614CC">
        <w:t>:n</w:t>
      </w:r>
      <w:proofErr w:type="spellEnd"/>
      <w:r w:rsidR="00E614CC">
        <w:t xml:space="preserve"> mielestä</w:t>
      </w:r>
      <w:r>
        <w:t xml:space="preserve"> tällainen sääntely olisi sisällytettävä lakiehdotukseen.</w:t>
      </w:r>
    </w:p>
    <w:p w:rsidR="007E005B" w:rsidRPr="007E005B" w:rsidRDefault="007E005B" w:rsidP="007E005B">
      <w:pPr>
        <w:autoSpaceDE w:val="0"/>
        <w:autoSpaceDN w:val="0"/>
        <w:adjustRightInd w:val="0"/>
        <w:rPr>
          <w:i/>
        </w:rPr>
      </w:pPr>
    </w:p>
    <w:p w:rsidR="007E005B" w:rsidRPr="007E005B" w:rsidRDefault="007E005B" w:rsidP="007E005B">
      <w:pPr>
        <w:autoSpaceDE w:val="0"/>
        <w:autoSpaceDN w:val="0"/>
        <w:adjustRightInd w:val="0"/>
        <w:rPr>
          <w:i/>
        </w:rPr>
      </w:pPr>
      <w:r w:rsidRPr="007E005B">
        <w:rPr>
          <w:i/>
        </w:rPr>
        <w:t>Sisäministeriö</w:t>
      </w:r>
    </w:p>
    <w:p w:rsidR="007E005B" w:rsidRDefault="007E005B" w:rsidP="007E005B">
      <w:pPr>
        <w:autoSpaceDE w:val="0"/>
        <w:autoSpaceDN w:val="0"/>
        <w:adjustRightInd w:val="0"/>
      </w:pPr>
    </w:p>
    <w:p w:rsidR="00973DA8" w:rsidRDefault="002A45C8" w:rsidP="00973DA8">
      <w:pPr>
        <w:autoSpaceDE w:val="0"/>
        <w:autoSpaceDN w:val="0"/>
        <w:adjustRightInd w:val="0"/>
        <w:ind w:left="1300"/>
      </w:pPr>
      <w:r>
        <w:t xml:space="preserve">Sisäministeriön lausunnon mukaan uusi pykäläehdotus on täsmällisempi ja tarkkarajaisempi </w:t>
      </w:r>
      <w:r w:rsidR="00973DA8">
        <w:t>aiempaan nähden. Lähtökohtana on tärkeä edelleenkin pitää pykäläehdotuksen 1 momentin</w:t>
      </w:r>
      <w:r>
        <w:t xml:space="preserve"> </w:t>
      </w:r>
      <w:r w:rsidR="00973DA8">
        <w:t>1. virkkeessä mainittua, jonka mukaan esitutkinta on siirrettävä poliisin suoritettavaksi, jos</w:t>
      </w:r>
      <w:r>
        <w:t xml:space="preserve"> </w:t>
      </w:r>
      <w:r w:rsidR="00973DA8">
        <w:t>tutkinnan puolueettomuus tai rikoksen vakavuus sitä edellyttää. Itsestään selvää on, että tutkinnan</w:t>
      </w:r>
      <w:r>
        <w:t xml:space="preserve"> </w:t>
      </w:r>
      <w:r w:rsidR="00973DA8">
        <w:t>siirtymisen myötä siirtyy myös jutun tutkinnanjohtajuus poliisille.</w:t>
      </w:r>
    </w:p>
    <w:p w:rsidR="002A45C8" w:rsidRDefault="002A45C8" w:rsidP="00973DA8">
      <w:pPr>
        <w:autoSpaceDE w:val="0"/>
        <w:autoSpaceDN w:val="0"/>
        <w:adjustRightInd w:val="0"/>
        <w:ind w:left="1300"/>
      </w:pPr>
    </w:p>
    <w:p w:rsidR="00973DA8" w:rsidRPr="00600B32" w:rsidRDefault="00973DA8" w:rsidP="00973DA8">
      <w:pPr>
        <w:autoSpaceDE w:val="0"/>
        <w:autoSpaceDN w:val="0"/>
        <w:adjustRightInd w:val="0"/>
        <w:ind w:left="1300"/>
      </w:pPr>
      <w:r>
        <w:t>Pykäläehdotuksen 2 momentin mukaan esitutkinta on aina siirrettävä poliisin suoritettavaksi, jos rikoksesta</w:t>
      </w:r>
      <w:r w:rsidR="002A45C8">
        <w:t xml:space="preserve"> </w:t>
      </w:r>
      <w:r>
        <w:t xml:space="preserve">epäilty on Puolustusvoimain </w:t>
      </w:r>
      <w:r w:rsidRPr="00600B32">
        <w:t>komentajan, Pääesikunnan päällikön, kenraalin tai amiraalin</w:t>
      </w:r>
    </w:p>
    <w:p w:rsidR="00973DA8" w:rsidRPr="00600B32" w:rsidRDefault="00973DA8" w:rsidP="00973DA8">
      <w:pPr>
        <w:autoSpaceDE w:val="0"/>
        <w:autoSpaceDN w:val="0"/>
        <w:adjustRightInd w:val="0"/>
        <w:ind w:left="1300"/>
      </w:pPr>
      <w:r w:rsidRPr="00600B32">
        <w:t>virkaan nimitetty virkamies</w:t>
      </w:r>
      <w:r w:rsidR="002A45C8" w:rsidRPr="00600B32">
        <w:t>. Sisäministeriön mukaan p</w:t>
      </w:r>
      <w:r w:rsidRPr="00600B32">
        <w:t>erusteluja olisi syytä</w:t>
      </w:r>
      <w:r w:rsidR="002A45C8" w:rsidRPr="00600B32">
        <w:t xml:space="preserve"> </w:t>
      </w:r>
      <w:r w:rsidRPr="00600B32">
        <w:t>täydentää siten, että kuvattaisiin tarkemmin, miten tutkinnan puolueettomuus vaarantuu erityisesti ja</w:t>
      </w:r>
      <w:r w:rsidR="002A45C8" w:rsidRPr="00600B32">
        <w:t xml:space="preserve"> </w:t>
      </w:r>
      <w:r w:rsidRPr="00600B32">
        <w:t>ainoastaan korkeimpien virkamiesten rikoksia tutkittaessa.</w:t>
      </w:r>
    </w:p>
    <w:p w:rsidR="002A45C8" w:rsidRPr="00600B32" w:rsidRDefault="002A45C8" w:rsidP="00973DA8">
      <w:pPr>
        <w:autoSpaceDE w:val="0"/>
        <w:autoSpaceDN w:val="0"/>
        <w:adjustRightInd w:val="0"/>
        <w:ind w:left="1300"/>
      </w:pPr>
    </w:p>
    <w:p w:rsidR="00973DA8" w:rsidRPr="00600B32" w:rsidRDefault="00973DA8" w:rsidP="00973DA8">
      <w:pPr>
        <w:autoSpaceDE w:val="0"/>
        <w:autoSpaceDN w:val="0"/>
        <w:adjustRightInd w:val="0"/>
        <w:ind w:left="1300"/>
      </w:pPr>
      <w:r w:rsidRPr="00600B32">
        <w:t>Pykäläehdotuksen 3 momentin mukaan esitutkinta on aina siirrettävä poliisin suoritettavaksi myös,</w:t>
      </w:r>
    </w:p>
    <w:p w:rsidR="00973DA8" w:rsidRPr="00600B32" w:rsidRDefault="00973DA8" w:rsidP="00973DA8">
      <w:pPr>
        <w:autoSpaceDE w:val="0"/>
        <w:autoSpaceDN w:val="0"/>
        <w:adjustRightInd w:val="0"/>
        <w:ind w:left="1300"/>
      </w:pPr>
      <w:r w:rsidRPr="00600B32">
        <w:t>jos rikoksesta epäilty on sotilastiedusteluviranomaisessa palveleva virkamies ja epäilty rikos on tapahtunut</w:t>
      </w:r>
      <w:r w:rsidR="002A45C8" w:rsidRPr="00600B32">
        <w:t xml:space="preserve"> </w:t>
      </w:r>
      <w:r w:rsidRPr="00600B32">
        <w:t>sotilastiedustelusta annetun lain (590/2019) 4 luvussa tarkoitettujen tiedustelumenetelmien</w:t>
      </w:r>
    </w:p>
    <w:p w:rsidR="00973DA8" w:rsidRDefault="00973DA8" w:rsidP="00973DA8">
      <w:pPr>
        <w:autoSpaceDE w:val="0"/>
        <w:autoSpaceDN w:val="0"/>
        <w:adjustRightInd w:val="0"/>
        <w:ind w:left="1300"/>
      </w:pPr>
      <w:r w:rsidRPr="00600B32">
        <w:t>käytön yhteydessä tai sotilastiedustelutehtävän suorittamisen yhteydessä.</w:t>
      </w:r>
      <w:r w:rsidR="002A45C8" w:rsidRPr="00600B32">
        <w:t xml:space="preserve"> </w:t>
      </w:r>
      <w:r w:rsidRPr="00600B32">
        <w:t>Sisäministeriön</w:t>
      </w:r>
      <w:r w:rsidR="002A45C8" w:rsidRPr="00600B32">
        <w:t xml:space="preserve"> mukaan </w:t>
      </w:r>
      <w:r w:rsidRPr="00600B32">
        <w:t>tutkinnan puolueettomuuden näkökulmasta kyseinen säännös</w:t>
      </w:r>
      <w:r w:rsidR="002A45C8" w:rsidRPr="00600B32">
        <w:t xml:space="preserve"> </w:t>
      </w:r>
      <w:r w:rsidRPr="00600B32">
        <w:t>on tarpeellinen. Sisäministeriön poliisiosasto esittää harkittavaksi, onko pykälän perusteluihin</w:t>
      </w:r>
      <w:r w:rsidR="002A45C8" w:rsidRPr="00600B32">
        <w:t xml:space="preserve"> </w:t>
      </w:r>
      <w:r w:rsidRPr="00600B32">
        <w:t>perusteltua avata prosessia, miten sotilastiedusteluviranomaisessa palvelevan virkamiehen tekemäksi</w:t>
      </w:r>
      <w:r w:rsidR="002A45C8" w:rsidRPr="00600B32">
        <w:t xml:space="preserve"> </w:t>
      </w:r>
      <w:r w:rsidRPr="00600B32">
        <w:t>epäilty rikos ilmoitettaisiin poliisille.</w:t>
      </w:r>
    </w:p>
    <w:p w:rsidR="002A45C8" w:rsidRDefault="002A45C8" w:rsidP="00973DA8">
      <w:pPr>
        <w:autoSpaceDE w:val="0"/>
        <w:autoSpaceDN w:val="0"/>
        <w:adjustRightInd w:val="0"/>
        <w:ind w:left="1300"/>
      </w:pPr>
    </w:p>
    <w:p w:rsidR="00973DA8" w:rsidRDefault="00973DA8" w:rsidP="00973DA8">
      <w:pPr>
        <w:autoSpaceDE w:val="0"/>
        <w:autoSpaceDN w:val="0"/>
        <w:adjustRightInd w:val="0"/>
        <w:ind w:left="1300"/>
      </w:pPr>
      <w:r>
        <w:t xml:space="preserve">Pykäläehdotuksen 4 </w:t>
      </w:r>
      <w:r w:rsidR="002A45C8">
        <w:t>m</w:t>
      </w:r>
      <w:r>
        <w:t>omentin perusteluissa todetaan, että poliisin otto-oikeudesta säädetään voimassa olevan sotilaskurinpidosta</w:t>
      </w:r>
      <w:r w:rsidR="002A45C8">
        <w:t xml:space="preserve"> </w:t>
      </w:r>
      <w:r>
        <w:t xml:space="preserve">ja rikostorjunnasta puolustusvoimissa annetun lain 39 §:ssä ja 90 §:n 3 momentissa. </w:t>
      </w:r>
      <w:r w:rsidR="002A45C8">
        <w:t>Sisäministeriö toteaa, että i</w:t>
      </w:r>
      <w:r>
        <w:t>lmeisesti</w:t>
      </w:r>
      <w:r w:rsidR="002A45C8">
        <w:t xml:space="preserve"> </w:t>
      </w:r>
      <w:r>
        <w:t>uudella säännösehdotuksella ei ole tarkoitus muuttaa viimeksi mainituissa lainkohdissa tarkoitettua</w:t>
      </w:r>
      <w:r w:rsidR="002A45C8">
        <w:t xml:space="preserve"> </w:t>
      </w:r>
      <w:r>
        <w:t>nykytilaa. Voimassa olevan lain 90 §:n 3 momentin mukaan: ”Asian laadun niin vaatiessa 86</w:t>
      </w:r>
      <w:r w:rsidR="002A45C8">
        <w:t xml:space="preserve"> </w:t>
      </w:r>
      <w:r>
        <w:t>§:n 1 momentissa tarkoitettu tehtävä suoritetaan yhteistoiminnassa poliisin kanssa. Puolustusvoimien</w:t>
      </w:r>
      <w:r w:rsidR="002A45C8">
        <w:t xml:space="preserve"> </w:t>
      </w:r>
      <w:r>
        <w:t xml:space="preserve">rikosten ennalta estämistä ja paljastamista hoitava </w:t>
      </w:r>
      <w:r>
        <w:lastRenderedPageBreak/>
        <w:t>ja asianomainen poliisiviranomainen sopivat yhteistoiminnassa</w:t>
      </w:r>
      <w:r w:rsidR="002A45C8">
        <w:t xml:space="preserve"> </w:t>
      </w:r>
      <w:r>
        <w:t>tehtävään liittyvistä kysymyksistä. Poliisilla on myös erityisestä syystä oikeus oma</w:t>
      </w:r>
      <w:r w:rsidR="002A45C8">
        <w:t>-</w:t>
      </w:r>
      <w:r>
        <w:t>aloitteisesti</w:t>
      </w:r>
      <w:r w:rsidR="002A45C8">
        <w:t xml:space="preserve"> </w:t>
      </w:r>
      <w:r>
        <w:t>ottaa 86 §:n 1 momentin mukainen rikosten enna</w:t>
      </w:r>
      <w:r w:rsidRPr="00B15512">
        <w:t>lta estämistä ja paljastamista koskeva</w:t>
      </w:r>
      <w:r w:rsidR="002A45C8" w:rsidRPr="00B15512">
        <w:t xml:space="preserve"> </w:t>
      </w:r>
      <w:r w:rsidRPr="00B15512">
        <w:t>asia tutkittavakseen.”</w:t>
      </w:r>
      <w:r w:rsidR="002A45C8" w:rsidRPr="00B15512">
        <w:t xml:space="preserve"> Sisäministeriö toteaa, että a</w:t>
      </w:r>
      <w:r w:rsidRPr="00B15512">
        <w:t>inakin momentin 2. virkkeen osalta osin jää epäselväksi, muuttaako uusi</w:t>
      </w:r>
      <w:r w:rsidR="002A45C8" w:rsidRPr="00B15512">
        <w:t xml:space="preserve"> </w:t>
      </w:r>
      <w:r w:rsidRPr="00B15512">
        <w:t>säännösehdotus kuitenkin nykytilaa.</w:t>
      </w:r>
    </w:p>
    <w:p w:rsidR="002A45C8" w:rsidRDefault="002A45C8" w:rsidP="00AF36A4">
      <w:pPr>
        <w:autoSpaceDE w:val="0"/>
        <w:autoSpaceDN w:val="0"/>
        <w:adjustRightInd w:val="0"/>
        <w:ind w:left="1300"/>
      </w:pPr>
    </w:p>
    <w:p w:rsidR="00AF36A4" w:rsidRDefault="002A45C8" w:rsidP="00AF36A4">
      <w:pPr>
        <w:autoSpaceDE w:val="0"/>
        <w:autoSpaceDN w:val="0"/>
        <w:adjustRightInd w:val="0"/>
        <w:ind w:left="1300"/>
      </w:pPr>
      <w:r>
        <w:t xml:space="preserve">Sisäministeriö </w:t>
      </w:r>
      <w:r w:rsidR="00AF36A4">
        <w:t>toteaa, että Rajavartiolaitoksen hallinnosta annetun lain 31 §:n mukaan</w:t>
      </w:r>
      <w:r>
        <w:t xml:space="preserve"> </w:t>
      </w:r>
      <w:r w:rsidR="00AF36A4">
        <w:t>Rajavartiolaitoksessa ei noudateta voimassa olevan sotilaskurinpidosta ja rikostorjunnasta</w:t>
      </w:r>
      <w:r>
        <w:t xml:space="preserve"> </w:t>
      </w:r>
      <w:r w:rsidR="00AF36A4">
        <w:t xml:space="preserve">Puolustusvoimissa annetun lain 39 </w:t>
      </w:r>
      <w:proofErr w:type="gramStart"/>
      <w:r w:rsidR="00AF36A4">
        <w:t>§:ää</w:t>
      </w:r>
      <w:proofErr w:type="gramEnd"/>
      <w:r w:rsidR="00AF36A4">
        <w:t xml:space="preserve"> eikä 90 §:</w:t>
      </w:r>
      <w:proofErr w:type="spellStart"/>
      <w:r w:rsidR="00AF36A4">
        <w:t>ää</w:t>
      </w:r>
      <w:proofErr w:type="spellEnd"/>
      <w:r w:rsidR="00AF36A4">
        <w:t>, eikä myöskään ehdotettua uutta 188 §:ää sovellettaisi</w:t>
      </w:r>
      <w:r>
        <w:t xml:space="preserve"> </w:t>
      </w:r>
      <w:r w:rsidR="00AF36A4">
        <w:t>Rajavartiolaitoksessa. Rajavartiolaitoksen osalta sen tutkittavaksi kuuluvan rikoksen estämisen</w:t>
      </w:r>
      <w:r>
        <w:t xml:space="preserve"> </w:t>
      </w:r>
      <w:r w:rsidR="00AF36A4">
        <w:t>ja selvittämisen siirtämisestä poliisille ja Tullille säädetään rikostorjunnasta Rajavartiolaitoksessa</w:t>
      </w:r>
      <w:r>
        <w:t xml:space="preserve"> </w:t>
      </w:r>
      <w:r w:rsidR="00AF36A4">
        <w:t>annetun lain (108/2018) 8 §:</w:t>
      </w:r>
      <w:proofErr w:type="spellStart"/>
      <w:r w:rsidR="00AF36A4">
        <w:t>ssä</w:t>
      </w:r>
      <w:proofErr w:type="spellEnd"/>
      <w:r w:rsidR="00AF36A4">
        <w:t>. Si</w:t>
      </w:r>
      <w:r w:rsidR="00FC67A8">
        <w:t xml:space="preserve">säministeriö </w:t>
      </w:r>
      <w:r w:rsidR="00AF36A4">
        <w:t>toteaa, että rikostorjunnasta</w:t>
      </w:r>
      <w:r>
        <w:t xml:space="preserve"> </w:t>
      </w:r>
      <w:r w:rsidR="00AF36A4">
        <w:t>Rajavartiolaitoksessa annetun lain 8 §:n 3 momenttia muutettaneen vastaamaan uuden sotilaskurinpidosta</w:t>
      </w:r>
      <w:r>
        <w:t xml:space="preserve"> </w:t>
      </w:r>
      <w:r w:rsidR="00AF36A4">
        <w:t>ja rikostorjunnasta Puolustusvoimissa annettavan lain 188 §:n sisältöä koskien laitoksen</w:t>
      </w:r>
      <w:r>
        <w:t xml:space="preserve"> </w:t>
      </w:r>
      <w:r w:rsidR="00AF36A4">
        <w:t>ylimpään johtoon kuuluvien mahdollisia rikosepäilyjä.</w:t>
      </w:r>
    </w:p>
    <w:p w:rsidR="0008129E" w:rsidRDefault="0008129E" w:rsidP="0008129E">
      <w:pPr>
        <w:autoSpaceDE w:val="0"/>
        <w:autoSpaceDN w:val="0"/>
        <w:adjustRightInd w:val="0"/>
      </w:pPr>
    </w:p>
    <w:p w:rsidR="0008129E" w:rsidRDefault="0008129E" w:rsidP="0008129E">
      <w:pPr>
        <w:autoSpaceDE w:val="0"/>
        <w:autoSpaceDN w:val="0"/>
        <w:adjustRightInd w:val="0"/>
      </w:pPr>
    </w:p>
    <w:p w:rsidR="0008129E" w:rsidRPr="0008129E" w:rsidRDefault="0008129E" w:rsidP="0008129E">
      <w:pPr>
        <w:autoSpaceDE w:val="0"/>
        <w:autoSpaceDN w:val="0"/>
        <w:adjustRightInd w:val="0"/>
        <w:rPr>
          <w:i/>
        </w:rPr>
      </w:pPr>
      <w:r w:rsidRPr="0008129E">
        <w:rPr>
          <w:i/>
        </w:rPr>
        <w:t>Pääesikunta</w:t>
      </w:r>
    </w:p>
    <w:p w:rsidR="0008129E" w:rsidRDefault="0008129E" w:rsidP="0008129E">
      <w:pPr>
        <w:autoSpaceDE w:val="0"/>
        <w:autoSpaceDN w:val="0"/>
        <w:adjustRightInd w:val="0"/>
      </w:pPr>
    </w:p>
    <w:p w:rsidR="0008129E" w:rsidRDefault="0008129E" w:rsidP="0008129E">
      <w:pPr>
        <w:autoSpaceDE w:val="0"/>
        <w:autoSpaceDN w:val="0"/>
        <w:adjustRightInd w:val="0"/>
        <w:ind w:left="1300"/>
      </w:pPr>
      <w:r>
        <w:t>Pääesikunta toteaa lausunnossaan, että säännöksen sisältö luonnoksen mukaisessa muodossaan ja laajuudessa on Pääesikunnan näkemyksen mukaan mahdollinen. Pääesikunnan kanta on otettu huomioon säädösvalmistelussa Pääesikunnan edustajien osallistuessa lainsäädäntötyöryhmän työhön.</w:t>
      </w:r>
    </w:p>
    <w:p w:rsidR="002C57E3" w:rsidRDefault="002C57E3" w:rsidP="002C57E3">
      <w:pPr>
        <w:autoSpaceDE w:val="0"/>
        <w:autoSpaceDN w:val="0"/>
        <w:adjustRightInd w:val="0"/>
      </w:pPr>
    </w:p>
    <w:p w:rsidR="002C57E3" w:rsidRPr="009869FC" w:rsidRDefault="009869FC" w:rsidP="002C57E3">
      <w:pPr>
        <w:autoSpaceDE w:val="0"/>
        <w:autoSpaceDN w:val="0"/>
        <w:adjustRightInd w:val="0"/>
        <w:rPr>
          <w:i/>
        </w:rPr>
      </w:pPr>
      <w:r w:rsidRPr="009869FC">
        <w:rPr>
          <w:i/>
        </w:rPr>
        <w:t>Syyttäjälaitos</w:t>
      </w:r>
    </w:p>
    <w:p w:rsidR="009869FC" w:rsidRDefault="009869FC" w:rsidP="002C57E3">
      <w:pPr>
        <w:autoSpaceDE w:val="0"/>
        <w:autoSpaceDN w:val="0"/>
        <w:adjustRightInd w:val="0"/>
      </w:pPr>
    </w:p>
    <w:p w:rsidR="009869FC" w:rsidRDefault="009869FC" w:rsidP="009869FC">
      <w:pPr>
        <w:autoSpaceDE w:val="0"/>
        <w:autoSpaceDN w:val="0"/>
        <w:adjustRightInd w:val="0"/>
        <w:ind w:left="1300"/>
      </w:pPr>
      <w:r>
        <w:t>Syyttäjälaitos pitää säännöksen muutosehdotusta kannatettavana. Säännöksen ehdotetuilla uusilla 2 ja 3 momenteilla lisätään luottamusta esitutkinnan puolueettomuuteen myös tilanteissa, joissa</w:t>
      </w:r>
    </w:p>
    <w:p w:rsidR="009869FC" w:rsidRDefault="009869FC" w:rsidP="009869FC">
      <w:pPr>
        <w:autoSpaceDE w:val="0"/>
        <w:autoSpaceDN w:val="0"/>
        <w:adjustRightInd w:val="0"/>
        <w:ind w:firstLine="1304"/>
      </w:pPr>
      <w:r>
        <w:t>rikosepäily kohdistuisi Puolustusvoimain ylimpiin virkamiehiin tai sotilastiedusteluviranomaisen</w:t>
      </w:r>
    </w:p>
    <w:p w:rsidR="009869FC" w:rsidRDefault="009869FC" w:rsidP="009869FC">
      <w:pPr>
        <w:autoSpaceDE w:val="0"/>
        <w:autoSpaceDN w:val="0"/>
        <w:adjustRightInd w:val="0"/>
        <w:ind w:firstLine="1304"/>
      </w:pPr>
      <w:r>
        <w:t>virkamiehiin.</w:t>
      </w:r>
    </w:p>
    <w:p w:rsidR="002C57E3" w:rsidRDefault="002C57E3" w:rsidP="002C57E3">
      <w:pPr>
        <w:autoSpaceDE w:val="0"/>
        <w:autoSpaceDN w:val="0"/>
        <w:adjustRightInd w:val="0"/>
      </w:pPr>
    </w:p>
    <w:p w:rsidR="00C53DDA" w:rsidRPr="00C53DDA" w:rsidRDefault="00C53DDA" w:rsidP="002C57E3">
      <w:pPr>
        <w:autoSpaceDE w:val="0"/>
        <w:autoSpaceDN w:val="0"/>
        <w:adjustRightInd w:val="0"/>
        <w:rPr>
          <w:i/>
        </w:rPr>
      </w:pPr>
      <w:r w:rsidRPr="00C53DDA">
        <w:rPr>
          <w:i/>
        </w:rPr>
        <w:t xml:space="preserve">Upseeriliitto ry. </w:t>
      </w:r>
    </w:p>
    <w:p w:rsidR="00C53DDA" w:rsidRDefault="00C53DDA" w:rsidP="002C57E3">
      <w:pPr>
        <w:autoSpaceDE w:val="0"/>
        <w:autoSpaceDN w:val="0"/>
        <w:adjustRightInd w:val="0"/>
      </w:pPr>
    </w:p>
    <w:p w:rsidR="00563CAC" w:rsidRDefault="00563CAC" w:rsidP="00563CAC">
      <w:pPr>
        <w:autoSpaceDE w:val="0"/>
        <w:autoSpaceDN w:val="0"/>
        <w:adjustRightInd w:val="0"/>
        <w:ind w:left="1300"/>
      </w:pPr>
      <w:r>
        <w:t>Lausunnon mukaan poliisin suorittamaan esitutkintaan voi olettaa liittyvän vähemmän objektiivisuuteen liittyvää riskiä verrattuna siihen, että esitutkinnan toimittaa Puolustusvoimien rikoksentorjuntaorganisaatio. Puolustusvoimat on hierarkkinen organisaatio, jossa aivan luontevista syistä on selkeät</w:t>
      </w:r>
    </w:p>
    <w:p w:rsidR="00563CAC" w:rsidRPr="00600B32" w:rsidRDefault="00563CAC" w:rsidP="00563CAC">
      <w:pPr>
        <w:autoSpaceDE w:val="0"/>
        <w:autoSpaceDN w:val="0"/>
        <w:adjustRightInd w:val="0"/>
        <w:ind w:left="1304"/>
      </w:pPr>
      <w:r>
        <w:t xml:space="preserve">käskyvaltasuhteet. </w:t>
      </w:r>
      <w:r w:rsidRPr="00600B32">
        <w:t>Käskyvaltasuhteeseen liittyy kuitenkin riski esitutkinnan puolueettomuuden</w:t>
      </w:r>
    </w:p>
    <w:p w:rsidR="00563CAC" w:rsidRPr="00600B32" w:rsidRDefault="00563CAC" w:rsidP="00563CAC">
      <w:pPr>
        <w:autoSpaceDE w:val="0"/>
        <w:autoSpaceDN w:val="0"/>
        <w:adjustRightInd w:val="0"/>
        <w:ind w:left="1304"/>
      </w:pPr>
      <w:r w:rsidRPr="00600B32">
        <w:t>näkökulmasta. Tätä riskiä vähentäisi merkittävästi se, että Puolustusvoimien virassa olevien epäillyt</w:t>
      </w:r>
    </w:p>
    <w:p w:rsidR="00563CAC" w:rsidRDefault="00563CAC" w:rsidP="00563CAC">
      <w:pPr>
        <w:autoSpaceDE w:val="0"/>
        <w:autoSpaceDN w:val="0"/>
        <w:adjustRightInd w:val="0"/>
        <w:ind w:left="1304"/>
      </w:pPr>
      <w:r w:rsidRPr="00600B32">
        <w:t>virka- ja sotilasrikokset tutkisi aina poliisi. Tulee tarkastella, olisiko esitetty sääntely sopusoinnussa Puolustusvoimien eri tehtävissä toimivien yhdenvertaisen kohtelun kanssa. Luonnoksessa esitetyt korkeimmissa sotilasarvoissa palvelevat ja sotilastiedustelua hoitavat virkamiehet saisivat lähtökohtaisesti objektiivisemman esitutkinnan verrattuna muihin Puolustusvoimissa palveleviin. Rajausta on perusteltu erityisesti sillä, että esitutkinnan laajempi siirtäminen poliisille lisäisi liikaa poliisin työtaakkaa. Perustelu on outo. Jos poliisille siirretään uusia tehtäviä, poliisin esitutkintatehtävissä toimivien virkamiesten määrää pitää lisätä. Kysymys on työnjaosta. On vaarallista, jos syntyy käsitys, jonka mukaan joidenkin epäillyt rikokset tutkittaisiin pelkästään korkean aseman takia objektiivisemmin kuin toisten epäillyt rikokset. Rajaus on outo myös sikäli, että pakollinen esitutkinnan siirto ei koskisi niitä pääesikunnan virkamiehiä, jotka vastaavat rikoksentorjuntatehtävistä Puolustusvoimissa, eli pääesikunnan oikeudellisen osaston virkamiehiä. Jos heihin kohdistuu rikosepäily, esitutkinnan objektiivisuuden voisi olettaa erityisesti vaativan esitutkinnan siirtämistä poliisille.</w:t>
      </w:r>
    </w:p>
    <w:p w:rsidR="00563CAC" w:rsidRDefault="00563CAC" w:rsidP="00563CAC">
      <w:pPr>
        <w:autoSpaceDE w:val="0"/>
        <w:autoSpaceDN w:val="0"/>
        <w:adjustRightInd w:val="0"/>
        <w:ind w:left="1304"/>
      </w:pPr>
    </w:p>
    <w:p w:rsidR="00563CAC" w:rsidRDefault="00563CAC" w:rsidP="00563CAC">
      <w:pPr>
        <w:autoSpaceDE w:val="0"/>
        <w:autoSpaceDN w:val="0"/>
        <w:adjustRightInd w:val="0"/>
        <w:ind w:left="1304"/>
      </w:pPr>
      <w:r>
        <w:t>Jos esitutkinnan objektiivisuutta tavoitellaan, niin luontevinta olisi siirtää esitutkinta kaikissa</w:t>
      </w:r>
    </w:p>
    <w:p w:rsidR="00563CAC" w:rsidRDefault="00563CAC" w:rsidP="00563CAC">
      <w:pPr>
        <w:autoSpaceDE w:val="0"/>
        <w:autoSpaceDN w:val="0"/>
        <w:adjustRightInd w:val="0"/>
        <w:ind w:left="1304"/>
      </w:pPr>
      <w:r>
        <w:t>Puolustusvoimien viroissa toimivien sotilasrikosasioissa poliisin tehtäväksi, lukuun ottamatta</w:t>
      </w:r>
    </w:p>
    <w:p w:rsidR="00563CAC" w:rsidRDefault="00563CAC" w:rsidP="00563CAC">
      <w:pPr>
        <w:autoSpaceDE w:val="0"/>
        <w:autoSpaceDN w:val="0"/>
        <w:adjustRightInd w:val="0"/>
        <w:ind w:left="1304"/>
      </w:pPr>
      <w:r>
        <w:t>kurinpitoasioita ja varusmiesten epäiltyjä sotilasrikoksia.</w:t>
      </w:r>
    </w:p>
    <w:p w:rsidR="00563CAC" w:rsidRDefault="00563CAC" w:rsidP="00563CAC">
      <w:pPr>
        <w:autoSpaceDE w:val="0"/>
        <w:autoSpaceDN w:val="0"/>
        <w:adjustRightInd w:val="0"/>
        <w:ind w:left="1304"/>
      </w:pPr>
    </w:p>
    <w:p w:rsidR="00563CAC" w:rsidRDefault="00563CAC" w:rsidP="00563CAC">
      <w:pPr>
        <w:autoSpaceDE w:val="0"/>
        <w:autoSpaceDN w:val="0"/>
        <w:adjustRightInd w:val="0"/>
        <w:ind w:left="1304"/>
      </w:pPr>
      <w:r>
        <w:lastRenderedPageBreak/>
        <w:t>Upseeriliitto toteaa, että kysymyksiä herättää viitatun pykälän 2 ja 3 momenttien tarpeellisuus ylipäätään. Kenraalit ja amiraalit eivät ole olleet rikoksesta epäiltyinä kuin muutamassa rikostapauksessa</w:t>
      </w:r>
    </w:p>
    <w:p w:rsidR="00563CAC" w:rsidRDefault="00563CAC" w:rsidP="00563CAC">
      <w:pPr>
        <w:autoSpaceDE w:val="0"/>
        <w:autoSpaceDN w:val="0"/>
        <w:adjustRightInd w:val="0"/>
        <w:ind w:left="1304"/>
      </w:pPr>
      <w:r>
        <w:t>vuosikymmenenkään aikajanalla. Tiedustelutehtävissä toimiviinkin virkamiehiin kohdistuvat rikosepäilyt ovat olleet yksittäistapauksia. Voisi ajatella, että luonnoksessa esitetyn pykälän 1 momentin sääntely olisi riittävää: esitutkinta pitäisi siirtää poliisille aina, kun tutkinnan puolueettomuus ja rikoksen vakavuus sitä edellyttää. Tältä osin esitetty sääntely vastaisi voimassa olevaa sääntelyä (laki sotilaskurinpidosta ja rikostorjunnasta puolustusvoimissa, 39 §). Samalla (uudessa säädettävässä laissa) voisi kuitenkin säätää, että syyttäjä toimisi esitutkinnan johtajana ainakin poliisin tutkittaviksi siirretyissä rikosasioissa. Jos tutkinnan puolueettomuus ja rikoksen vakavuus edellyttäisi esitutkinnan siirtämistä poliisin toimitettavaksi, olisi luontevaa turvata esitutkinnan puolueettomuus, asiantuntevuus ja oikeusturvan toteutuminen myös siten, että esitutkintaa johtaisi syyttäjä.</w:t>
      </w:r>
    </w:p>
    <w:p w:rsidR="00563CAC" w:rsidRDefault="00563CAC" w:rsidP="00563CAC">
      <w:pPr>
        <w:autoSpaceDE w:val="0"/>
        <w:autoSpaceDN w:val="0"/>
        <w:adjustRightInd w:val="0"/>
        <w:ind w:left="1304"/>
      </w:pPr>
    </w:p>
    <w:p w:rsidR="00563CAC" w:rsidRDefault="00563CAC" w:rsidP="00563CAC">
      <w:pPr>
        <w:autoSpaceDE w:val="0"/>
        <w:autoSpaceDN w:val="0"/>
        <w:adjustRightInd w:val="0"/>
        <w:ind w:left="1304"/>
      </w:pPr>
      <w:r>
        <w:t>Näin rajattu esitutkinnan johtajuus ei rasittaisi sanottavasti syyttäjiä, koska edellä todetun</w:t>
      </w:r>
      <w:r w:rsidR="004373E9">
        <w:t xml:space="preserve"> </w:t>
      </w:r>
      <w:r>
        <w:t>mukaisesti ainakin luonnoksen 2 ja 3 momentissa tarkoitettuihin virkamiehiin kohdistuvia</w:t>
      </w:r>
      <w:r w:rsidR="004373E9">
        <w:t xml:space="preserve"> </w:t>
      </w:r>
      <w:r>
        <w:t>rikosepäilyjä on ollut hyvin vähän, eikä ole perusteltua aihetta olettaa niiden määrän jatkossakaan</w:t>
      </w:r>
      <w:r w:rsidR="004373E9">
        <w:t xml:space="preserve"> </w:t>
      </w:r>
      <w:r>
        <w:t>lisääntyvän.</w:t>
      </w:r>
    </w:p>
    <w:p w:rsidR="00563CAC" w:rsidRDefault="00563CAC" w:rsidP="00563CAC">
      <w:pPr>
        <w:autoSpaceDE w:val="0"/>
        <w:autoSpaceDN w:val="0"/>
        <w:adjustRightInd w:val="0"/>
        <w:ind w:left="1304"/>
      </w:pPr>
    </w:p>
    <w:p w:rsidR="00563CAC" w:rsidRDefault="00563CAC" w:rsidP="00563CAC">
      <w:pPr>
        <w:autoSpaceDE w:val="0"/>
        <w:autoSpaceDN w:val="0"/>
        <w:adjustRightInd w:val="0"/>
        <w:ind w:left="1304"/>
      </w:pPr>
      <w:r>
        <w:t>Toimiva ratkaisu voisi</w:t>
      </w:r>
      <w:r w:rsidR="004373E9">
        <w:t xml:space="preserve"> Upseeriliiton mukaan</w:t>
      </w:r>
      <w:r>
        <w:t xml:space="preserve"> olla edellä esitetyn mukaisesti se, että Puolustusvoimien virassa tehdyiksi</w:t>
      </w:r>
      <w:r w:rsidR="004373E9">
        <w:t xml:space="preserve"> </w:t>
      </w:r>
      <w:r>
        <w:t>epäillyt rikokset tutkisi aina poliisi ja tutkinnanjohtajana näissä jutuissa olisi aina syyttäjä.</w:t>
      </w:r>
      <w:r w:rsidR="004373E9">
        <w:t xml:space="preserve"> Upseeriliitto korostaa</w:t>
      </w:r>
      <w:r>
        <w:t>, että tässäkin mallissa varusmiesten epäillyt sotilasrikokset tutkisi</w:t>
      </w:r>
      <w:r w:rsidR="004373E9">
        <w:t xml:space="preserve"> </w:t>
      </w:r>
      <w:r>
        <w:t>Puolustusvoimat, eikä syyttäjä olisi niissä jutuissa tutkinnanjohtajana.</w:t>
      </w:r>
    </w:p>
    <w:p w:rsidR="00563CAC" w:rsidRDefault="00563CAC" w:rsidP="00563CAC">
      <w:pPr>
        <w:autoSpaceDE w:val="0"/>
        <w:autoSpaceDN w:val="0"/>
        <w:adjustRightInd w:val="0"/>
        <w:ind w:left="1304"/>
      </w:pPr>
    </w:p>
    <w:p w:rsidR="00C53DDA" w:rsidRDefault="00563CAC" w:rsidP="00563CAC">
      <w:pPr>
        <w:autoSpaceDE w:val="0"/>
        <w:autoSpaceDN w:val="0"/>
        <w:adjustRightInd w:val="0"/>
        <w:ind w:left="1304"/>
      </w:pPr>
      <w:r>
        <w:t xml:space="preserve">Lopuksi </w:t>
      </w:r>
      <w:r w:rsidR="004373E9">
        <w:t xml:space="preserve">Upseeriliitto korostaa myös </w:t>
      </w:r>
      <w:r>
        <w:t>esteellisyys- ja puolueettomuusnäkökulmaa. On huolehdittava siitä, että</w:t>
      </w:r>
      <w:r w:rsidR="004373E9">
        <w:t xml:space="preserve"> </w:t>
      </w:r>
      <w:r>
        <w:t>toiminnassa itse mukana ollut virkamies ei ole päättämässä tutkinnasta ja sen järjestelyistä. Nyt</w:t>
      </w:r>
      <w:r w:rsidR="004373E9">
        <w:t xml:space="preserve"> </w:t>
      </w:r>
      <w:r>
        <w:t>esitetty muutos ei ole omiaan edistämään oikeudenhoidon yhdenmukaisuutta Puolustusvoimissa.</w:t>
      </w:r>
    </w:p>
    <w:p w:rsidR="008E4C3F" w:rsidRDefault="008E4C3F" w:rsidP="008E4C3F">
      <w:pPr>
        <w:autoSpaceDE w:val="0"/>
        <w:autoSpaceDN w:val="0"/>
        <w:adjustRightInd w:val="0"/>
      </w:pPr>
    </w:p>
    <w:p w:rsidR="008E4C3F" w:rsidRPr="008E4C3F" w:rsidRDefault="008E4C3F" w:rsidP="008E4C3F">
      <w:pPr>
        <w:autoSpaceDE w:val="0"/>
        <w:autoSpaceDN w:val="0"/>
        <w:adjustRightInd w:val="0"/>
        <w:rPr>
          <w:i/>
        </w:rPr>
      </w:pPr>
      <w:r w:rsidRPr="008E4C3F">
        <w:rPr>
          <w:i/>
        </w:rPr>
        <w:t>Poliisihallitus</w:t>
      </w:r>
    </w:p>
    <w:p w:rsidR="008E4C3F" w:rsidRDefault="008E4C3F" w:rsidP="008E4C3F">
      <w:pPr>
        <w:autoSpaceDE w:val="0"/>
        <w:autoSpaceDN w:val="0"/>
        <w:adjustRightInd w:val="0"/>
      </w:pPr>
    </w:p>
    <w:p w:rsidR="008E4C3F" w:rsidRDefault="008E4C3F" w:rsidP="008E4C3F">
      <w:pPr>
        <w:autoSpaceDE w:val="0"/>
        <w:autoSpaceDN w:val="0"/>
        <w:adjustRightInd w:val="0"/>
        <w:ind w:left="1300"/>
      </w:pPr>
      <w:r>
        <w:t xml:space="preserve">Poliisihallitus kannattaa pykäläluonnoksen muutosehdotusta. Esitutkintaviranomaisten toiminnan luotettavuuden ylläpitämiseksi on tärkeää, että sen toimintaan kohdentuvat rikosepäilyt käsitellään asianmukaisesti. Poliisin osalta on juuri tutkinnan puolueettomuuden turvaamiseksi katsottu, että siihen kohdistuvissa rikosepäilyissä syyttäjä toimii tutkintaa johtavana tahona eikä tutkintaa johda poliisi, jonka toimintaan epäily kohdistuu. </w:t>
      </w:r>
    </w:p>
    <w:p w:rsidR="008E4C3F" w:rsidRDefault="008E4C3F" w:rsidP="008E4C3F">
      <w:pPr>
        <w:autoSpaceDE w:val="0"/>
        <w:autoSpaceDN w:val="0"/>
        <w:adjustRightInd w:val="0"/>
        <w:ind w:left="1300"/>
      </w:pPr>
    </w:p>
    <w:p w:rsidR="008E4C3F" w:rsidRDefault="008E4C3F" w:rsidP="008E4C3F">
      <w:pPr>
        <w:autoSpaceDE w:val="0"/>
        <w:autoSpaceDN w:val="0"/>
        <w:adjustRightInd w:val="0"/>
        <w:ind w:left="1300"/>
      </w:pPr>
      <w:r>
        <w:t xml:space="preserve">Käsiteltävässä esityksessä rikosepäilyjen </w:t>
      </w:r>
      <w:r w:rsidRPr="00600B32">
        <w:t>tutkinta ehdotetaan edelleen järjestettäväksi tästä poikkeavalla tavalla eli rikosepäilyt tutkittaisiin lähtökohtaisesti saman viranomaisen toimesta kuin johon rikosepäily kahdentuu, perusteena poliisin puutteelliset resurssit. Poliisihallitus katsoo, että mikäli esitutkintaviranomaisten kesken pidetään perusteltuna rikosepäilyjen käsittelyä eri tavoin, tulisi erilaiseen toimintaan johtavien perusteiden käydä selkeästi ilmi esityksestä.</w:t>
      </w:r>
      <w:r>
        <w:t xml:space="preserve"> </w:t>
      </w:r>
    </w:p>
    <w:p w:rsidR="008E4C3F" w:rsidRDefault="008E4C3F" w:rsidP="008E4C3F">
      <w:pPr>
        <w:autoSpaceDE w:val="0"/>
        <w:autoSpaceDN w:val="0"/>
        <w:adjustRightInd w:val="0"/>
        <w:ind w:left="1300"/>
      </w:pPr>
    </w:p>
    <w:p w:rsidR="008E4C3F" w:rsidRDefault="008E4C3F" w:rsidP="008E4C3F">
      <w:pPr>
        <w:autoSpaceDE w:val="0"/>
        <w:autoSpaceDN w:val="0"/>
        <w:adjustRightInd w:val="0"/>
        <w:ind w:left="1300" w:firstLine="4"/>
      </w:pPr>
      <w:r>
        <w:t>Poliisihallitus pitää hyvänä sitä, että esityksessä on laaja esitutkinnan siirtomahdollisuus poliisille tapauskohtaisen harkinnan perusteella. Se on puolueettomuusnäkökulmaa tukeva menettely ja tällöin siirtomahdollisuus on olemassa myös esimerkiksi rikostutkintaa suorittavien Puolustusvoimien henkilöstön osalta, ilman tyhjentävän luettelon laadintaa lainsäädäntöön.</w:t>
      </w:r>
    </w:p>
    <w:p w:rsidR="008E4C3F" w:rsidRDefault="008E4C3F" w:rsidP="008E4C3F">
      <w:pPr>
        <w:autoSpaceDE w:val="0"/>
        <w:autoSpaceDN w:val="0"/>
        <w:adjustRightInd w:val="0"/>
        <w:ind w:left="1300" w:firstLine="4"/>
      </w:pPr>
    </w:p>
    <w:p w:rsidR="0056313F" w:rsidRDefault="00CE79F4" w:rsidP="002C57E3">
      <w:pPr>
        <w:autoSpaceDE w:val="0"/>
        <w:autoSpaceDN w:val="0"/>
        <w:adjustRightInd w:val="0"/>
        <w:rPr>
          <w:i/>
        </w:rPr>
      </w:pPr>
      <w:r>
        <w:rPr>
          <w:i/>
        </w:rPr>
        <w:t>Keskusrikospoliisi</w:t>
      </w:r>
    </w:p>
    <w:p w:rsidR="0056313F" w:rsidRDefault="0056313F" w:rsidP="002C57E3">
      <w:pPr>
        <w:autoSpaceDE w:val="0"/>
        <w:autoSpaceDN w:val="0"/>
        <w:adjustRightInd w:val="0"/>
        <w:rPr>
          <w:i/>
        </w:rPr>
      </w:pPr>
    </w:p>
    <w:p w:rsidR="0056313F" w:rsidRDefault="0056313F" w:rsidP="00AA4990">
      <w:pPr>
        <w:autoSpaceDE w:val="0"/>
        <w:autoSpaceDN w:val="0"/>
        <w:adjustRightInd w:val="0"/>
        <w:ind w:left="1304"/>
      </w:pPr>
      <w:r w:rsidRPr="00AA4990">
        <w:t xml:space="preserve">Keskusrikospoliisi kannattaa </w:t>
      </w:r>
      <w:r w:rsidR="00AA4990">
        <w:t xml:space="preserve">lausunnossaan </w:t>
      </w:r>
      <w:r w:rsidRPr="00AA4990">
        <w:t>esitettyä ehdotusta. Pykälässä vahvistettaisiin lain tasolla nykyinen käytäntö, jonka mukaan po</w:t>
      </w:r>
      <w:r w:rsidR="00AA4990">
        <w:t>liisi suorittaa rikoksen esitutk</w:t>
      </w:r>
      <w:r w:rsidRPr="00AA4990">
        <w:t>innan, mikäli rikoksesta epäilty on pykälässä mainittuun virkaan nimitetty virkamies. Myös tiedustelumenetelmien käyt</w:t>
      </w:r>
      <w:r w:rsidR="00AA4990">
        <w:t>ön yhteydessä tai sotilastiedus</w:t>
      </w:r>
      <w:r w:rsidRPr="00AA4990">
        <w:t>telutehtävän suorittamisen yhteydessä tehdyn</w:t>
      </w:r>
      <w:r w:rsidR="00AA4990">
        <w:t xml:space="preserve"> epäillyn rikoksen kohdalla voi</w:t>
      </w:r>
      <w:r w:rsidRPr="00AA4990">
        <w:t>daan pitää perusteltuna, että poliisi suorittaa sotilastiedusteluviranomaisen virkamiehen epäillyn rikoksen esitutkinnan.</w:t>
      </w:r>
    </w:p>
    <w:p w:rsidR="00AA4990" w:rsidRPr="00AA4990" w:rsidRDefault="00AA4990" w:rsidP="00AA4990">
      <w:pPr>
        <w:autoSpaceDE w:val="0"/>
        <w:autoSpaceDN w:val="0"/>
        <w:adjustRightInd w:val="0"/>
        <w:ind w:left="1304"/>
      </w:pPr>
    </w:p>
    <w:p w:rsidR="0056313F" w:rsidRDefault="0056313F" w:rsidP="00AA4990">
      <w:pPr>
        <w:autoSpaceDE w:val="0"/>
        <w:autoSpaceDN w:val="0"/>
        <w:adjustRightInd w:val="0"/>
        <w:ind w:left="1304"/>
      </w:pPr>
      <w:r w:rsidRPr="00AA4990">
        <w:t xml:space="preserve">Keskusrikospoliisi toteaa, että vakavimmat </w:t>
      </w:r>
      <w:r w:rsidR="00AA4990">
        <w:t>ja yhteiskunnallisesti merkittäv</w:t>
      </w:r>
      <w:r w:rsidRPr="00AA4990">
        <w:t>immät sotilasrikokset kuuluvat lähtökohtaises</w:t>
      </w:r>
      <w:r w:rsidR="00AA4990">
        <w:t>ti Keskusrikospoliisin tutkinta</w:t>
      </w:r>
      <w:r w:rsidRPr="00AA4990">
        <w:t>vastuulle. Esimerkiksi tapaukset, joissa rikokses</w:t>
      </w:r>
      <w:r w:rsidR="00AA4990">
        <w:t xml:space="preserve">ta </w:t>
      </w:r>
      <w:r w:rsidR="00AA4990">
        <w:lastRenderedPageBreak/>
        <w:t>epäilty on korkea-arvoi</w:t>
      </w:r>
      <w:r w:rsidRPr="00AA4990">
        <w:t>nen Puolustusvoimien virkamies, tutkitaan vallitsevan käytännön mukaan lähtökohtaisesti Keskusrikospoliisissa.</w:t>
      </w:r>
    </w:p>
    <w:p w:rsidR="00D45735" w:rsidRDefault="00D45735" w:rsidP="00AA4990">
      <w:pPr>
        <w:autoSpaceDE w:val="0"/>
        <w:autoSpaceDN w:val="0"/>
        <w:adjustRightInd w:val="0"/>
        <w:ind w:left="1304"/>
      </w:pPr>
    </w:p>
    <w:p w:rsidR="00D45735" w:rsidRDefault="00D45735" w:rsidP="00D45735">
      <w:pPr>
        <w:autoSpaceDE w:val="0"/>
        <w:autoSpaceDN w:val="0"/>
        <w:adjustRightInd w:val="0"/>
      </w:pPr>
    </w:p>
    <w:p w:rsidR="00D45735" w:rsidRPr="00D45735" w:rsidRDefault="00D45735" w:rsidP="00D45735">
      <w:pPr>
        <w:autoSpaceDE w:val="0"/>
        <w:autoSpaceDN w:val="0"/>
        <w:adjustRightInd w:val="0"/>
        <w:rPr>
          <w:i/>
        </w:rPr>
      </w:pPr>
      <w:r w:rsidRPr="00D45735">
        <w:rPr>
          <w:i/>
        </w:rPr>
        <w:t>Aliupseeriliitto ry.</w:t>
      </w:r>
    </w:p>
    <w:p w:rsidR="00D45735" w:rsidRDefault="00D45735" w:rsidP="00D45735">
      <w:pPr>
        <w:autoSpaceDE w:val="0"/>
        <w:autoSpaceDN w:val="0"/>
        <w:adjustRightInd w:val="0"/>
      </w:pPr>
    </w:p>
    <w:p w:rsidR="00D45735" w:rsidRDefault="00D45735" w:rsidP="00D45735">
      <w:pPr>
        <w:autoSpaceDE w:val="0"/>
        <w:autoSpaceDN w:val="0"/>
        <w:adjustRightInd w:val="0"/>
        <w:ind w:left="1300"/>
      </w:pPr>
      <w:r>
        <w:t>Lausunnon mukaan poliisin suorittamana esitutkinta Puolustusvoimien oman rikostorjuntaorganisaation suorittaman esitutkinnan sijaan oletettavasti vähentää objektiivisuuteen liittyvää riskiä tutkinnassa.</w:t>
      </w:r>
    </w:p>
    <w:p w:rsidR="00D45735" w:rsidRDefault="00D45735" w:rsidP="00D45735">
      <w:pPr>
        <w:autoSpaceDE w:val="0"/>
        <w:autoSpaceDN w:val="0"/>
        <w:adjustRightInd w:val="0"/>
        <w:ind w:left="1300"/>
      </w:pPr>
      <w:r>
        <w:t xml:space="preserve">Puolustusvoimien organisaatiokulttuurin ominaispiirteenä on hierarkkisuus, joka voi heijastua esitutkinnan toteuttamiseen. Virka- ja sotilasrikoksiin liittyvän esitutkinnan tulisi myös tästä näkökulmasta suorittaa poliisiviranomainen. </w:t>
      </w:r>
    </w:p>
    <w:p w:rsidR="00D45735" w:rsidRDefault="00D45735" w:rsidP="00D45735">
      <w:pPr>
        <w:autoSpaceDE w:val="0"/>
        <w:autoSpaceDN w:val="0"/>
        <w:adjustRightInd w:val="0"/>
        <w:ind w:left="1300"/>
      </w:pPr>
    </w:p>
    <w:p w:rsidR="00D45735" w:rsidRPr="00600B32" w:rsidRDefault="00D45735" w:rsidP="00D45735">
      <w:pPr>
        <w:autoSpaceDE w:val="0"/>
        <w:autoSpaceDN w:val="0"/>
        <w:adjustRightInd w:val="0"/>
        <w:ind w:left="1300"/>
      </w:pPr>
      <w:bookmarkStart w:id="0" w:name="_GoBack"/>
      <w:bookmarkEnd w:id="0"/>
      <w:r w:rsidRPr="00600B32">
        <w:t>Lausunnon mukaan Puolustusvoimien henkilöstöä ei tulisi asettaa myöskään eriarvoiseen asemaan</w:t>
      </w:r>
    </w:p>
    <w:p w:rsidR="00D45735" w:rsidRPr="00600B32" w:rsidRDefault="00D45735" w:rsidP="00D45735">
      <w:pPr>
        <w:autoSpaceDE w:val="0"/>
        <w:autoSpaceDN w:val="0"/>
        <w:adjustRightInd w:val="0"/>
        <w:ind w:left="1300"/>
      </w:pPr>
      <w:r w:rsidRPr="00600B32">
        <w:t>esitutkintaprosessissa, kuten säännös luonnoksessa nyt on esitetty. Korkeimmissa sotilasarvoissa ja</w:t>
      </w:r>
    </w:p>
    <w:p w:rsidR="00D45735" w:rsidRPr="00600B32" w:rsidRDefault="00D45735" w:rsidP="00D45735">
      <w:pPr>
        <w:autoSpaceDE w:val="0"/>
        <w:autoSpaceDN w:val="0"/>
        <w:adjustRightInd w:val="0"/>
        <w:ind w:left="1300"/>
      </w:pPr>
      <w:r w:rsidRPr="00600B32">
        <w:t>sotilastiedustelun tehtävissä toimivat saisivat esityksen kautta muuta henkilöstöä objektiivisemman</w:t>
      </w:r>
    </w:p>
    <w:p w:rsidR="00D45735" w:rsidRDefault="00D45735" w:rsidP="00D45735">
      <w:pPr>
        <w:autoSpaceDE w:val="0"/>
        <w:autoSpaceDN w:val="0"/>
        <w:adjustRightInd w:val="0"/>
        <w:ind w:left="1300"/>
      </w:pPr>
      <w:r w:rsidRPr="00600B32">
        <w:t>esitutkintakäytännön automaattisesti. Esitutkinnan</w:t>
      </w:r>
      <w:r>
        <w:t xml:space="preserve"> objektiivisuutta tulee lisätä ja henkilöstöä kohdella yhdenvertaisesti esitutkintaprosessissa. Poliisin suorittama esitutkinta kaikkien Puolustusvoimien virkojen osalta sotilasrikosasioissa olisi luonteva toimintamalli edistämään tätä.</w:t>
      </w:r>
    </w:p>
    <w:p w:rsidR="00D45735" w:rsidRDefault="00D45735" w:rsidP="00D45735">
      <w:pPr>
        <w:autoSpaceDE w:val="0"/>
        <w:autoSpaceDN w:val="0"/>
        <w:adjustRightInd w:val="0"/>
        <w:ind w:left="1300"/>
      </w:pPr>
    </w:p>
    <w:p w:rsidR="00D45735" w:rsidRDefault="00D45735" w:rsidP="00D45735">
      <w:pPr>
        <w:autoSpaceDE w:val="0"/>
        <w:autoSpaceDN w:val="0"/>
        <w:adjustRightInd w:val="0"/>
        <w:ind w:left="1300"/>
      </w:pPr>
      <w:r>
        <w:t>Luonnoksen 188 §:n 1 ja 4 momentti ohjaavat esitutkinnan siirtämistä poliisille ja ovat sellaisenaan toimivia. Pykälän 2 ja 3 momentin tarkennukset ohjaavat tiettyjen ryhmien osalta esitutkintavastuun suoraan poliisille. Momenttien 2 ja 3 tarpeellisuutta tulee tarkastella kriittisesti. Esitutkinta tulisi siirtää poliisille aina, kun tutkinnan puolueettomuus ja rikoksen vakavuus sitä edellyttää.</w:t>
      </w:r>
      <w:r>
        <w:cr/>
      </w:r>
    </w:p>
    <w:p w:rsidR="00CE79F4" w:rsidRDefault="00CE79F4" w:rsidP="00CE79F4">
      <w:pPr>
        <w:autoSpaceDE w:val="0"/>
        <w:autoSpaceDN w:val="0"/>
        <w:adjustRightInd w:val="0"/>
      </w:pPr>
    </w:p>
    <w:p w:rsidR="00CE79F4" w:rsidRPr="00CE79F4" w:rsidRDefault="00CE79F4" w:rsidP="00CE79F4">
      <w:pPr>
        <w:autoSpaceDE w:val="0"/>
        <w:autoSpaceDN w:val="0"/>
        <w:adjustRightInd w:val="0"/>
        <w:rPr>
          <w:i/>
        </w:rPr>
      </w:pPr>
      <w:r w:rsidRPr="00CE79F4">
        <w:rPr>
          <w:i/>
        </w:rPr>
        <w:t>Reserviläisliitto ry.</w:t>
      </w:r>
    </w:p>
    <w:p w:rsidR="00CE79F4" w:rsidRDefault="00CE79F4" w:rsidP="00CE79F4">
      <w:pPr>
        <w:autoSpaceDE w:val="0"/>
        <w:autoSpaceDN w:val="0"/>
        <w:adjustRightInd w:val="0"/>
      </w:pPr>
    </w:p>
    <w:p w:rsidR="00ED6575" w:rsidRDefault="00ED6575" w:rsidP="00ED6575">
      <w:pPr>
        <w:autoSpaceDE w:val="0"/>
        <w:autoSpaceDN w:val="0"/>
        <w:adjustRightInd w:val="0"/>
        <w:ind w:left="1300"/>
      </w:pPr>
      <w:r>
        <w:t>Reserviläisliitto kannattaa esitystä siitä, että poliisin ja puolustusvoimien välillä on mahdollisimman</w:t>
      </w:r>
    </w:p>
    <w:p w:rsidR="00CE79F4" w:rsidRDefault="00ED6575" w:rsidP="00ED6575">
      <w:pPr>
        <w:autoSpaceDE w:val="0"/>
        <w:autoSpaceDN w:val="0"/>
        <w:adjustRightInd w:val="0"/>
        <w:ind w:left="1300"/>
      </w:pPr>
      <w:r>
        <w:t xml:space="preserve">vähän rajoittavia tekijöitä rikoksen torjunnassa ja tutkinnassa. </w:t>
      </w:r>
      <w:r w:rsidR="00CE79F4">
        <w:t>Reserviläisliiton näkemyksen mukaan on tärkeää, että Puolustusvoimien ylimpien virkamiesten osalta mahdollistetaa</w:t>
      </w:r>
      <w:r w:rsidR="00F238B7">
        <w:t xml:space="preserve">n </w:t>
      </w:r>
      <w:r w:rsidR="00CE79F4">
        <w:t>puolueeton esitutkinta, mikäli rikoksen vakavuus sitä edellyttää. Samaten tilanne koskee sotilastiedusteluviranomaista, mikäli epäilty rikos on tapahtunut sotilastiedustelusta annetun lain (590/2019) 4 luvussa tarkoitettujen tiedustelumenetelmien käytön yhteydessä tai sotilastiedustelutehtävän suorittamisen yhteydessä. Momentti ei koske sotilastiedusteluviranomaisen siviilivirkamiesten epäiltyjä rikoksia ja tämä on Reserviläisliiton mukaan perusteltua.</w:t>
      </w:r>
    </w:p>
    <w:p w:rsidR="008737DE" w:rsidRDefault="008737DE" w:rsidP="008737DE">
      <w:pPr>
        <w:autoSpaceDE w:val="0"/>
        <w:autoSpaceDN w:val="0"/>
        <w:adjustRightInd w:val="0"/>
      </w:pPr>
    </w:p>
    <w:p w:rsidR="008737DE" w:rsidRPr="008737DE" w:rsidRDefault="008737DE" w:rsidP="008737DE">
      <w:pPr>
        <w:autoSpaceDE w:val="0"/>
        <w:autoSpaceDN w:val="0"/>
        <w:adjustRightInd w:val="0"/>
        <w:rPr>
          <w:i/>
        </w:rPr>
      </w:pPr>
      <w:proofErr w:type="spellStart"/>
      <w:r w:rsidRPr="008737DE">
        <w:rPr>
          <w:i/>
        </w:rPr>
        <w:t>Civix</w:t>
      </w:r>
      <w:proofErr w:type="spellEnd"/>
      <w:r w:rsidRPr="008737DE">
        <w:rPr>
          <w:i/>
        </w:rPr>
        <w:t xml:space="preserve"> ry. </w:t>
      </w:r>
    </w:p>
    <w:p w:rsidR="008737DE" w:rsidRDefault="008737DE" w:rsidP="008737DE">
      <w:pPr>
        <w:autoSpaceDE w:val="0"/>
        <w:autoSpaceDN w:val="0"/>
        <w:adjustRightInd w:val="0"/>
      </w:pPr>
      <w:r>
        <w:tab/>
      </w:r>
    </w:p>
    <w:p w:rsidR="008737DE" w:rsidRDefault="00615D41" w:rsidP="00BC5F0A">
      <w:pPr>
        <w:autoSpaceDE w:val="0"/>
        <w:autoSpaceDN w:val="0"/>
        <w:adjustRightInd w:val="0"/>
        <w:ind w:left="1304"/>
      </w:pPr>
      <w:proofErr w:type="spellStart"/>
      <w:r>
        <w:t>Civix</w:t>
      </w:r>
      <w:proofErr w:type="spellEnd"/>
      <w:r>
        <w:t xml:space="preserve"> </w:t>
      </w:r>
      <w:proofErr w:type="spellStart"/>
      <w:r>
        <w:t>ry.:n</w:t>
      </w:r>
      <w:proofErr w:type="spellEnd"/>
      <w:r>
        <w:t xml:space="preserve"> lausunnossa on kaksi ohjaavaa teemaa. Ensimmäinen on kansalaisen turvallisuuden per</w:t>
      </w:r>
      <w:r w:rsidR="00BC5F0A">
        <w:t xml:space="preserve">spektiivi, joka lausunnon mukaan </w:t>
      </w:r>
      <w:r>
        <w:t>liittyy olennaisesti</w:t>
      </w:r>
      <w:r w:rsidR="00BC5F0A">
        <w:t xml:space="preserve"> </w:t>
      </w:r>
      <w:r>
        <w:t xml:space="preserve">suojeluvelvoitteen, oikeussuojakeinojen sekä perustuslaillisten oikeuksien (erityisesti EIS </w:t>
      </w:r>
      <w:proofErr w:type="spellStart"/>
      <w:r>
        <w:t>art</w:t>
      </w:r>
      <w:proofErr w:type="spellEnd"/>
      <w:r>
        <w:t xml:space="preserve"> 1, 3, 6, 13) ja laillisuusvalvonnan materialisoitumiseen (YK:n kanssa kirjoitettu sopimus ’</w:t>
      </w:r>
      <w:proofErr w:type="spellStart"/>
      <w:r>
        <w:t>responsibility</w:t>
      </w:r>
      <w:proofErr w:type="spellEnd"/>
      <w:r>
        <w:t xml:space="preserve"> to </w:t>
      </w:r>
      <w:proofErr w:type="spellStart"/>
      <w:r>
        <w:t>protect</w:t>
      </w:r>
      <w:proofErr w:type="spellEnd"/>
      <w:r>
        <w:t>’), koska usein myös Puolustusvoimissa toteutuvat rikokset kohdistuvat siviiliin, ja toinen on uusien teknologioiden integroiminen Puolustusvoimien toimenkuvaan, myös muihin kuin tiedustelu- ja tutkintatehtäviin.</w:t>
      </w:r>
      <w:r w:rsidR="00BC5F0A">
        <w:t xml:space="preserve"> Lausunnon mukaan yksi keskeinen ongelmallinen ja valvomaton elementti on reserviläiset. Poliisi voi toimia Puolustusvoimien tutkinnanjohtajana virkavapaalla olevan reserviläisen roolissa, jolloin jälleen poliisi tutkisi itseään. </w:t>
      </w:r>
      <w:proofErr w:type="spellStart"/>
      <w:r w:rsidR="00BC5F0A">
        <w:t>Civix</w:t>
      </w:r>
      <w:proofErr w:type="spellEnd"/>
      <w:r w:rsidR="00BC5F0A">
        <w:t xml:space="preserve"> ry. on osoittanut reserviläistoimintaan liittyvän huolen myös ylikansallisesti erityisesti tuolloin, kun käytössä on uusia teknologioita. Reserviläiselementti on valvomaton.</w:t>
      </w:r>
    </w:p>
    <w:p w:rsidR="00077BB4" w:rsidRDefault="00077BB4" w:rsidP="00BC5F0A">
      <w:pPr>
        <w:autoSpaceDE w:val="0"/>
        <w:autoSpaceDN w:val="0"/>
        <w:adjustRightInd w:val="0"/>
        <w:ind w:left="1304"/>
      </w:pPr>
    </w:p>
    <w:p w:rsidR="00077BB4" w:rsidRPr="00AA4990" w:rsidRDefault="00077BB4" w:rsidP="00077BB4">
      <w:pPr>
        <w:autoSpaceDE w:val="0"/>
        <w:autoSpaceDN w:val="0"/>
        <w:adjustRightInd w:val="0"/>
        <w:ind w:left="1304"/>
      </w:pPr>
      <w:proofErr w:type="spellStart"/>
      <w:r>
        <w:t>Civix</w:t>
      </w:r>
      <w:proofErr w:type="spellEnd"/>
      <w:r>
        <w:t xml:space="preserve"> </w:t>
      </w:r>
      <w:proofErr w:type="spellStart"/>
      <w:r>
        <w:t>ry.:n</w:t>
      </w:r>
      <w:proofErr w:type="spellEnd"/>
      <w:r>
        <w:t xml:space="preserve"> lausunnon mukaan Ulkoisen tutkintaviranomaisen on voitava tutkia koko Puolustusvoimien henkilöstöä ja sen sidosryhmiä, kuten reserviläisten käyttämistä roolissa tai toisessa. Uusien teknologioiden toteutuksella toimitettavat rikokset nimenomaan siviileihin kohdistuen ovat lisääntyneet sellaiseen </w:t>
      </w:r>
      <w:proofErr w:type="spellStart"/>
      <w:r>
        <w:t>magnituudiin</w:t>
      </w:r>
      <w:proofErr w:type="spellEnd"/>
      <w:r>
        <w:t>, että ulkoiselle tutkintaviranomaiselle olisi vakituinen tehtävä näiden selvittämisessä.</w:t>
      </w:r>
    </w:p>
    <w:p w:rsidR="0056313F" w:rsidRDefault="0056313F" w:rsidP="002C57E3">
      <w:pPr>
        <w:autoSpaceDE w:val="0"/>
        <w:autoSpaceDN w:val="0"/>
        <w:adjustRightInd w:val="0"/>
        <w:rPr>
          <w:i/>
        </w:rPr>
      </w:pPr>
    </w:p>
    <w:p w:rsidR="0056313F" w:rsidRDefault="0056313F" w:rsidP="002C57E3">
      <w:pPr>
        <w:autoSpaceDE w:val="0"/>
        <w:autoSpaceDN w:val="0"/>
        <w:adjustRightInd w:val="0"/>
        <w:rPr>
          <w:i/>
        </w:rPr>
      </w:pPr>
    </w:p>
    <w:p w:rsidR="004C48D2" w:rsidRDefault="004C48D2" w:rsidP="002C57E3">
      <w:pPr>
        <w:autoSpaceDE w:val="0"/>
        <w:autoSpaceDN w:val="0"/>
        <w:adjustRightInd w:val="0"/>
        <w:rPr>
          <w:i/>
        </w:rPr>
      </w:pPr>
    </w:p>
    <w:p w:rsidR="00233C61" w:rsidRDefault="002C57E3" w:rsidP="002C57E3">
      <w:pPr>
        <w:autoSpaceDE w:val="0"/>
        <w:autoSpaceDN w:val="0"/>
        <w:adjustRightInd w:val="0"/>
        <w:rPr>
          <w:i/>
        </w:rPr>
      </w:pPr>
      <w:r w:rsidRPr="00037875">
        <w:rPr>
          <w:i/>
        </w:rPr>
        <w:t>Yksityishenkilön lausunto, A</w:t>
      </w:r>
      <w:r w:rsidR="00233C61" w:rsidRPr="00037875">
        <w:rPr>
          <w:i/>
        </w:rPr>
        <w:t xml:space="preserve">nniina </w:t>
      </w:r>
      <w:proofErr w:type="spellStart"/>
      <w:r w:rsidR="00233C61" w:rsidRPr="00037875">
        <w:rPr>
          <w:i/>
        </w:rPr>
        <w:t>Kantel</w:t>
      </w:r>
      <w:proofErr w:type="spellEnd"/>
    </w:p>
    <w:p w:rsidR="00AA4990" w:rsidRDefault="00AA4990" w:rsidP="002C57E3">
      <w:pPr>
        <w:autoSpaceDE w:val="0"/>
        <w:autoSpaceDN w:val="0"/>
        <w:adjustRightInd w:val="0"/>
      </w:pPr>
    </w:p>
    <w:p w:rsidR="00C350CF" w:rsidRDefault="00233C61" w:rsidP="00233C61">
      <w:pPr>
        <w:autoSpaceDE w:val="0"/>
        <w:autoSpaceDN w:val="0"/>
        <w:adjustRightInd w:val="0"/>
        <w:ind w:left="1304"/>
      </w:pPr>
      <w:r>
        <w:t>Lausunnossa todetaan, että asiassa pitäisi ottaa huomioon rikoksen/rikosten vakavuus siten, että mitä vakavampi rikos, rikosten laajuus ja merkittävyys yhteiskunnallisesti niin sitä herkemmin</w:t>
      </w:r>
      <w:r w:rsidR="00CA7BE8">
        <w:t xml:space="preserve"> poliisin pitäisi tutkia rikos, vaikka rikoksen olisi tehnyt</w:t>
      </w:r>
      <w:r>
        <w:t xml:space="preserve"> </w:t>
      </w:r>
      <w:r w:rsidR="00CA7BE8">
        <w:t>alempi P</w:t>
      </w:r>
      <w:r w:rsidR="00FC0306">
        <w:t>uolustusvoimien virkamies</w:t>
      </w:r>
      <w:r>
        <w:t>. Rikoksen yhteiskunnallisen merkittävyyden pitäisi vaikuttaa vakavuuden lisäksi myös esitutkinnan aloittamiseen myös tiedustelutoiminnan ulkopuolella. Poliisilla pitäisi edelleen säilyttää lakitekstiin kirjattuna oikeus ottaa oma-aloitteisesti rikostorjuntatehtävä ho</w:t>
      </w:r>
      <w:r w:rsidR="00FC0306">
        <w:t>itaakseen koskien myös alempia P</w:t>
      </w:r>
      <w:r>
        <w:t>uolustusvoim</w:t>
      </w:r>
      <w:r w:rsidR="00FC0306">
        <w:t xml:space="preserve">ien virkamiehiä. </w:t>
      </w:r>
    </w:p>
    <w:p w:rsidR="00C350CF" w:rsidRDefault="00C350CF" w:rsidP="00233C61">
      <w:pPr>
        <w:autoSpaceDE w:val="0"/>
        <w:autoSpaceDN w:val="0"/>
        <w:adjustRightInd w:val="0"/>
        <w:ind w:left="1304"/>
      </w:pPr>
    </w:p>
    <w:p w:rsidR="00233C61" w:rsidRDefault="00FC0306" w:rsidP="00233C61">
      <w:pPr>
        <w:autoSpaceDE w:val="0"/>
        <w:autoSpaceDN w:val="0"/>
        <w:adjustRightInd w:val="0"/>
        <w:ind w:left="1304"/>
      </w:pPr>
      <w:r>
        <w:t>L</w:t>
      </w:r>
      <w:r w:rsidR="00233C61">
        <w:t>akiin</w:t>
      </w:r>
      <w:r>
        <w:t xml:space="preserve"> ei saa jättää</w:t>
      </w:r>
      <w:r w:rsidR="00233C61">
        <w:t xml:space="preserve"> porsaanreikää sille, että alempien virkamiesten väärinkäytöksiä peiteltäisiin poliisilta.</w:t>
      </w:r>
    </w:p>
    <w:sectPr w:rsidR="00233C61" w:rsidSect="00F23309">
      <w:headerReference w:type="default" r:id="rId11"/>
      <w:footerReference w:type="default" r:id="rId12"/>
      <w:headerReference w:type="first" r:id="rId13"/>
      <w:footerReference w:type="first" r:id="rId14"/>
      <w:type w:val="continuous"/>
      <w:pgSz w:w="11906" w:h="16838" w:code="9"/>
      <w:pgMar w:top="567" w:right="567" w:bottom="567" w:left="1134" w:header="31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6F" w:rsidRDefault="00EB2D6F">
      <w:r>
        <w:separator/>
      </w:r>
    </w:p>
  </w:endnote>
  <w:endnote w:type="continuationSeparator" w:id="0">
    <w:p w:rsidR="00EB2D6F" w:rsidRDefault="00EB2D6F">
      <w:r>
        <w:continuationSeparator/>
      </w:r>
    </w:p>
  </w:endnote>
  <w:endnote w:type="continuationNotice" w:id="1">
    <w:p w:rsidR="00EB2D6F" w:rsidRDefault="00EB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F3" w:rsidRPr="007F6AAC" w:rsidRDefault="00981EF3" w:rsidP="007F6AAC">
    <w:pPr>
      <w:pStyle w:val="Alatunniste"/>
    </w:pPr>
  </w:p>
  <w:p w:rsidR="00981EF3" w:rsidRPr="007F6AAC" w:rsidRDefault="00981EF3" w:rsidP="007F6AAC">
    <w:pPr>
      <w:pStyle w:val="Alatunniste"/>
    </w:pPr>
  </w:p>
  <w:p w:rsidR="00981EF3" w:rsidRPr="007F6AAC" w:rsidRDefault="00981EF3" w:rsidP="007F6AAC">
    <w:pPr>
      <w:pStyle w:val="Alatunniste"/>
    </w:pPr>
  </w:p>
  <w:tbl>
    <w:tblPr>
      <w:tblW w:w="0" w:type="auto"/>
      <w:tblLayout w:type="fixed"/>
      <w:tblLook w:val="0000" w:firstRow="0" w:lastRow="0" w:firstColumn="0" w:lastColumn="0" w:noHBand="0" w:noVBand="0"/>
    </w:tblPr>
    <w:tblGrid>
      <w:gridCol w:w="1956"/>
      <w:gridCol w:w="2268"/>
      <w:gridCol w:w="1945"/>
      <w:gridCol w:w="2268"/>
      <w:gridCol w:w="1701"/>
    </w:tblGrid>
    <w:tr w:rsidR="00981EF3" w:rsidRPr="005F5FB5" w:rsidTr="00301638">
      <w:trPr>
        <w:trHeight w:hRule="exact" w:val="160"/>
      </w:trPr>
      <w:tc>
        <w:tcPr>
          <w:tcW w:w="1956" w:type="dxa"/>
          <w:tcMar>
            <w:left w:w="6" w:type="dxa"/>
            <w:right w:w="6" w:type="dxa"/>
          </w:tcMar>
        </w:tcPr>
        <w:p w:rsidR="00981EF3" w:rsidRPr="005F5FB5" w:rsidRDefault="00981EF3" w:rsidP="001E6EC0">
          <w:pPr>
            <w:pStyle w:val="Alatunniste"/>
            <w:rPr>
              <w:b/>
              <w:noProof/>
            </w:rPr>
          </w:pPr>
          <w:r w:rsidRPr="005F5FB5">
            <w:rPr>
              <w:b/>
              <w:noProof/>
            </w:rPr>
            <w:t>Postiosoite</w:t>
          </w:r>
        </w:p>
      </w:tc>
      <w:tc>
        <w:tcPr>
          <w:tcW w:w="2268" w:type="dxa"/>
          <w:tcMar>
            <w:left w:w="6" w:type="dxa"/>
            <w:right w:w="6" w:type="dxa"/>
          </w:tcMar>
        </w:tcPr>
        <w:p w:rsidR="00981EF3" w:rsidRPr="005F5FB5" w:rsidRDefault="00981EF3" w:rsidP="001E6EC0">
          <w:pPr>
            <w:pStyle w:val="Alatunniste"/>
            <w:rPr>
              <w:b/>
              <w:noProof/>
            </w:rPr>
          </w:pPr>
          <w:r w:rsidRPr="005F5FB5">
            <w:rPr>
              <w:b/>
              <w:noProof/>
            </w:rPr>
            <w:t>Käyntiosoite</w:t>
          </w:r>
        </w:p>
      </w:tc>
      <w:tc>
        <w:tcPr>
          <w:tcW w:w="1945" w:type="dxa"/>
          <w:tcMar>
            <w:left w:w="6" w:type="dxa"/>
            <w:right w:w="6" w:type="dxa"/>
          </w:tcMar>
        </w:tcPr>
        <w:p w:rsidR="00981EF3" w:rsidRPr="005F5FB5" w:rsidRDefault="00981EF3" w:rsidP="001E6EC0">
          <w:pPr>
            <w:pStyle w:val="Alatunniste"/>
            <w:rPr>
              <w:b/>
              <w:noProof/>
            </w:rPr>
          </w:pPr>
          <w:r w:rsidRPr="005F5FB5">
            <w:rPr>
              <w:b/>
              <w:noProof/>
            </w:rPr>
            <w:t>Puhelin</w:t>
          </w:r>
        </w:p>
      </w:tc>
      <w:tc>
        <w:tcPr>
          <w:tcW w:w="2268" w:type="dxa"/>
          <w:tcMar>
            <w:left w:w="6" w:type="dxa"/>
            <w:right w:w="6" w:type="dxa"/>
          </w:tcMar>
        </w:tcPr>
        <w:p w:rsidR="00981EF3" w:rsidRPr="005F5FB5" w:rsidRDefault="00981EF3" w:rsidP="001E6EC0">
          <w:pPr>
            <w:pStyle w:val="Alatunniste"/>
            <w:rPr>
              <w:b/>
              <w:noProof/>
            </w:rPr>
          </w:pPr>
          <w:r w:rsidRPr="005F5FB5">
            <w:rPr>
              <w:b/>
              <w:noProof/>
            </w:rPr>
            <w:t>Faksi</w:t>
          </w:r>
        </w:p>
      </w:tc>
      <w:tc>
        <w:tcPr>
          <w:tcW w:w="1701" w:type="dxa"/>
          <w:tcMar>
            <w:left w:w="6" w:type="dxa"/>
            <w:right w:w="6" w:type="dxa"/>
          </w:tcMar>
        </w:tcPr>
        <w:p w:rsidR="00981EF3" w:rsidRPr="005F5FB5" w:rsidRDefault="00981EF3" w:rsidP="001E6EC0">
          <w:pPr>
            <w:pStyle w:val="Alatunniste"/>
            <w:rPr>
              <w:b/>
              <w:noProof/>
            </w:rPr>
          </w:pPr>
          <w:r w:rsidRPr="005F5FB5">
            <w:rPr>
              <w:b/>
              <w:noProof/>
            </w:rPr>
            <w:t>s-posti, internet</w:t>
          </w:r>
        </w:p>
      </w:tc>
    </w:tr>
    <w:tr w:rsidR="00981EF3" w:rsidRPr="005F5FB5" w:rsidTr="00301638">
      <w:trPr>
        <w:trHeight w:hRule="exact" w:val="160"/>
      </w:trPr>
      <w:tc>
        <w:tcPr>
          <w:tcW w:w="1956" w:type="dxa"/>
          <w:tcMar>
            <w:left w:w="6" w:type="dxa"/>
            <w:right w:w="6" w:type="dxa"/>
          </w:tcMar>
        </w:tcPr>
        <w:p w:rsidR="00981EF3" w:rsidRPr="005F5FB5" w:rsidRDefault="00981EF3" w:rsidP="001E6EC0">
          <w:pPr>
            <w:pStyle w:val="Alatunniste"/>
            <w:rPr>
              <w:b/>
              <w:noProof/>
            </w:rPr>
          </w:pPr>
          <w:r w:rsidRPr="005F5FB5">
            <w:rPr>
              <w:b/>
              <w:noProof/>
            </w:rPr>
            <w:t>Postadress</w:t>
          </w:r>
        </w:p>
      </w:tc>
      <w:tc>
        <w:tcPr>
          <w:tcW w:w="2268" w:type="dxa"/>
          <w:tcMar>
            <w:left w:w="6" w:type="dxa"/>
            <w:right w:w="6" w:type="dxa"/>
          </w:tcMar>
        </w:tcPr>
        <w:p w:rsidR="00981EF3" w:rsidRPr="005F5FB5" w:rsidRDefault="00981EF3" w:rsidP="001E6EC0">
          <w:pPr>
            <w:pStyle w:val="Alatunniste"/>
            <w:rPr>
              <w:b/>
              <w:noProof/>
            </w:rPr>
          </w:pPr>
          <w:r w:rsidRPr="005F5FB5">
            <w:rPr>
              <w:b/>
              <w:noProof/>
            </w:rPr>
            <w:t>Besöksadress</w:t>
          </w:r>
        </w:p>
      </w:tc>
      <w:tc>
        <w:tcPr>
          <w:tcW w:w="1945" w:type="dxa"/>
          <w:tcMar>
            <w:left w:w="6" w:type="dxa"/>
            <w:right w:w="6" w:type="dxa"/>
          </w:tcMar>
        </w:tcPr>
        <w:p w:rsidR="00981EF3" w:rsidRPr="005F5FB5" w:rsidRDefault="00981EF3" w:rsidP="001E6EC0">
          <w:pPr>
            <w:pStyle w:val="Alatunniste"/>
            <w:rPr>
              <w:b/>
              <w:noProof/>
            </w:rPr>
          </w:pPr>
          <w:r w:rsidRPr="005F5FB5">
            <w:rPr>
              <w:b/>
              <w:noProof/>
            </w:rPr>
            <w:t>Telefon</w:t>
          </w:r>
        </w:p>
      </w:tc>
      <w:tc>
        <w:tcPr>
          <w:tcW w:w="2268" w:type="dxa"/>
          <w:tcMar>
            <w:left w:w="6" w:type="dxa"/>
            <w:right w:w="6" w:type="dxa"/>
          </w:tcMar>
        </w:tcPr>
        <w:p w:rsidR="00981EF3" w:rsidRPr="005F5FB5" w:rsidRDefault="00981EF3" w:rsidP="001E6EC0">
          <w:pPr>
            <w:pStyle w:val="Alatunniste"/>
            <w:rPr>
              <w:b/>
              <w:noProof/>
            </w:rPr>
          </w:pPr>
          <w:r w:rsidRPr="005F5FB5">
            <w:rPr>
              <w:b/>
              <w:noProof/>
            </w:rPr>
            <w:t>Fax</w:t>
          </w:r>
        </w:p>
      </w:tc>
      <w:tc>
        <w:tcPr>
          <w:tcW w:w="1701" w:type="dxa"/>
          <w:tcMar>
            <w:left w:w="6" w:type="dxa"/>
            <w:right w:w="6" w:type="dxa"/>
          </w:tcMar>
        </w:tcPr>
        <w:p w:rsidR="00981EF3" w:rsidRPr="005F5FB5" w:rsidRDefault="00981EF3" w:rsidP="001E6EC0">
          <w:pPr>
            <w:pStyle w:val="Alatunniste"/>
            <w:rPr>
              <w:b/>
              <w:noProof/>
            </w:rPr>
          </w:pPr>
          <w:r w:rsidRPr="005F5FB5">
            <w:rPr>
              <w:b/>
              <w:noProof/>
            </w:rPr>
            <w:t>e-post, internet</w:t>
          </w:r>
        </w:p>
      </w:tc>
    </w:tr>
    <w:tr w:rsidR="00981EF3" w:rsidRPr="005F5FB5" w:rsidTr="00301638">
      <w:trPr>
        <w:trHeight w:hRule="exact" w:val="160"/>
      </w:trPr>
      <w:tc>
        <w:tcPr>
          <w:tcW w:w="1956" w:type="dxa"/>
          <w:tcMar>
            <w:left w:w="6" w:type="dxa"/>
            <w:right w:w="6" w:type="dxa"/>
          </w:tcMar>
        </w:tcPr>
        <w:p w:rsidR="00981EF3" w:rsidRPr="005F5FB5" w:rsidRDefault="00981EF3" w:rsidP="001E6EC0">
          <w:pPr>
            <w:pStyle w:val="Alatunniste"/>
            <w:rPr>
              <w:b/>
              <w:noProof/>
            </w:rPr>
          </w:pPr>
          <w:r w:rsidRPr="005F5FB5">
            <w:rPr>
              <w:b/>
              <w:noProof/>
            </w:rPr>
            <w:t>Postal Address</w:t>
          </w:r>
        </w:p>
      </w:tc>
      <w:tc>
        <w:tcPr>
          <w:tcW w:w="2268" w:type="dxa"/>
          <w:tcMar>
            <w:left w:w="6" w:type="dxa"/>
            <w:right w:w="6" w:type="dxa"/>
          </w:tcMar>
        </w:tcPr>
        <w:p w:rsidR="00981EF3" w:rsidRPr="005F5FB5" w:rsidRDefault="00981EF3" w:rsidP="001E6EC0">
          <w:pPr>
            <w:pStyle w:val="Alatunniste"/>
            <w:rPr>
              <w:b/>
              <w:noProof/>
            </w:rPr>
          </w:pPr>
          <w:r w:rsidRPr="005F5FB5">
            <w:rPr>
              <w:b/>
              <w:noProof/>
            </w:rPr>
            <w:t>Office</w:t>
          </w:r>
        </w:p>
      </w:tc>
      <w:tc>
        <w:tcPr>
          <w:tcW w:w="1945" w:type="dxa"/>
          <w:tcMar>
            <w:left w:w="6" w:type="dxa"/>
            <w:right w:w="6" w:type="dxa"/>
          </w:tcMar>
        </w:tcPr>
        <w:p w:rsidR="00981EF3" w:rsidRPr="005F5FB5" w:rsidRDefault="00981EF3" w:rsidP="001E6EC0">
          <w:pPr>
            <w:pStyle w:val="Alatunniste"/>
            <w:rPr>
              <w:b/>
              <w:noProof/>
            </w:rPr>
          </w:pPr>
          <w:r w:rsidRPr="005F5FB5">
            <w:rPr>
              <w:b/>
              <w:noProof/>
            </w:rPr>
            <w:t>Telephone</w:t>
          </w:r>
        </w:p>
      </w:tc>
      <w:tc>
        <w:tcPr>
          <w:tcW w:w="2268" w:type="dxa"/>
          <w:tcMar>
            <w:left w:w="6" w:type="dxa"/>
            <w:right w:w="6" w:type="dxa"/>
          </w:tcMar>
        </w:tcPr>
        <w:p w:rsidR="00981EF3" w:rsidRPr="005F5FB5" w:rsidRDefault="00981EF3" w:rsidP="001E6EC0">
          <w:pPr>
            <w:pStyle w:val="Alatunniste"/>
            <w:rPr>
              <w:b/>
              <w:noProof/>
            </w:rPr>
          </w:pPr>
          <w:r w:rsidRPr="005F5FB5">
            <w:rPr>
              <w:b/>
              <w:noProof/>
            </w:rPr>
            <w:t>Fax</w:t>
          </w:r>
        </w:p>
      </w:tc>
      <w:tc>
        <w:tcPr>
          <w:tcW w:w="1701" w:type="dxa"/>
          <w:tcMar>
            <w:left w:w="6" w:type="dxa"/>
            <w:right w:w="6" w:type="dxa"/>
          </w:tcMar>
        </w:tcPr>
        <w:p w:rsidR="00981EF3" w:rsidRPr="005F5FB5" w:rsidRDefault="00981EF3" w:rsidP="001E6EC0">
          <w:pPr>
            <w:pStyle w:val="Alatunniste"/>
            <w:rPr>
              <w:b/>
              <w:noProof/>
            </w:rPr>
          </w:pPr>
          <w:r w:rsidRPr="005F5FB5">
            <w:rPr>
              <w:b/>
              <w:noProof/>
            </w:rPr>
            <w:t>e-mail, internet</w:t>
          </w:r>
        </w:p>
      </w:tc>
    </w:tr>
    <w:tr w:rsidR="00981EF3" w:rsidRPr="005F5FB5" w:rsidTr="00301638">
      <w:trPr>
        <w:trHeight w:hRule="exact" w:val="160"/>
      </w:trPr>
      <w:tc>
        <w:tcPr>
          <w:tcW w:w="1956" w:type="dxa"/>
          <w:tcMar>
            <w:left w:w="6" w:type="dxa"/>
            <w:right w:w="6" w:type="dxa"/>
          </w:tcMar>
        </w:tcPr>
        <w:p w:rsidR="00981EF3" w:rsidRPr="005F5FB5" w:rsidRDefault="00981EF3" w:rsidP="001E6EC0">
          <w:pPr>
            <w:pStyle w:val="Alatunniste"/>
            <w:rPr>
              <w:noProof/>
            </w:rPr>
          </w:pPr>
          <w:r w:rsidRPr="005F5FB5">
            <w:rPr>
              <w:noProof/>
            </w:rPr>
            <w:t>Puolustusministeriö</w:t>
          </w:r>
        </w:p>
      </w:tc>
      <w:tc>
        <w:tcPr>
          <w:tcW w:w="2268" w:type="dxa"/>
          <w:tcMar>
            <w:left w:w="6" w:type="dxa"/>
            <w:right w:w="6" w:type="dxa"/>
          </w:tcMar>
        </w:tcPr>
        <w:p w:rsidR="00981EF3" w:rsidRPr="005F5FB5" w:rsidRDefault="00981EF3" w:rsidP="001E6EC0">
          <w:pPr>
            <w:pStyle w:val="Alatunniste"/>
            <w:rPr>
              <w:noProof/>
            </w:rPr>
          </w:pPr>
          <w:r>
            <w:rPr>
              <w:noProof/>
            </w:rPr>
            <w:t>Eteläinen Makasiinikatu 8</w:t>
          </w:r>
        </w:p>
      </w:tc>
      <w:tc>
        <w:tcPr>
          <w:tcW w:w="1945" w:type="dxa"/>
          <w:tcMar>
            <w:left w:w="6" w:type="dxa"/>
            <w:right w:w="6" w:type="dxa"/>
          </w:tcMar>
        </w:tcPr>
        <w:p w:rsidR="00981EF3" w:rsidRPr="005F5FB5" w:rsidRDefault="00981EF3" w:rsidP="00B95351">
          <w:pPr>
            <w:pStyle w:val="Alatunniste"/>
            <w:rPr>
              <w:noProof/>
            </w:rPr>
          </w:pPr>
          <w:r>
            <w:rPr>
              <w:noProof/>
            </w:rPr>
            <w:t xml:space="preserve">0295 </w:t>
          </w:r>
          <w:r w:rsidRPr="005F5FB5">
            <w:rPr>
              <w:noProof/>
            </w:rPr>
            <w:t>16001</w:t>
          </w:r>
        </w:p>
      </w:tc>
      <w:tc>
        <w:tcPr>
          <w:tcW w:w="2268" w:type="dxa"/>
          <w:tcMar>
            <w:left w:w="6" w:type="dxa"/>
            <w:right w:w="6" w:type="dxa"/>
          </w:tcMar>
        </w:tcPr>
        <w:p w:rsidR="00981EF3" w:rsidRPr="005F5FB5" w:rsidRDefault="00981EF3" w:rsidP="001E6EC0">
          <w:pPr>
            <w:pStyle w:val="Alatunniste"/>
            <w:rPr>
              <w:noProof/>
            </w:rPr>
          </w:pPr>
          <w:r w:rsidRPr="005F5FB5">
            <w:rPr>
              <w:noProof/>
            </w:rPr>
            <w:t>(09) 160 88244</w:t>
          </w:r>
        </w:p>
      </w:tc>
      <w:tc>
        <w:tcPr>
          <w:tcW w:w="1701" w:type="dxa"/>
          <w:tcMar>
            <w:left w:w="6" w:type="dxa"/>
            <w:right w:w="6" w:type="dxa"/>
          </w:tcMar>
        </w:tcPr>
        <w:p w:rsidR="00981EF3" w:rsidRPr="005F5FB5" w:rsidRDefault="00981EF3" w:rsidP="001E6EC0">
          <w:pPr>
            <w:pStyle w:val="Alatunniste"/>
            <w:rPr>
              <w:noProof/>
            </w:rPr>
          </w:pPr>
          <w:r>
            <w:rPr>
              <w:noProof/>
            </w:rPr>
            <w:t>kirjaamo</w:t>
          </w:r>
          <w:r w:rsidRPr="005F5FB5">
            <w:rPr>
              <w:noProof/>
            </w:rPr>
            <w:t>@defmin.fi</w:t>
          </w:r>
        </w:p>
      </w:tc>
    </w:tr>
    <w:tr w:rsidR="00981EF3" w:rsidRPr="005F5FB5" w:rsidTr="00301638">
      <w:trPr>
        <w:trHeight w:hRule="exact" w:val="160"/>
      </w:trPr>
      <w:tc>
        <w:tcPr>
          <w:tcW w:w="1956" w:type="dxa"/>
          <w:tcMar>
            <w:left w:w="6" w:type="dxa"/>
            <w:right w:w="6" w:type="dxa"/>
          </w:tcMar>
        </w:tcPr>
        <w:p w:rsidR="00981EF3" w:rsidRPr="005F5FB5" w:rsidRDefault="00981EF3" w:rsidP="001E6EC0">
          <w:pPr>
            <w:pStyle w:val="Alatunniste"/>
            <w:rPr>
              <w:noProof/>
            </w:rPr>
          </w:pPr>
          <w:r w:rsidRPr="005F5FB5">
            <w:rPr>
              <w:noProof/>
            </w:rPr>
            <w:t>PL 31</w:t>
          </w:r>
        </w:p>
      </w:tc>
      <w:tc>
        <w:tcPr>
          <w:tcW w:w="2268" w:type="dxa"/>
          <w:tcMar>
            <w:left w:w="6" w:type="dxa"/>
            <w:right w:w="6" w:type="dxa"/>
          </w:tcMar>
        </w:tcPr>
        <w:p w:rsidR="00981EF3" w:rsidRPr="005F5FB5" w:rsidRDefault="00981EF3" w:rsidP="001E6EC0">
          <w:pPr>
            <w:pStyle w:val="Alatunniste"/>
            <w:rPr>
              <w:noProof/>
            </w:rPr>
          </w:pPr>
          <w:r w:rsidRPr="005F5FB5">
            <w:rPr>
              <w:noProof/>
            </w:rPr>
            <w:t>00130 Helsinki</w:t>
          </w:r>
        </w:p>
      </w:tc>
      <w:tc>
        <w:tcPr>
          <w:tcW w:w="1945" w:type="dxa"/>
          <w:tcMar>
            <w:left w:w="6" w:type="dxa"/>
            <w:right w:w="6" w:type="dxa"/>
          </w:tcMar>
        </w:tcPr>
        <w:p w:rsidR="00981EF3" w:rsidRPr="005F5FB5" w:rsidRDefault="00981EF3" w:rsidP="00B95351">
          <w:pPr>
            <w:pStyle w:val="Alatunniste"/>
            <w:rPr>
              <w:noProof/>
            </w:rPr>
          </w:pPr>
          <w:r w:rsidRPr="005F5FB5">
            <w:rPr>
              <w:noProof/>
            </w:rPr>
            <w:t xml:space="preserve">Internat. +358 </w:t>
          </w:r>
          <w:r>
            <w:rPr>
              <w:noProof/>
            </w:rPr>
            <w:t>295</w:t>
          </w:r>
          <w:r w:rsidRPr="005F5FB5">
            <w:rPr>
              <w:noProof/>
            </w:rPr>
            <w:t xml:space="preserve"> 16001</w:t>
          </w:r>
        </w:p>
      </w:tc>
      <w:tc>
        <w:tcPr>
          <w:tcW w:w="2268" w:type="dxa"/>
          <w:tcMar>
            <w:left w:w="6" w:type="dxa"/>
            <w:right w:w="6" w:type="dxa"/>
          </w:tcMar>
        </w:tcPr>
        <w:p w:rsidR="00981EF3" w:rsidRPr="005F5FB5" w:rsidRDefault="00981EF3" w:rsidP="001E6EC0">
          <w:pPr>
            <w:pStyle w:val="Alatunniste"/>
            <w:rPr>
              <w:noProof/>
            </w:rPr>
          </w:pPr>
          <w:r w:rsidRPr="005F5FB5">
            <w:rPr>
              <w:noProof/>
            </w:rPr>
            <w:t>Internat. +358 9 160 88244</w:t>
          </w:r>
        </w:p>
      </w:tc>
      <w:tc>
        <w:tcPr>
          <w:tcW w:w="1701" w:type="dxa"/>
          <w:tcMar>
            <w:left w:w="6" w:type="dxa"/>
            <w:right w:w="6" w:type="dxa"/>
          </w:tcMar>
        </w:tcPr>
        <w:p w:rsidR="00981EF3" w:rsidRPr="005F5FB5" w:rsidRDefault="00981EF3" w:rsidP="001E6EC0">
          <w:pPr>
            <w:pStyle w:val="Alatunniste"/>
            <w:rPr>
              <w:noProof/>
            </w:rPr>
          </w:pPr>
          <w:r w:rsidRPr="005F5FB5">
            <w:rPr>
              <w:noProof/>
            </w:rPr>
            <w:t>www.defmin.fi</w:t>
          </w:r>
        </w:p>
      </w:tc>
    </w:tr>
    <w:tr w:rsidR="00981EF3" w:rsidRPr="005F5FB5" w:rsidTr="00301638">
      <w:trPr>
        <w:trHeight w:hRule="exact" w:val="160"/>
      </w:trPr>
      <w:tc>
        <w:tcPr>
          <w:tcW w:w="1956" w:type="dxa"/>
          <w:tcMar>
            <w:left w:w="6" w:type="dxa"/>
            <w:right w:w="6" w:type="dxa"/>
          </w:tcMar>
        </w:tcPr>
        <w:p w:rsidR="00981EF3" w:rsidRPr="005F5FB5" w:rsidRDefault="00981EF3" w:rsidP="001E6EC0">
          <w:pPr>
            <w:pStyle w:val="Alatunniste"/>
            <w:rPr>
              <w:noProof/>
            </w:rPr>
          </w:pPr>
          <w:r w:rsidRPr="005F5FB5">
            <w:rPr>
              <w:noProof/>
            </w:rPr>
            <w:t>FI-00131 Helsinki</w:t>
          </w:r>
        </w:p>
      </w:tc>
      <w:tc>
        <w:tcPr>
          <w:tcW w:w="2268" w:type="dxa"/>
          <w:tcMar>
            <w:left w:w="6" w:type="dxa"/>
            <w:right w:w="6" w:type="dxa"/>
          </w:tcMar>
        </w:tcPr>
        <w:p w:rsidR="00981EF3" w:rsidRPr="005F5FB5" w:rsidRDefault="00981EF3" w:rsidP="001E6EC0">
          <w:pPr>
            <w:pStyle w:val="Alatunniste"/>
            <w:rPr>
              <w:noProof/>
            </w:rPr>
          </w:pPr>
          <w:r w:rsidRPr="005F5FB5">
            <w:rPr>
              <w:noProof/>
            </w:rPr>
            <w:t>Finland</w:t>
          </w:r>
        </w:p>
      </w:tc>
      <w:tc>
        <w:tcPr>
          <w:tcW w:w="1945" w:type="dxa"/>
          <w:tcMar>
            <w:left w:w="6" w:type="dxa"/>
            <w:right w:w="6" w:type="dxa"/>
          </w:tcMar>
        </w:tcPr>
        <w:p w:rsidR="00981EF3" w:rsidRPr="005F5FB5" w:rsidRDefault="00981EF3" w:rsidP="001E6EC0">
          <w:pPr>
            <w:pStyle w:val="Alatunniste"/>
            <w:rPr>
              <w:noProof/>
            </w:rPr>
          </w:pPr>
        </w:p>
      </w:tc>
      <w:tc>
        <w:tcPr>
          <w:tcW w:w="2268" w:type="dxa"/>
          <w:tcMar>
            <w:left w:w="6" w:type="dxa"/>
            <w:right w:w="6" w:type="dxa"/>
          </w:tcMar>
        </w:tcPr>
        <w:p w:rsidR="00981EF3" w:rsidRPr="005F5FB5" w:rsidRDefault="00981EF3" w:rsidP="001E6EC0">
          <w:pPr>
            <w:pStyle w:val="Alatunniste"/>
            <w:rPr>
              <w:noProof/>
            </w:rPr>
          </w:pPr>
        </w:p>
      </w:tc>
      <w:tc>
        <w:tcPr>
          <w:tcW w:w="1701" w:type="dxa"/>
          <w:tcMar>
            <w:left w:w="6" w:type="dxa"/>
            <w:right w:w="6" w:type="dxa"/>
          </w:tcMar>
        </w:tcPr>
        <w:p w:rsidR="00981EF3" w:rsidRPr="005F5FB5" w:rsidRDefault="00981EF3" w:rsidP="001E6EC0">
          <w:pPr>
            <w:pStyle w:val="Alatunniste"/>
            <w:rPr>
              <w:noProof/>
            </w:rPr>
          </w:pPr>
        </w:p>
      </w:tc>
    </w:tr>
    <w:tr w:rsidR="00981EF3" w:rsidRPr="005F5FB5" w:rsidTr="00301638">
      <w:trPr>
        <w:trHeight w:hRule="exact" w:val="160"/>
      </w:trPr>
      <w:tc>
        <w:tcPr>
          <w:tcW w:w="1956" w:type="dxa"/>
          <w:tcMar>
            <w:left w:w="6" w:type="dxa"/>
            <w:right w:w="6" w:type="dxa"/>
          </w:tcMar>
        </w:tcPr>
        <w:p w:rsidR="00981EF3" w:rsidRPr="005F5FB5" w:rsidRDefault="00981EF3" w:rsidP="001E6EC0">
          <w:pPr>
            <w:pStyle w:val="Alatunniste"/>
            <w:rPr>
              <w:noProof/>
            </w:rPr>
          </w:pPr>
          <w:r w:rsidRPr="005F5FB5">
            <w:rPr>
              <w:noProof/>
            </w:rPr>
            <w:t>Finland</w:t>
          </w:r>
        </w:p>
      </w:tc>
      <w:tc>
        <w:tcPr>
          <w:tcW w:w="2268" w:type="dxa"/>
          <w:tcMar>
            <w:left w:w="6" w:type="dxa"/>
            <w:right w:w="6" w:type="dxa"/>
          </w:tcMar>
        </w:tcPr>
        <w:p w:rsidR="00981EF3" w:rsidRPr="005F5FB5" w:rsidRDefault="00981EF3" w:rsidP="001E6EC0">
          <w:pPr>
            <w:pStyle w:val="Alatunniste"/>
            <w:rPr>
              <w:noProof/>
            </w:rPr>
          </w:pPr>
        </w:p>
      </w:tc>
      <w:tc>
        <w:tcPr>
          <w:tcW w:w="1945" w:type="dxa"/>
          <w:tcMar>
            <w:left w:w="6" w:type="dxa"/>
            <w:right w:w="6" w:type="dxa"/>
          </w:tcMar>
        </w:tcPr>
        <w:p w:rsidR="00981EF3" w:rsidRPr="005F5FB5" w:rsidRDefault="00981EF3" w:rsidP="001E6EC0">
          <w:pPr>
            <w:pStyle w:val="Alatunniste"/>
            <w:rPr>
              <w:noProof/>
            </w:rPr>
          </w:pPr>
        </w:p>
      </w:tc>
      <w:tc>
        <w:tcPr>
          <w:tcW w:w="2268" w:type="dxa"/>
          <w:tcMar>
            <w:left w:w="6" w:type="dxa"/>
            <w:right w:w="6" w:type="dxa"/>
          </w:tcMar>
        </w:tcPr>
        <w:p w:rsidR="00981EF3" w:rsidRPr="005F5FB5" w:rsidRDefault="00981EF3" w:rsidP="001E6EC0">
          <w:pPr>
            <w:pStyle w:val="Alatunniste"/>
            <w:rPr>
              <w:noProof/>
            </w:rPr>
          </w:pPr>
        </w:p>
      </w:tc>
      <w:tc>
        <w:tcPr>
          <w:tcW w:w="1701" w:type="dxa"/>
          <w:tcMar>
            <w:left w:w="6" w:type="dxa"/>
            <w:right w:w="6" w:type="dxa"/>
          </w:tcMar>
        </w:tcPr>
        <w:p w:rsidR="00981EF3" w:rsidRPr="005F5FB5" w:rsidRDefault="00981EF3" w:rsidP="001E6EC0">
          <w:pPr>
            <w:pStyle w:val="Alatunniste"/>
            <w:rPr>
              <w:noProof/>
            </w:rPr>
          </w:pPr>
        </w:p>
      </w:tc>
    </w:tr>
  </w:tbl>
  <w:p w:rsidR="00981EF3" w:rsidRPr="005F5FB5" w:rsidRDefault="00981EF3" w:rsidP="005F5F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F3" w:rsidRDefault="00981EF3" w:rsidP="00AB6119">
    <w:pPr>
      <w:pStyle w:val="Alatunniste"/>
      <w:rPr>
        <w:lang w:val="sv-SE"/>
      </w:rPr>
    </w:pPr>
  </w:p>
  <w:tbl>
    <w:tblPr>
      <w:tblW w:w="0" w:type="auto"/>
      <w:tblLayout w:type="fixed"/>
      <w:tblLook w:val="0000" w:firstRow="0" w:lastRow="0" w:firstColumn="0" w:lastColumn="0" w:noHBand="0" w:noVBand="0"/>
    </w:tblPr>
    <w:tblGrid>
      <w:gridCol w:w="1908"/>
      <w:gridCol w:w="2160"/>
      <w:gridCol w:w="1800"/>
      <w:gridCol w:w="2160"/>
      <w:gridCol w:w="2387"/>
    </w:tblGrid>
    <w:tr w:rsidR="00981EF3">
      <w:trPr>
        <w:trHeight w:hRule="exact" w:val="160"/>
      </w:trPr>
      <w:tc>
        <w:tcPr>
          <w:tcW w:w="1908" w:type="dxa"/>
        </w:tcPr>
        <w:p w:rsidR="00981EF3" w:rsidRDefault="00981EF3" w:rsidP="00523B98">
          <w:pPr>
            <w:pStyle w:val="Alatunniste"/>
            <w:rPr>
              <w:b/>
              <w:noProof/>
            </w:rPr>
          </w:pPr>
          <w:r>
            <w:rPr>
              <w:b/>
              <w:noProof/>
            </w:rPr>
            <w:t>Postiosoite</w:t>
          </w:r>
        </w:p>
      </w:tc>
      <w:tc>
        <w:tcPr>
          <w:tcW w:w="2160" w:type="dxa"/>
        </w:tcPr>
        <w:p w:rsidR="00981EF3" w:rsidRDefault="00981EF3" w:rsidP="00523B98">
          <w:pPr>
            <w:pStyle w:val="Alatunniste"/>
            <w:rPr>
              <w:b/>
              <w:noProof/>
            </w:rPr>
          </w:pPr>
          <w:r>
            <w:rPr>
              <w:b/>
              <w:noProof/>
            </w:rPr>
            <w:t>Käyntiosoite</w:t>
          </w:r>
        </w:p>
      </w:tc>
      <w:tc>
        <w:tcPr>
          <w:tcW w:w="1800" w:type="dxa"/>
        </w:tcPr>
        <w:p w:rsidR="00981EF3" w:rsidRDefault="00981EF3" w:rsidP="00523B98">
          <w:pPr>
            <w:pStyle w:val="Alatunniste"/>
            <w:rPr>
              <w:b/>
              <w:noProof/>
            </w:rPr>
          </w:pPr>
          <w:r>
            <w:rPr>
              <w:b/>
              <w:noProof/>
            </w:rPr>
            <w:t>Puhelin</w:t>
          </w:r>
        </w:p>
      </w:tc>
      <w:tc>
        <w:tcPr>
          <w:tcW w:w="2160" w:type="dxa"/>
        </w:tcPr>
        <w:p w:rsidR="00981EF3" w:rsidRDefault="00981EF3" w:rsidP="00523B98">
          <w:pPr>
            <w:pStyle w:val="Alatunniste"/>
            <w:rPr>
              <w:b/>
              <w:noProof/>
            </w:rPr>
          </w:pPr>
          <w:r>
            <w:rPr>
              <w:b/>
              <w:noProof/>
            </w:rPr>
            <w:t>Faksi</w:t>
          </w:r>
        </w:p>
      </w:tc>
      <w:tc>
        <w:tcPr>
          <w:tcW w:w="2387" w:type="dxa"/>
        </w:tcPr>
        <w:p w:rsidR="00981EF3" w:rsidRDefault="00981EF3" w:rsidP="00523B98">
          <w:pPr>
            <w:pStyle w:val="Alatunniste"/>
            <w:rPr>
              <w:b/>
              <w:noProof/>
            </w:rPr>
          </w:pPr>
          <w:r>
            <w:rPr>
              <w:b/>
              <w:noProof/>
            </w:rPr>
            <w:t>Sähköposti, internet</w:t>
          </w:r>
        </w:p>
      </w:tc>
    </w:tr>
    <w:tr w:rsidR="00981EF3">
      <w:trPr>
        <w:trHeight w:hRule="exact" w:val="160"/>
      </w:trPr>
      <w:tc>
        <w:tcPr>
          <w:tcW w:w="1908" w:type="dxa"/>
        </w:tcPr>
        <w:p w:rsidR="00981EF3" w:rsidRDefault="00981EF3" w:rsidP="00523B98">
          <w:pPr>
            <w:pStyle w:val="Alatunniste"/>
            <w:rPr>
              <w:b/>
              <w:noProof/>
            </w:rPr>
          </w:pPr>
          <w:r>
            <w:rPr>
              <w:b/>
              <w:noProof/>
            </w:rPr>
            <w:t>Postadress</w:t>
          </w:r>
        </w:p>
      </w:tc>
      <w:tc>
        <w:tcPr>
          <w:tcW w:w="2160" w:type="dxa"/>
        </w:tcPr>
        <w:p w:rsidR="00981EF3" w:rsidRDefault="00981EF3" w:rsidP="00523B98">
          <w:pPr>
            <w:pStyle w:val="Alatunniste"/>
            <w:rPr>
              <w:b/>
              <w:noProof/>
            </w:rPr>
          </w:pPr>
          <w:r>
            <w:rPr>
              <w:b/>
              <w:noProof/>
            </w:rPr>
            <w:t>Besökadress</w:t>
          </w:r>
        </w:p>
      </w:tc>
      <w:tc>
        <w:tcPr>
          <w:tcW w:w="1800" w:type="dxa"/>
        </w:tcPr>
        <w:p w:rsidR="00981EF3" w:rsidRDefault="00981EF3" w:rsidP="00523B98">
          <w:pPr>
            <w:pStyle w:val="Alatunniste"/>
            <w:rPr>
              <w:b/>
              <w:noProof/>
            </w:rPr>
          </w:pPr>
          <w:r>
            <w:rPr>
              <w:b/>
              <w:noProof/>
            </w:rPr>
            <w:t>Telefon</w:t>
          </w:r>
        </w:p>
      </w:tc>
      <w:tc>
        <w:tcPr>
          <w:tcW w:w="2160" w:type="dxa"/>
        </w:tcPr>
        <w:p w:rsidR="00981EF3" w:rsidRDefault="00981EF3" w:rsidP="00523B98">
          <w:pPr>
            <w:pStyle w:val="Alatunniste"/>
            <w:rPr>
              <w:b/>
              <w:noProof/>
            </w:rPr>
          </w:pPr>
          <w:r>
            <w:rPr>
              <w:b/>
              <w:noProof/>
            </w:rPr>
            <w:t>Fax</w:t>
          </w:r>
        </w:p>
      </w:tc>
      <w:tc>
        <w:tcPr>
          <w:tcW w:w="2387" w:type="dxa"/>
        </w:tcPr>
        <w:p w:rsidR="00981EF3" w:rsidRDefault="00981EF3" w:rsidP="00523B98">
          <w:pPr>
            <w:pStyle w:val="Alatunniste"/>
            <w:rPr>
              <w:b/>
              <w:noProof/>
            </w:rPr>
          </w:pPr>
          <w:r>
            <w:rPr>
              <w:b/>
              <w:noProof/>
            </w:rPr>
            <w:t>E-Post, internet</w:t>
          </w:r>
        </w:p>
      </w:tc>
    </w:tr>
    <w:tr w:rsidR="00981EF3">
      <w:trPr>
        <w:trHeight w:hRule="exact" w:val="160"/>
      </w:trPr>
      <w:tc>
        <w:tcPr>
          <w:tcW w:w="1908" w:type="dxa"/>
        </w:tcPr>
        <w:p w:rsidR="00981EF3" w:rsidRDefault="00981EF3" w:rsidP="00523B98">
          <w:pPr>
            <w:pStyle w:val="Alatunniste"/>
            <w:rPr>
              <w:b/>
              <w:noProof/>
            </w:rPr>
          </w:pPr>
          <w:r>
            <w:rPr>
              <w:b/>
              <w:noProof/>
            </w:rPr>
            <w:t>Postal Address</w:t>
          </w:r>
        </w:p>
      </w:tc>
      <w:tc>
        <w:tcPr>
          <w:tcW w:w="2160" w:type="dxa"/>
        </w:tcPr>
        <w:p w:rsidR="00981EF3" w:rsidRDefault="00981EF3" w:rsidP="00523B98">
          <w:pPr>
            <w:pStyle w:val="Alatunniste"/>
            <w:rPr>
              <w:b/>
              <w:noProof/>
            </w:rPr>
          </w:pPr>
          <w:r>
            <w:rPr>
              <w:b/>
              <w:noProof/>
            </w:rPr>
            <w:t>Street Address</w:t>
          </w:r>
        </w:p>
      </w:tc>
      <w:tc>
        <w:tcPr>
          <w:tcW w:w="1800" w:type="dxa"/>
        </w:tcPr>
        <w:p w:rsidR="00981EF3" w:rsidRDefault="00981EF3" w:rsidP="00523B98">
          <w:pPr>
            <w:pStyle w:val="Alatunniste"/>
            <w:rPr>
              <w:b/>
              <w:noProof/>
            </w:rPr>
          </w:pPr>
          <w:r>
            <w:rPr>
              <w:b/>
              <w:noProof/>
            </w:rPr>
            <w:t>Telephone</w:t>
          </w:r>
        </w:p>
      </w:tc>
      <w:tc>
        <w:tcPr>
          <w:tcW w:w="2160" w:type="dxa"/>
        </w:tcPr>
        <w:p w:rsidR="00981EF3" w:rsidRDefault="00981EF3" w:rsidP="00523B98">
          <w:pPr>
            <w:pStyle w:val="Alatunniste"/>
            <w:rPr>
              <w:b/>
              <w:noProof/>
            </w:rPr>
          </w:pPr>
          <w:r>
            <w:rPr>
              <w:b/>
              <w:noProof/>
            </w:rPr>
            <w:t>Fax</w:t>
          </w:r>
        </w:p>
      </w:tc>
      <w:tc>
        <w:tcPr>
          <w:tcW w:w="2387" w:type="dxa"/>
        </w:tcPr>
        <w:p w:rsidR="00981EF3" w:rsidRDefault="00981EF3" w:rsidP="00523B98">
          <w:pPr>
            <w:pStyle w:val="Alatunniste"/>
            <w:rPr>
              <w:b/>
              <w:noProof/>
            </w:rPr>
          </w:pPr>
          <w:r>
            <w:rPr>
              <w:b/>
              <w:noProof/>
            </w:rPr>
            <w:t>E-Mail, internet</w:t>
          </w:r>
        </w:p>
      </w:tc>
    </w:tr>
    <w:tr w:rsidR="00981EF3">
      <w:trPr>
        <w:trHeight w:hRule="exact" w:val="160"/>
      </w:trPr>
      <w:tc>
        <w:tcPr>
          <w:tcW w:w="1908" w:type="dxa"/>
        </w:tcPr>
        <w:p w:rsidR="00981EF3" w:rsidRDefault="00981EF3" w:rsidP="00523B98">
          <w:pPr>
            <w:pStyle w:val="Alatunniste"/>
            <w:rPr>
              <w:noProof/>
            </w:rPr>
          </w:pPr>
          <w:r>
            <w:rPr>
              <w:noProof/>
            </w:rPr>
            <w:t>Puolustusministeriö</w:t>
          </w:r>
        </w:p>
      </w:tc>
      <w:tc>
        <w:tcPr>
          <w:tcW w:w="2160" w:type="dxa"/>
        </w:tcPr>
        <w:p w:rsidR="00981EF3" w:rsidRDefault="00981EF3" w:rsidP="00523B98">
          <w:pPr>
            <w:pStyle w:val="Alatunniste"/>
            <w:rPr>
              <w:noProof/>
            </w:rPr>
          </w:pPr>
          <w:r>
            <w:rPr>
              <w:noProof/>
            </w:rPr>
            <w:t>Eteläinen Makasiinikatu 8 A</w:t>
          </w:r>
        </w:p>
      </w:tc>
      <w:tc>
        <w:tcPr>
          <w:tcW w:w="1800" w:type="dxa"/>
        </w:tcPr>
        <w:p w:rsidR="00981EF3" w:rsidRDefault="00981EF3" w:rsidP="00523B98">
          <w:pPr>
            <w:pStyle w:val="Alatunniste"/>
            <w:rPr>
              <w:noProof/>
            </w:rPr>
          </w:pPr>
          <w:r>
            <w:rPr>
              <w:noProof/>
            </w:rPr>
            <w:t>(09) 16001</w:t>
          </w:r>
        </w:p>
      </w:tc>
      <w:tc>
        <w:tcPr>
          <w:tcW w:w="2160" w:type="dxa"/>
        </w:tcPr>
        <w:p w:rsidR="00981EF3" w:rsidRDefault="00981EF3" w:rsidP="00523B98">
          <w:pPr>
            <w:pStyle w:val="Alatunniste"/>
            <w:rPr>
              <w:noProof/>
            </w:rPr>
          </w:pPr>
          <w:r>
            <w:rPr>
              <w:noProof/>
            </w:rPr>
            <w:t>(09) 1608 8244</w:t>
          </w:r>
        </w:p>
      </w:tc>
      <w:tc>
        <w:tcPr>
          <w:tcW w:w="2387" w:type="dxa"/>
        </w:tcPr>
        <w:p w:rsidR="00981EF3" w:rsidRDefault="00981EF3" w:rsidP="00523B98">
          <w:pPr>
            <w:pStyle w:val="Alatunniste"/>
            <w:rPr>
              <w:noProof/>
            </w:rPr>
          </w:pPr>
          <w:r>
            <w:rPr>
              <w:noProof/>
            </w:rPr>
            <w:t>puolustusministerio@plm.vn.fi</w:t>
          </w:r>
        </w:p>
      </w:tc>
    </w:tr>
    <w:tr w:rsidR="00981EF3">
      <w:trPr>
        <w:trHeight w:hRule="exact" w:val="160"/>
      </w:trPr>
      <w:tc>
        <w:tcPr>
          <w:tcW w:w="1908" w:type="dxa"/>
        </w:tcPr>
        <w:p w:rsidR="00981EF3" w:rsidRDefault="00981EF3" w:rsidP="00523B98">
          <w:pPr>
            <w:pStyle w:val="Alatunniste"/>
            <w:rPr>
              <w:noProof/>
            </w:rPr>
          </w:pPr>
          <w:r>
            <w:rPr>
              <w:noProof/>
            </w:rPr>
            <w:t>PL 31, 00131 Helsinki</w:t>
          </w:r>
        </w:p>
      </w:tc>
      <w:tc>
        <w:tcPr>
          <w:tcW w:w="2160" w:type="dxa"/>
        </w:tcPr>
        <w:p w:rsidR="00981EF3" w:rsidRDefault="00981EF3" w:rsidP="00523B98">
          <w:pPr>
            <w:pStyle w:val="Alatunniste"/>
            <w:rPr>
              <w:noProof/>
            </w:rPr>
          </w:pPr>
          <w:r>
            <w:rPr>
              <w:noProof/>
            </w:rPr>
            <w:t>00130 Helsinki</w:t>
          </w:r>
        </w:p>
      </w:tc>
      <w:tc>
        <w:tcPr>
          <w:tcW w:w="1800" w:type="dxa"/>
        </w:tcPr>
        <w:p w:rsidR="00981EF3" w:rsidRDefault="00981EF3" w:rsidP="00523B98">
          <w:pPr>
            <w:pStyle w:val="Alatunniste"/>
            <w:rPr>
              <w:noProof/>
            </w:rPr>
          </w:pPr>
          <w:r>
            <w:rPr>
              <w:noProof/>
            </w:rPr>
            <w:t>Internat. +358 9 16001</w:t>
          </w:r>
        </w:p>
      </w:tc>
      <w:tc>
        <w:tcPr>
          <w:tcW w:w="2160" w:type="dxa"/>
        </w:tcPr>
        <w:p w:rsidR="00981EF3" w:rsidRDefault="00981EF3" w:rsidP="00523B98">
          <w:pPr>
            <w:pStyle w:val="Alatunniste"/>
            <w:rPr>
              <w:noProof/>
            </w:rPr>
          </w:pPr>
          <w:r>
            <w:rPr>
              <w:noProof/>
            </w:rPr>
            <w:t>Internat. +358 9 1608 8244</w:t>
          </w:r>
        </w:p>
      </w:tc>
      <w:tc>
        <w:tcPr>
          <w:tcW w:w="2387" w:type="dxa"/>
        </w:tcPr>
        <w:p w:rsidR="00981EF3" w:rsidRDefault="00981EF3" w:rsidP="00523B98">
          <w:pPr>
            <w:pStyle w:val="Alatunniste"/>
            <w:rPr>
              <w:noProof/>
            </w:rPr>
          </w:pPr>
          <w:r>
            <w:rPr>
              <w:noProof/>
            </w:rPr>
            <w:t>Www.defmin.fi</w:t>
          </w:r>
        </w:p>
      </w:tc>
    </w:tr>
    <w:tr w:rsidR="00981EF3">
      <w:trPr>
        <w:trHeight w:hRule="exact" w:val="160"/>
      </w:trPr>
      <w:tc>
        <w:tcPr>
          <w:tcW w:w="1908" w:type="dxa"/>
        </w:tcPr>
        <w:p w:rsidR="00981EF3" w:rsidRDefault="00981EF3" w:rsidP="00523B98">
          <w:pPr>
            <w:pStyle w:val="Alatunniste"/>
            <w:rPr>
              <w:noProof/>
            </w:rPr>
          </w:pPr>
          <w:r>
            <w:rPr>
              <w:noProof/>
            </w:rPr>
            <w:t>Finland</w:t>
          </w:r>
        </w:p>
      </w:tc>
      <w:tc>
        <w:tcPr>
          <w:tcW w:w="2160" w:type="dxa"/>
        </w:tcPr>
        <w:p w:rsidR="00981EF3" w:rsidRDefault="00981EF3" w:rsidP="00523B98">
          <w:pPr>
            <w:pStyle w:val="Alatunniste"/>
            <w:rPr>
              <w:noProof/>
            </w:rPr>
          </w:pPr>
          <w:r>
            <w:rPr>
              <w:noProof/>
            </w:rPr>
            <w:t>Finland</w:t>
          </w:r>
        </w:p>
      </w:tc>
      <w:tc>
        <w:tcPr>
          <w:tcW w:w="1800" w:type="dxa"/>
        </w:tcPr>
        <w:p w:rsidR="00981EF3" w:rsidRDefault="00981EF3" w:rsidP="00523B98">
          <w:pPr>
            <w:pStyle w:val="Alatunniste"/>
            <w:rPr>
              <w:noProof/>
            </w:rPr>
          </w:pPr>
        </w:p>
      </w:tc>
      <w:tc>
        <w:tcPr>
          <w:tcW w:w="2160" w:type="dxa"/>
        </w:tcPr>
        <w:p w:rsidR="00981EF3" w:rsidRDefault="00981EF3" w:rsidP="00523B98">
          <w:pPr>
            <w:pStyle w:val="Alatunniste"/>
            <w:rPr>
              <w:noProof/>
            </w:rPr>
          </w:pPr>
        </w:p>
      </w:tc>
      <w:tc>
        <w:tcPr>
          <w:tcW w:w="2387" w:type="dxa"/>
        </w:tcPr>
        <w:p w:rsidR="00981EF3" w:rsidRDefault="00981EF3" w:rsidP="00523B98">
          <w:pPr>
            <w:pStyle w:val="Alatunniste"/>
            <w:rPr>
              <w:noProof/>
            </w:rPr>
          </w:pPr>
        </w:p>
      </w:tc>
    </w:tr>
  </w:tbl>
  <w:p w:rsidR="00981EF3" w:rsidRDefault="00981EF3">
    <w:pPr>
      <w:pStyle w:val="Alatunniste"/>
    </w:pPr>
    <w:r>
      <w:rPr>
        <w:noProof/>
      </w:rPr>
      <w:drawing>
        <wp:anchor distT="0" distB="0" distL="114300" distR="114300" simplePos="0" relativeHeight="251658240" behindDoc="1" locked="1" layoutInCell="0" allowOverlap="1">
          <wp:simplePos x="0" y="0"/>
          <wp:positionH relativeFrom="page">
            <wp:posOffset>1918970</wp:posOffset>
          </wp:positionH>
          <wp:positionV relativeFrom="page">
            <wp:posOffset>3747770</wp:posOffset>
          </wp:positionV>
          <wp:extent cx="5448300" cy="6756400"/>
          <wp:effectExtent l="19050" t="0" r="0" b="0"/>
          <wp:wrapNone/>
          <wp:docPr id="4" name="Kuva 4" descr="leij_ra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ij_raj1"/>
                  <pic:cNvPicPr>
                    <a:picLocks noChangeAspect="1" noChangeArrowheads="1"/>
                  </pic:cNvPicPr>
                </pic:nvPicPr>
                <pic:blipFill>
                  <a:blip r:embed="rId1"/>
                  <a:srcRect/>
                  <a:stretch>
                    <a:fillRect/>
                  </a:stretch>
                </pic:blipFill>
                <pic:spPr bwMode="auto">
                  <a:xfrm>
                    <a:off x="0" y="0"/>
                    <a:ext cx="5448300" cy="6756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6F" w:rsidRDefault="00EB2D6F">
      <w:r>
        <w:separator/>
      </w:r>
    </w:p>
  </w:footnote>
  <w:footnote w:type="continuationSeparator" w:id="0">
    <w:p w:rsidR="00EB2D6F" w:rsidRDefault="00EB2D6F">
      <w:r>
        <w:continuationSeparator/>
      </w:r>
    </w:p>
  </w:footnote>
  <w:footnote w:type="continuationNotice" w:id="1">
    <w:p w:rsidR="00EB2D6F" w:rsidRDefault="00EB2D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5" w:type="dxa"/>
      <w:tblInd w:w="-284" w:type="dxa"/>
      <w:tblLayout w:type="fixed"/>
      <w:tblCellMar>
        <w:left w:w="6" w:type="dxa"/>
        <w:right w:w="0" w:type="dxa"/>
      </w:tblCellMar>
      <w:tblLook w:val="0000" w:firstRow="0" w:lastRow="0" w:firstColumn="0" w:lastColumn="0" w:noHBand="0" w:noVBand="0"/>
    </w:tblPr>
    <w:tblGrid>
      <w:gridCol w:w="5499"/>
      <w:gridCol w:w="2608"/>
      <w:gridCol w:w="1304"/>
      <w:gridCol w:w="1304"/>
    </w:tblGrid>
    <w:tr w:rsidR="00981EF3" w:rsidRPr="00C605DC" w:rsidTr="00A2253F">
      <w:trPr>
        <w:cantSplit/>
        <w:trHeight w:val="482"/>
      </w:trPr>
      <w:tc>
        <w:tcPr>
          <w:tcW w:w="5499" w:type="dxa"/>
          <w:vMerge w:val="restart"/>
        </w:tcPr>
        <w:p w:rsidR="00981EF3" w:rsidRPr="00C605DC" w:rsidRDefault="00981EF3" w:rsidP="0083100A">
          <w:pPr>
            <w:pStyle w:val="Yltunniste"/>
            <w:rPr>
              <w:rFonts w:cs="Arial"/>
            </w:rPr>
          </w:pPr>
          <w:r w:rsidRPr="00C605DC">
            <w:rPr>
              <w:rFonts w:cs="Arial"/>
              <w:noProof/>
            </w:rPr>
            <w:drawing>
              <wp:inline distT="0" distB="0" distL="0" distR="0">
                <wp:extent cx="2514600" cy="771525"/>
                <wp:effectExtent l="0" t="0" r="0" b="0"/>
                <wp:docPr id="20" name="Kuva 20"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M_mv_pc"/>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inline>
            </w:drawing>
          </w:r>
        </w:p>
      </w:tc>
      <w:tc>
        <w:tcPr>
          <w:tcW w:w="2608" w:type="dxa"/>
          <w:vAlign w:val="bottom"/>
        </w:tcPr>
        <w:p w:rsidR="00981EF3" w:rsidRPr="00C605DC" w:rsidRDefault="00981EF3" w:rsidP="00B56D7E">
          <w:pPr>
            <w:pStyle w:val="Yltunniste"/>
            <w:rPr>
              <w:rFonts w:cs="Arial"/>
              <w:b/>
            </w:rPr>
          </w:pPr>
        </w:p>
      </w:tc>
      <w:tc>
        <w:tcPr>
          <w:tcW w:w="1304" w:type="dxa"/>
          <w:vAlign w:val="bottom"/>
        </w:tcPr>
        <w:p w:rsidR="00981EF3" w:rsidRPr="00C605DC" w:rsidRDefault="00981EF3" w:rsidP="0083100A">
          <w:pPr>
            <w:pStyle w:val="Yltunniste"/>
            <w:rPr>
              <w:rFonts w:cs="Arial"/>
            </w:rPr>
          </w:pPr>
        </w:p>
      </w:tc>
      <w:tc>
        <w:tcPr>
          <w:tcW w:w="1304" w:type="dxa"/>
          <w:vAlign w:val="bottom"/>
        </w:tcPr>
        <w:p w:rsidR="00981EF3" w:rsidRPr="00C605DC" w:rsidRDefault="00981EF3" w:rsidP="0083100A">
          <w:pPr>
            <w:pStyle w:val="Yltunniste"/>
            <w:rPr>
              <w:rFonts w:cs="Arial"/>
            </w:rPr>
          </w:pPr>
          <w:r w:rsidRPr="00C605DC">
            <w:rPr>
              <w:rFonts w:cs="Arial"/>
              <w:caps/>
            </w:rPr>
            <w:fldChar w:fldCharType="begin"/>
          </w:r>
          <w:r w:rsidRPr="00C605DC">
            <w:rPr>
              <w:rFonts w:cs="Arial"/>
              <w:caps/>
            </w:rPr>
            <w:instrText xml:space="preserve"> PAGE  \* MERGEFORMAT </w:instrText>
          </w:r>
          <w:r w:rsidRPr="00C605DC">
            <w:rPr>
              <w:rFonts w:cs="Arial"/>
              <w:caps/>
            </w:rPr>
            <w:fldChar w:fldCharType="separate"/>
          </w:r>
          <w:r w:rsidR="00600B32">
            <w:rPr>
              <w:rFonts w:cs="Arial"/>
              <w:caps/>
              <w:noProof/>
            </w:rPr>
            <w:t>7</w:t>
          </w:r>
          <w:r w:rsidRPr="00C605DC">
            <w:rPr>
              <w:rFonts w:cs="Arial"/>
              <w:caps/>
            </w:rPr>
            <w:fldChar w:fldCharType="end"/>
          </w:r>
          <w:r w:rsidRPr="00C605DC">
            <w:rPr>
              <w:rFonts w:cs="Arial"/>
            </w:rPr>
            <w:t xml:space="preserve"> (</w:t>
          </w:r>
          <w:r w:rsidRPr="00C605DC">
            <w:rPr>
              <w:rFonts w:cs="Arial"/>
            </w:rPr>
            <w:fldChar w:fldCharType="begin"/>
          </w:r>
          <w:r w:rsidRPr="00C605DC">
            <w:rPr>
              <w:rFonts w:cs="Arial"/>
            </w:rPr>
            <w:instrText xml:space="preserve"> NUMPAGES  \* MERGEFORMAT </w:instrText>
          </w:r>
          <w:r w:rsidRPr="00C605DC">
            <w:rPr>
              <w:rFonts w:cs="Arial"/>
            </w:rPr>
            <w:fldChar w:fldCharType="separate"/>
          </w:r>
          <w:r w:rsidR="00600B32">
            <w:rPr>
              <w:rFonts w:cs="Arial"/>
              <w:noProof/>
            </w:rPr>
            <w:t>7</w:t>
          </w:r>
          <w:r w:rsidRPr="00C605DC">
            <w:rPr>
              <w:rFonts w:cs="Arial"/>
              <w:noProof/>
            </w:rPr>
            <w:fldChar w:fldCharType="end"/>
          </w:r>
          <w:r w:rsidRPr="00C605DC">
            <w:rPr>
              <w:rFonts w:cs="Arial"/>
            </w:rPr>
            <w:t>)</w:t>
          </w:r>
        </w:p>
      </w:tc>
    </w:tr>
    <w:tr w:rsidR="00981EF3" w:rsidRPr="00C605DC" w:rsidTr="00A2253F">
      <w:trPr>
        <w:cantSplit/>
        <w:trHeight w:val="227"/>
      </w:trPr>
      <w:tc>
        <w:tcPr>
          <w:tcW w:w="5499" w:type="dxa"/>
          <w:vMerge/>
        </w:tcPr>
        <w:p w:rsidR="00981EF3" w:rsidRPr="00C605DC" w:rsidRDefault="00981EF3" w:rsidP="0083100A">
          <w:pPr>
            <w:pStyle w:val="Yltunniste"/>
            <w:rPr>
              <w:rFonts w:cs="Arial"/>
            </w:rPr>
          </w:pPr>
        </w:p>
      </w:tc>
      <w:tc>
        <w:tcPr>
          <w:tcW w:w="2608" w:type="dxa"/>
        </w:tcPr>
        <w:p w:rsidR="00981EF3" w:rsidRPr="00C605DC" w:rsidRDefault="00981EF3" w:rsidP="0083100A">
          <w:pPr>
            <w:pStyle w:val="Yltunniste"/>
            <w:rPr>
              <w:rFonts w:cs="Arial"/>
            </w:rPr>
          </w:pPr>
        </w:p>
      </w:tc>
      <w:tc>
        <w:tcPr>
          <w:tcW w:w="2608" w:type="dxa"/>
          <w:gridSpan w:val="2"/>
        </w:tcPr>
        <w:p w:rsidR="00981EF3" w:rsidRPr="00C605DC" w:rsidRDefault="00981EF3" w:rsidP="0083100A">
          <w:pPr>
            <w:pStyle w:val="Yltunniste"/>
            <w:rPr>
              <w:rFonts w:cs="Arial"/>
            </w:rPr>
          </w:pPr>
        </w:p>
      </w:tc>
    </w:tr>
    <w:tr w:rsidR="00981EF3" w:rsidRPr="00C605DC" w:rsidTr="00A2253F">
      <w:trPr>
        <w:cantSplit/>
        <w:trHeight w:val="227"/>
      </w:trPr>
      <w:tc>
        <w:tcPr>
          <w:tcW w:w="5499" w:type="dxa"/>
          <w:vMerge/>
        </w:tcPr>
        <w:p w:rsidR="00981EF3" w:rsidRPr="00C605DC" w:rsidRDefault="00981EF3" w:rsidP="0083100A">
          <w:pPr>
            <w:pStyle w:val="Yltunniste"/>
            <w:rPr>
              <w:rFonts w:cs="Arial"/>
            </w:rPr>
          </w:pPr>
        </w:p>
      </w:tc>
      <w:tc>
        <w:tcPr>
          <w:tcW w:w="2608" w:type="dxa"/>
          <w:vAlign w:val="center"/>
        </w:tcPr>
        <w:p w:rsidR="00981EF3" w:rsidRPr="00C605DC" w:rsidRDefault="00981EF3" w:rsidP="0083100A">
          <w:pPr>
            <w:pStyle w:val="Yltunniste"/>
            <w:rPr>
              <w:rFonts w:cs="Arial"/>
            </w:rPr>
          </w:pPr>
        </w:p>
      </w:tc>
      <w:tc>
        <w:tcPr>
          <w:tcW w:w="2608" w:type="dxa"/>
          <w:gridSpan w:val="2"/>
          <w:vAlign w:val="center"/>
        </w:tcPr>
        <w:p w:rsidR="00981EF3" w:rsidRPr="00C605DC" w:rsidRDefault="00981EF3" w:rsidP="0083100A">
          <w:pPr>
            <w:pStyle w:val="Yltunniste"/>
            <w:rPr>
              <w:rFonts w:cs="Arial"/>
            </w:rPr>
          </w:pPr>
        </w:p>
      </w:tc>
    </w:tr>
    <w:tr w:rsidR="00981EF3" w:rsidRPr="00C605DC" w:rsidTr="00A2253F">
      <w:trPr>
        <w:cantSplit/>
        <w:trHeight w:val="227"/>
      </w:trPr>
      <w:tc>
        <w:tcPr>
          <w:tcW w:w="5499" w:type="dxa"/>
          <w:vMerge/>
        </w:tcPr>
        <w:p w:rsidR="00981EF3" w:rsidRPr="00C605DC" w:rsidRDefault="00981EF3" w:rsidP="0083100A">
          <w:pPr>
            <w:pStyle w:val="Yltunniste"/>
            <w:rPr>
              <w:rFonts w:cs="Arial"/>
            </w:rPr>
          </w:pPr>
        </w:p>
      </w:tc>
      <w:tc>
        <w:tcPr>
          <w:tcW w:w="2608" w:type="dxa"/>
        </w:tcPr>
        <w:p w:rsidR="00981EF3" w:rsidRPr="00C605DC" w:rsidRDefault="00974570" w:rsidP="0083100A">
          <w:pPr>
            <w:pStyle w:val="Yltunniste"/>
            <w:rPr>
              <w:rFonts w:cs="Arial"/>
            </w:rPr>
          </w:pPr>
          <w:r>
            <w:rPr>
              <w:rFonts w:cs="Arial"/>
            </w:rPr>
            <w:t>31</w:t>
          </w:r>
          <w:r w:rsidR="000F3898" w:rsidRPr="000F3898">
            <w:rPr>
              <w:rFonts w:cs="Arial"/>
            </w:rPr>
            <w:t>.8</w:t>
          </w:r>
          <w:r w:rsidR="00C13DB1" w:rsidRPr="000F3898">
            <w:rPr>
              <w:rFonts w:cs="Arial"/>
            </w:rPr>
            <w:t>.2023</w:t>
          </w:r>
        </w:p>
      </w:tc>
      <w:tc>
        <w:tcPr>
          <w:tcW w:w="2608" w:type="dxa"/>
          <w:gridSpan w:val="2"/>
        </w:tcPr>
        <w:p w:rsidR="00981EF3" w:rsidRPr="00C605DC" w:rsidRDefault="00981EF3" w:rsidP="0083100A">
          <w:pPr>
            <w:pStyle w:val="Yltunniste"/>
            <w:rPr>
              <w:rFonts w:cs="Arial"/>
            </w:rPr>
          </w:pPr>
        </w:p>
      </w:tc>
    </w:tr>
  </w:tbl>
  <w:p w:rsidR="00981EF3" w:rsidRDefault="00981EF3" w:rsidP="001E40DE">
    <w:pPr>
      <w:pStyle w:val="Yltunniste"/>
      <w:tabs>
        <w:tab w:val="left" w:pos="6348"/>
      </w:tabs>
    </w:pPr>
    <w:r w:rsidRPr="00C605DC">
      <w:rPr>
        <w:rFonts w:cs="Arial"/>
      </w:rPr>
      <w:t>Hallintopoliittinen osasto/</w:t>
    </w:r>
    <w:r>
      <w:t>Lainvalmistelu-</w:t>
    </w:r>
  </w:p>
  <w:p w:rsidR="00981EF3" w:rsidRDefault="00981EF3" w:rsidP="001E40DE">
    <w:pPr>
      <w:pStyle w:val="Yltunniste"/>
      <w:tabs>
        <w:tab w:val="left" w:pos="6348"/>
      </w:tabs>
    </w:pPr>
    <w:r>
      <w:t>ja oikeusyksikkö</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431" w:type="dxa"/>
      <w:tblLayout w:type="fixed"/>
      <w:tblCellMar>
        <w:left w:w="68" w:type="dxa"/>
        <w:right w:w="68" w:type="dxa"/>
      </w:tblCellMar>
      <w:tblLook w:val="0000" w:firstRow="0" w:lastRow="0" w:firstColumn="0" w:lastColumn="0" w:noHBand="0" w:noVBand="0"/>
    </w:tblPr>
    <w:tblGrid>
      <w:gridCol w:w="5648"/>
      <w:gridCol w:w="2608"/>
      <w:gridCol w:w="1304"/>
      <w:gridCol w:w="1213"/>
    </w:tblGrid>
    <w:tr w:rsidR="00981EF3">
      <w:trPr>
        <w:cantSplit/>
        <w:trHeight w:val="482"/>
      </w:trPr>
      <w:tc>
        <w:tcPr>
          <w:tcW w:w="5647" w:type="dxa"/>
          <w:vMerge w:val="restart"/>
        </w:tcPr>
        <w:p w:rsidR="00981EF3" w:rsidRDefault="00981EF3" w:rsidP="00523B98">
          <w:pPr>
            <w:pStyle w:val="Yltunniste"/>
          </w:pPr>
          <w:r>
            <w:rPr>
              <w:noProof/>
            </w:rPr>
            <w:drawing>
              <wp:inline distT="0" distB="0" distL="0" distR="0">
                <wp:extent cx="2409825" cy="752475"/>
                <wp:effectExtent l="0" t="0" r="0" b="0"/>
                <wp:docPr id="3" name="Kuva 3" descr="PLM_mv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M_mv_pc"/>
                        <pic:cNvPicPr>
                          <a:picLocks noChangeAspect="1" noChangeArrowheads="1"/>
                        </pic:cNvPicPr>
                      </pic:nvPicPr>
                      <pic:blipFill>
                        <a:blip r:embed="rId1"/>
                        <a:srcRect/>
                        <a:stretch>
                          <a:fillRect/>
                        </a:stretch>
                      </pic:blipFill>
                      <pic:spPr bwMode="auto">
                        <a:xfrm>
                          <a:off x="0" y="0"/>
                          <a:ext cx="2409825" cy="752475"/>
                        </a:xfrm>
                        <a:prstGeom prst="rect">
                          <a:avLst/>
                        </a:prstGeom>
                        <a:noFill/>
                        <a:ln w="9525">
                          <a:noFill/>
                          <a:miter lim="800000"/>
                          <a:headEnd/>
                          <a:tailEnd/>
                        </a:ln>
                      </pic:spPr>
                    </pic:pic>
                  </a:graphicData>
                </a:graphic>
              </wp:inline>
            </w:drawing>
          </w:r>
        </w:p>
      </w:tc>
      <w:tc>
        <w:tcPr>
          <w:tcW w:w="2608" w:type="dxa"/>
          <w:vAlign w:val="bottom"/>
        </w:tcPr>
        <w:p w:rsidR="00981EF3" w:rsidRDefault="00981EF3" w:rsidP="00523B98">
          <w:pPr>
            <w:pStyle w:val="Yltunniste"/>
            <w:rPr>
              <w:caps/>
            </w:rPr>
          </w:pPr>
        </w:p>
      </w:tc>
      <w:tc>
        <w:tcPr>
          <w:tcW w:w="1304" w:type="dxa"/>
          <w:vAlign w:val="bottom"/>
        </w:tcPr>
        <w:p w:rsidR="00981EF3" w:rsidRDefault="00981EF3" w:rsidP="00523B98">
          <w:pPr>
            <w:pStyle w:val="Yltunniste"/>
          </w:pPr>
        </w:p>
      </w:tc>
      <w:tc>
        <w:tcPr>
          <w:tcW w:w="1213" w:type="dxa"/>
          <w:vAlign w:val="bottom"/>
        </w:tcPr>
        <w:p w:rsidR="00981EF3" w:rsidRDefault="00981EF3" w:rsidP="00523B98">
          <w:pPr>
            <w:pStyle w:val="Yltunniste"/>
          </w:pPr>
          <w:r>
            <w:rPr>
              <w:caps/>
            </w:rPr>
            <w:fldChar w:fldCharType="begin"/>
          </w:r>
          <w:r>
            <w:rPr>
              <w:caps/>
            </w:rPr>
            <w:instrText xml:space="preserve"> PAGE  \* MERGEFORMAT </w:instrText>
          </w:r>
          <w:r>
            <w:rPr>
              <w:caps/>
            </w:rPr>
            <w:fldChar w:fldCharType="separate"/>
          </w:r>
          <w:r>
            <w:rPr>
              <w:caps/>
              <w:noProof/>
            </w:rPr>
            <w:t>1</w:t>
          </w:r>
          <w:r>
            <w:rPr>
              <w:caps/>
            </w:rPr>
            <w:fldChar w:fldCharType="end"/>
          </w:r>
          <w:r>
            <w:t xml:space="preserve"> (</w:t>
          </w:r>
          <w:r w:rsidR="00EB2D6F">
            <w:fldChar w:fldCharType="begin"/>
          </w:r>
          <w:r w:rsidR="00EB2D6F">
            <w:instrText xml:space="preserve"> NUMPAGES  \* MERGEFORMAT </w:instrText>
          </w:r>
          <w:r w:rsidR="00EB2D6F">
            <w:fldChar w:fldCharType="separate"/>
          </w:r>
          <w:r>
            <w:rPr>
              <w:noProof/>
            </w:rPr>
            <w:t>29</w:t>
          </w:r>
          <w:r w:rsidR="00EB2D6F">
            <w:rPr>
              <w:noProof/>
            </w:rPr>
            <w:fldChar w:fldCharType="end"/>
          </w:r>
          <w:r>
            <w:t>)</w:t>
          </w:r>
        </w:p>
      </w:tc>
    </w:tr>
    <w:tr w:rsidR="00981EF3">
      <w:trPr>
        <w:cantSplit/>
        <w:trHeight w:val="227"/>
      </w:trPr>
      <w:tc>
        <w:tcPr>
          <w:tcW w:w="5647" w:type="dxa"/>
          <w:vMerge/>
        </w:tcPr>
        <w:p w:rsidR="00981EF3" w:rsidRDefault="00981EF3" w:rsidP="00523B98">
          <w:pPr>
            <w:pStyle w:val="Yltunniste"/>
          </w:pPr>
        </w:p>
      </w:tc>
      <w:tc>
        <w:tcPr>
          <w:tcW w:w="2608" w:type="dxa"/>
        </w:tcPr>
        <w:p w:rsidR="00981EF3" w:rsidRDefault="00981EF3" w:rsidP="00523B98">
          <w:pPr>
            <w:pStyle w:val="Yltunniste"/>
          </w:pPr>
        </w:p>
      </w:tc>
      <w:tc>
        <w:tcPr>
          <w:tcW w:w="1213" w:type="dxa"/>
          <w:gridSpan w:val="2"/>
        </w:tcPr>
        <w:p w:rsidR="00981EF3" w:rsidRDefault="00981EF3" w:rsidP="00523B98">
          <w:pPr>
            <w:pStyle w:val="Yltunniste"/>
          </w:pPr>
        </w:p>
      </w:tc>
    </w:tr>
    <w:tr w:rsidR="00981EF3">
      <w:trPr>
        <w:cantSplit/>
        <w:trHeight w:val="227"/>
      </w:trPr>
      <w:tc>
        <w:tcPr>
          <w:tcW w:w="5647" w:type="dxa"/>
          <w:vMerge/>
        </w:tcPr>
        <w:p w:rsidR="00981EF3" w:rsidRDefault="00981EF3" w:rsidP="00523B98">
          <w:pPr>
            <w:pStyle w:val="Yltunniste"/>
          </w:pPr>
        </w:p>
      </w:tc>
      <w:tc>
        <w:tcPr>
          <w:tcW w:w="2608" w:type="dxa"/>
          <w:vAlign w:val="center"/>
        </w:tcPr>
        <w:p w:rsidR="00981EF3" w:rsidRDefault="00981EF3" w:rsidP="00523B98">
          <w:pPr>
            <w:pStyle w:val="Yltunniste"/>
          </w:pPr>
        </w:p>
      </w:tc>
      <w:tc>
        <w:tcPr>
          <w:tcW w:w="1213" w:type="dxa"/>
          <w:gridSpan w:val="2"/>
          <w:vAlign w:val="center"/>
        </w:tcPr>
        <w:p w:rsidR="00981EF3" w:rsidRDefault="00981EF3" w:rsidP="00523B98">
          <w:pPr>
            <w:pStyle w:val="Yltunniste"/>
          </w:pPr>
          <w:proofErr w:type="spellStart"/>
          <w:r>
            <w:t>Urn</w:t>
          </w:r>
          <w:proofErr w:type="spellEnd"/>
        </w:p>
      </w:tc>
    </w:tr>
    <w:tr w:rsidR="00981EF3">
      <w:trPr>
        <w:cantSplit/>
        <w:trHeight w:val="227"/>
      </w:trPr>
      <w:tc>
        <w:tcPr>
          <w:tcW w:w="5647" w:type="dxa"/>
          <w:vMerge/>
        </w:tcPr>
        <w:p w:rsidR="00981EF3" w:rsidRDefault="00981EF3" w:rsidP="00523B98">
          <w:pPr>
            <w:pStyle w:val="Yltunniste"/>
          </w:pPr>
        </w:p>
      </w:tc>
      <w:tc>
        <w:tcPr>
          <w:tcW w:w="2608" w:type="dxa"/>
        </w:tcPr>
        <w:p w:rsidR="00981EF3" w:rsidRDefault="00981EF3" w:rsidP="00523B98">
          <w:pPr>
            <w:pStyle w:val="Yltunniste"/>
          </w:pPr>
          <w:r>
            <w:t>Pvm</w:t>
          </w:r>
        </w:p>
      </w:tc>
      <w:tc>
        <w:tcPr>
          <w:tcW w:w="1213" w:type="dxa"/>
          <w:gridSpan w:val="2"/>
        </w:tcPr>
        <w:p w:rsidR="00981EF3" w:rsidRDefault="00981EF3" w:rsidP="00523B98">
          <w:pPr>
            <w:pStyle w:val="Yltunniste"/>
          </w:pPr>
          <w:r>
            <w:t>Asianumero</w:t>
          </w:r>
        </w:p>
      </w:tc>
    </w:tr>
  </w:tbl>
  <w:p w:rsidR="00981EF3" w:rsidRPr="00457CCA" w:rsidRDefault="00981EF3" w:rsidP="00361D9E">
    <w:pPr>
      <w:pStyle w:val="Yltunniste"/>
      <w:spacing w:after="69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0CD9"/>
    <w:multiLevelType w:val="multilevel"/>
    <w:tmpl w:val="6C2A04C8"/>
    <w:lvl w:ilvl="0">
      <w:start w:val="1"/>
      <w:numFmt w:val="decimal"/>
      <w:pStyle w:val="Otsikko1"/>
      <w:lvlText w:val="%1"/>
      <w:lvlJc w:val="left"/>
      <w:pPr>
        <w:tabs>
          <w:tab w:val="num" w:pos="425"/>
        </w:tabs>
        <w:ind w:left="425" w:hanging="425"/>
      </w:pPr>
      <w:rPr>
        <w:rFonts w:hint="default"/>
      </w:rPr>
    </w:lvl>
    <w:lvl w:ilvl="1">
      <w:start w:val="1"/>
      <w:numFmt w:val="decimal"/>
      <w:pStyle w:val="Otsikko2"/>
      <w:lvlText w:val="%1.%2"/>
      <w:lvlJc w:val="left"/>
      <w:pPr>
        <w:tabs>
          <w:tab w:val="num" w:pos="709"/>
        </w:tabs>
        <w:ind w:left="709" w:hanging="709"/>
      </w:pPr>
      <w:rPr>
        <w:rFonts w:hint="default"/>
      </w:rPr>
    </w:lvl>
    <w:lvl w:ilvl="2">
      <w:start w:val="1"/>
      <w:numFmt w:val="decimal"/>
      <w:pStyle w:val="Otsikko3"/>
      <w:lvlText w:val="%1.%2.%3"/>
      <w:lvlJc w:val="left"/>
      <w:pPr>
        <w:tabs>
          <w:tab w:val="num" w:pos="851"/>
        </w:tabs>
        <w:ind w:left="851" w:hanging="851"/>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61C6334"/>
    <w:multiLevelType w:val="singleLevel"/>
    <w:tmpl w:val="130C1AC0"/>
    <w:lvl w:ilvl="0">
      <w:start w:val="1"/>
      <w:numFmt w:val="decimal"/>
      <w:pStyle w:val="Numeroluettelo"/>
      <w:lvlText w:val="%1"/>
      <w:lvlJc w:val="left"/>
      <w:pPr>
        <w:ind w:left="360" w:hanging="360"/>
      </w:pPr>
      <w:rPr>
        <w:rFonts w:hint="default"/>
      </w:rPr>
    </w:lvl>
  </w:abstractNum>
  <w:abstractNum w:abstractNumId="2" w15:restartNumberingAfterBreak="0">
    <w:nsid w:val="1DE50F18"/>
    <w:multiLevelType w:val="hybridMultilevel"/>
    <w:tmpl w:val="D96ECB8C"/>
    <w:lvl w:ilvl="0" w:tplc="4F48CDB2">
      <w:start w:val="33"/>
      <w:numFmt w:val="bullet"/>
      <w:lvlText w:val="-"/>
      <w:lvlJc w:val="left"/>
      <w:pPr>
        <w:ind w:left="1660" w:hanging="360"/>
      </w:pPr>
      <w:rPr>
        <w:rFonts w:ascii="Arial" w:eastAsia="Times New Roman" w:hAnsi="Arial" w:cs="Aria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3" w15:restartNumberingAfterBreak="0">
    <w:nsid w:val="22A95709"/>
    <w:multiLevelType w:val="singleLevel"/>
    <w:tmpl w:val="1E0C3688"/>
    <w:lvl w:ilvl="0">
      <w:start w:val="1"/>
      <w:numFmt w:val="decimal"/>
      <w:pStyle w:val="Sisennettynumeroluettelo"/>
      <w:lvlText w:val="%1"/>
      <w:lvlJc w:val="left"/>
      <w:pPr>
        <w:ind w:left="1778" w:hanging="360"/>
      </w:pPr>
      <w:rPr>
        <w:rFonts w:hint="default"/>
      </w:rPr>
    </w:lvl>
  </w:abstractNum>
  <w:abstractNum w:abstractNumId="4" w15:restartNumberingAfterBreak="0">
    <w:nsid w:val="298E74B0"/>
    <w:multiLevelType w:val="hybridMultilevel"/>
    <w:tmpl w:val="3BC8F1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4D515D14"/>
    <w:multiLevelType w:val="singleLevel"/>
    <w:tmpl w:val="755A6E52"/>
    <w:lvl w:ilvl="0">
      <w:start w:val="1"/>
      <w:numFmt w:val="bullet"/>
      <w:pStyle w:val="Viivaluettelo"/>
      <w:lvlText w:val=""/>
      <w:lvlJc w:val="left"/>
      <w:pPr>
        <w:tabs>
          <w:tab w:val="num" w:pos="567"/>
        </w:tabs>
        <w:ind w:left="567" w:hanging="567"/>
      </w:pPr>
      <w:rPr>
        <w:rFonts w:ascii="Symbol" w:hAnsi="Symbol" w:hint="default"/>
      </w:rPr>
    </w:lvl>
  </w:abstractNum>
  <w:abstractNum w:abstractNumId="6" w15:restartNumberingAfterBreak="0">
    <w:nsid w:val="6077128F"/>
    <w:multiLevelType w:val="hybridMultilevel"/>
    <w:tmpl w:val="CDB082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F35B5A"/>
    <w:multiLevelType w:val="singleLevel"/>
    <w:tmpl w:val="FD0A1F12"/>
    <w:lvl w:ilvl="0">
      <w:start w:val="1"/>
      <w:numFmt w:val="bullet"/>
      <w:pStyle w:val="Sisennettyviivaluettelo"/>
      <w:lvlText w:val=""/>
      <w:lvlJc w:val="left"/>
      <w:pPr>
        <w:tabs>
          <w:tab w:val="num" w:pos="567"/>
        </w:tabs>
        <w:ind w:left="567" w:hanging="567"/>
      </w:pPr>
      <w:rPr>
        <w:rFonts w:ascii="Symbol" w:hAnsi="Symbol" w:hint="default"/>
      </w:rPr>
    </w:lvl>
  </w:abstractNum>
  <w:num w:numId="1">
    <w:abstractNumId w:val="3"/>
  </w:num>
  <w:num w:numId="2">
    <w:abstractNumId w:val="3"/>
  </w:num>
  <w:num w:numId="3">
    <w:abstractNumId w:val="7"/>
  </w:num>
  <w:num w:numId="4">
    <w:abstractNumId w:val="1"/>
  </w:num>
  <w:num w:numId="5">
    <w:abstractNumId w:val="5"/>
  </w:num>
  <w:num w:numId="6">
    <w:abstractNumId w:val="0"/>
  </w:num>
  <w:num w:numId="7">
    <w:abstractNumId w:val="0"/>
  </w:num>
  <w:num w:numId="8">
    <w:abstractNumId w:val="0"/>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66" w:dllVersion="513" w:checkStyle="1"/>
  <w:activeWritingStyle w:appName="MSWord" w:lang="fi-FI"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DC"/>
    <w:rsid w:val="00000BAA"/>
    <w:rsid w:val="000032DE"/>
    <w:rsid w:val="00003BD1"/>
    <w:rsid w:val="0000451E"/>
    <w:rsid w:val="00011B00"/>
    <w:rsid w:val="00011F45"/>
    <w:rsid w:val="000129F9"/>
    <w:rsid w:val="0001343C"/>
    <w:rsid w:val="000166C0"/>
    <w:rsid w:val="00020EDE"/>
    <w:rsid w:val="00023044"/>
    <w:rsid w:val="00023C34"/>
    <w:rsid w:val="00023E7A"/>
    <w:rsid w:val="00026027"/>
    <w:rsid w:val="00030104"/>
    <w:rsid w:val="00031FEB"/>
    <w:rsid w:val="000329A4"/>
    <w:rsid w:val="0003387F"/>
    <w:rsid w:val="00037875"/>
    <w:rsid w:val="00040338"/>
    <w:rsid w:val="00041220"/>
    <w:rsid w:val="000433B6"/>
    <w:rsid w:val="00045D30"/>
    <w:rsid w:val="00051AF2"/>
    <w:rsid w:val="00056AA1"/>
    <w:rsid w:val="000575E4"/>
    <w:rsid w:val="00057959"/>
    <w:rsid w:val="000615CB"/>
    <w:rsid w:val="00061B58"/>
    <w:rsid w:val="00066D34"/>
    <w:rsid w:val="00067EA1"/>
    <w:rsid w:val="000736B6"/>
    <w:rsid w:val="000752DA"/>
    <w:rsid w:val="00076ED2"/>
    <w:rsid w:val="00077BB4"/>
    <w:rsid w:val="00080FC4"/>
    <w:rsid w:val="0008129E"/>
    <w:rsid w:val="000909F2"/>
    <w:rsid w:val="000937BC"/>
    <w:rsid w:val="00093971"/>
    <w:rsid w:val="000961E4"/>
    <w:rsid w:val="00096AAD"/>
    <w:rsid w:val="000A7FE8"/>
    <w:rsid w:val="000B0527"/>
    <w:rsid w:val="000B1742"/>
    <w:rsid w:val="000B19EB"/>
    <w:rsid w:val="000B1C8E"/>
    <w:rsid w:val="000B5424"/>
    <w:rsid w:val="000C0336"/>
    <w:rsid w:val="000C042A"/>
    <w:rsid w:val="000C1F28"/>
    <w:rsid w:val="000C6E1F"/>
    <w:rsid w:val="000D29F6"/>
    <w:rsid w:val="000D2D60"/>
    <w:rsid w:val="000D3637"/>
    <w:rsid w:val="000D3C1D"/>
    <w:rsid w:val="000D5148"/>
    <w:rsid w:val="000D5F32"/>
    <w:rsid w:val="000E0B4A"/>
    <w:rsid w:val="000E46EC"/>
    <w:rsid w:val="000E6015"/>
    <w:rsid w:val="000E71A2"/>
    <w:rsid w:val="000E7F1E"/>
    <w:rsid w:val="000F0E7E"/>
    <w:rsid w:val="000F3497"/>
    <w:rsid w:val="000F3846"/>
    <w:rsid w:val="000F3898"/>
    <w:rsid w:val="000F5CC3"/>
    <w:rsid w:val="000F60B3"/>
    <w:rsid w:val="00103470"/>
    <w:rsid w:val="00103F12"/>
    <w:rsid w:val="00115E1E"/>
    <w:rsid w:val="00120A61"/>
    <w:rsid w:val="0013372C"/>
    <w:rsid w:val="00141A5B"/>
    <w:rsid w:val="00143CD3"/>
    <w:rsid w:val="001455F1"/>
    <w:rsid w:val="001523A7"/>
    <w:rsid w:val="00153832"/>
    <w:rsid w:val="00160BA0"/>
    <w:rsid w:val="00163CFE"/>
    <w:rsid w:val="0016462A"/>
    <w:rsid w:val="00170B6B"/>
    <w:rsid w:val="00171E16"/>
    <w:rsid w:val="00176E96"/>
    <w:rsid w:val="00181F35"/>
    <w:rsid w:val="001872FA"/>
    <w:rsid w:val="0019106C"/>
    <w:rsid w:val="00192413"/>
    <w:rsid w:val="0019371A"/>
    <w:rsid w:val="00193DCE"/>
    <w:rsid w:val="001948B3"/>
    <w:rsid w:val="001A036B"/>
    <w:rsid w:val="001A19CC"/>
    <w:rsid w:val="001A37A5"/>
    <w:rsid w:val="001A3E97"/>
    <w:rsid w:val="001B3D7E"/>
    <w:rsid w:val="001B71CD"/>
    <w:rsid w:val="001C1457"/>
    <w:rsid w:val="001C1D61"/>
    <w:rsid w:val="001D2D63"/>
    <w:rsid w:val="001D44E8"/>
    <w:rsid w:val="001D4B56"/>
    <w:rsid w:val="001D5A41"/>
    <w:rsid w:val="001D7F67"/>
    <w:rsid w:val="001E204E"/>
    <w:rsid w:val="001E2274"/>
    <w:rsid w:val="001E3C37"/>
    <w:rsid w:val="001E40B5"/>
    <w:rsid w:val="001E40DE"/>
    <w:rsid w:val="001E641A"/>
    <w:rsid w:val="001E6C62"/>
    <w:rsid w:val="001E6EC0"/>
    <w:rsid w:val="001F1607"/>
    <w:rsid w:val="001F3C5B"/>
    <w:rsid w:val="001F496D"/>
    <w:rsid w:val="001F4E47"/>
    <w:rsid w:val="001F7219"/>
    <w:rsid w:val="001F7B99"/>
    <w:rsid w:val="00204FA7"/>
    <w:rsid w:val="00205F6B"/>
    <w:rsid w:val="0021699E"/>
    <w:rsid w:val="002172E0"/>
    <w:rsid w:val="002178DB"/>
    <w:rsid w:val="002225EF"/>
    <w:rsid w:val="00223D29"/>
    <w:rsid w:val="00227582"/>
    <w:rsid w:val="00227DB9"/>
    <w:rsid w:val="00227F35"/>
    <w:rsid w:val="00231729"/>
    <w:rsid w:val="00233C61"/>
    <w:rsid w:val="00237EC0"/>
    <w:rsid w:val="0024084E"/>
    <w:rsid w:val="002410A9"/>
    <w:rsid w:val="00243B6C"/>
    <w:rsid w:val="00251D62"/>
    <w:rsid w:val="00251FBE"/>
    <w:rsid w:val="00252232"/>
    <w:rsid w:val="00256737"/>
    <w:rsid w:val="00263DDA"/>
    <w:rsid w:val="00270989"/>
    <w:rsid w:val="00275CB7"/>
    <w:rsid w:val="00275CBA"/>
    <w:rsid w:val="00277DDB"/>
    <w:rsid w:val="00280E5D"/>
    <w:rsid w:val="00282A32"/>
    <w:rsid w:val="0028643F"/>
    <w:rsid w:val="00286751"/>
    <w:rsid w:val="00292F7C"/>
    <w:rsid w:val="00296D38"/>
    <w:rsid w:val="00297DAF"/>
    <w:rsid w:val="002A08B6"/>
    <w:rsid w:val="002A0969"/>
    <w:rsid w:val="002A1287"/>
    <w:rsid w:val="002A45C8"/>
    <w:rsid w:val="002A59D7"/>
    <w:rsid w:val="002A5C9F"/>
    <w:rsid w:val="002A6E18"/>
    <w:rsid w:val="002B0F82"/>
    <w:rsid w:val="002B1083"/>
    <w:rsid w:val="002B10D9"/>
    <w:rsid w:val="002B1471"/>
    <w:rsid w:val="002B44DE"/>
    <w:rsid w:val="002B4DE9"/>
    <w:rsid w:val="002B6AFA"/>
    <w:rsid w:val="002B78BC"/>
    <w:rsid w:val="002B791F"/>
    <w:rsid w:val="002B7A6F"/>
    <w:rsid w:val="002C454C"/>
    <w:rsid w:val="002C57E3"/>
    <w:rsid w:val="002D120A"/>
    <w:rsid w:val="002D22DD"/>
    <w:rsid w:val="002D3A4F"/>
    <w:rsid w:val="002D3EBD"/>
    <w:rsid w:val="002D6DD1"/>
    <w:rsid w:val="002E5739"/>
    <w:rsid w:val="002F37E3"/>
    <w:rsid w:val="002F39BF"/>
    <w:rsid w:val="003009FC"/>
    <w:rsid w:val="00301638"/>
    <w:rsid w:val="00302B4A"/>
    <w:rsid w:val="0031519C"/>
    <w:rsid w:val="0032264D"/>
    <w:rsid w:val="00322AC2"/>
    <w:rsid w:val="00322B76"/>
    <w:rsid w:val="00335754"/>
    <w:rsid w:val="0034363C"/>
    <w:rsid w:val="00343C66"/>
    <w:rsid w:val="00351303"/>
    <w:rsid w:val="003533EB"/>
    <w:rsid w:val="00354D0E"/>
    <w:rsid w:val="003552BD"/>
    <w:rsid w:val="003555F9"/>
    <w:rsid w:val="00361D9E"/>
    <w:rsid w:val="00363C2E"/>
    <w:rsid w:val="00375C9E"/>
    <w:rsid w:val="003779A3"/>
    <w:rsid w:val="00377CA8"/>
    <w:rsid w:val="003807ED"/>
    <w:rsid w:val="00383B96"/>
    <w:rsid w:val="00384877"/>
    <w:rsid w:val="00384B52"/>
    <w:rsid w:val="003850FF"/>
    <w:rsid w:val="00385C96"/>
    <w:rsid w:val="003902EF"/>
    <w:rsid w:val="003962BA"/>
    <w:rsid w:val="003979EB"/>
    <w:rsid w:val="003A076D"/>
    <w:rsid w:val="003A2A2A"/>
    <w:rsid w:val="003A6103"/>
    <w:rsid w:val="003B0580"/>
    <w:rsid w:val="003B0983"/>
    <w:rsid w:val="003B1321"/>
    <w:rsid w:val="003C7678"/>
    <w:rsid w:val="003C7B2D"/>
    <w:rsid w:val="003D1162"/>
    <w:rsid w:val="003D3C8B"/>
    <w:rsid w:val="003D6268"/>
    <w:rsid w:val="003D69B2"/>
    <w:rsid w:val="003E1CBD"/>
    <w:rsid w:val="003E350D"/>
    <w:rsid w:val="003E557E"/>
    <w:rsid w:val="003F0147"/>
    <w:rsid w:val="003F20BF"/>
    <w:rsid w:val="003F28FB"/>
    <w:rsid w:val="003F2A6A"/>
    <w:rsid w:val="003F4124"/>
    <w:rsid w:val="003F4AB2"/>
    <w:rsid w:val="003F5227"/>
    <w:rsid w:val="003F6F6D"/>
    <w:rsid w:val="003F7D0D"/>
    <w:rsid w:val="00402E03"/>
    <w:rsid w:val="004034E5"/>
    <w:rsid w:val="0040411B"/>
    <w:rsid w:val="004058CC"/>
    <w:rsid w:val="00407AF3"/>
    <w:rsid w:val="00411DC4"/>
    <w:rsid w:val="004137AB"/>
    <w:rsid w:val="00420EE6"/>
    <w:rsid w:val="004215DD"/>
    <w:rsid w:val="00423B9F"/>
    <w:rsid w:val="00432BCA"/>
    <w:rsid w:val="00434909"/>
    <w:rsid w:val="004373E9"/>
    <w:rsid w:val="00437571"/>
    <w:rsid w:val="004377D0"/>
    <w:rsid w:val="00440C8B"/>
    <w:rsid w:val="004450F9"/>
    <w:rsid w:val="004506E7"/>
    <w:rsid w:val="00456ECC"/>
    <w:rsid w:val="00457CCA"/>
    <w:rsid w:val="004606BB"/>
    <w:rsid w:val="00460CC3"/>
    <w:rsid w:val="00466E10"/>
    <w:rsid w:val="00470557"/>
    <w:rsid w:val="00472D62"/>
    <w:rsid w:val="00472F6E"/>
    <w:rsid w:val="004739A0"/>
    <w:rsid w:val="00486EB3"/>
    <w:rsid w:val="00490B61"/>
    <w:rsid w:val="0049115F"/>
    <w:rsid w:val="00492244"/>
    <w:rsid w:val="00492536"/>
    <w:rsid w:val="004942EB"/>
    <w:rsid w:val="00496779"/>
    <w:rsid w:val="004973AE"/>
    <w:rsid w:val="00497795"/>
    <w:rsid w:val="004A33FB"/>
    <w:rsid w:val="004A3FF7"/>
    <w:rsid w:val="004A6565"/>
    <w:rsid w:val="004B2191"/>
    <w:rsid w:val="004B5982"/>
    <w:rsid w:val="004B6C61"/>
    <w:rsid w:val="004C0399"/>
    <w:rsid w:val="004C48D2"/>
    <w:rsid w:val="004C4CED"/>
    <w:rsid w:val="004C7995"/>
    <w:rsid w:val="004D0A81"/>
    <w:rsid w:val="004E11EE"/>
    <w:rsid w:val="004E2EAB"/>
    <w:rsid w:val="004E3712"/>
    <w:rsid w:val="004E7456"/>
    <w:rsid w:val="005023A8"/>
    <w:rsid w:val="005169A5"/>
    <w:rsid w:val="005215E3"/>
    <w:rsid w:val="00523B98"/>
    <w:rsid w:val="005240E4"/>
    <w:rsid w:val="0052516C"/>
    <w:rsid w:val="00525AF3"/>
    <w:rsid w:val="00526AB8"/>
    <w:rsid w:val="00531AA4"/>
    <w:rsid w:val="00532352"/>
    <w:rsid w:val="005335E9"/>
    <w:rsid w:val="00535211"/>
    <w:rsid w:val="00536B95"/>
    <w:rsid w:val="00546C35"/>
    <w:rsid w:val="0055112D"/>
    <w:rsid w:val="00551C49"/>
    <w:rsid w:val="005619C5"/>
    <w:rsid w:val="00562D38"/>
    <w:rsid w:val="0056313F"/>
    <w:rsid w:val="00563CAC"/>
    <w:rsid w:val="00564800"/>
    <w:rsid w:val="00574589"/>
    <w:rsid w:val="00585238"/>
    <w:rsid w:val="0059224F"/>
    <w:rsid w:val="005A0F7D"/>
    <w:rsid w:val="005A38E6"/>
    <w:rsid w:val="005B0976"/>
    <w:rsid w:val="005B709A"/>
    <w:rsid w:val="005B7AB4"/>
    <w:rsid w:val="005C6F75"/>
    <w:rsid w:val="005D193C"/>
    <w:rsid w:val="005D4016"/>
    <w:rsid w:val="005D6DA4"/>
    <w:rsid w:val="005D73AA"/>
    <w:rsid w:val="005E054E"/>
    <w:rsid w:val="005E1FD1"/>
    <w:rsid w:val="005E26E5"/>
    <w:rsid w:val="005E47A3"/>
    <w:rsid w:val="005F5FB5"/>
    <w:rsid w:val="00600B32"/>
    <w:rsid w:val="00601A78"/>
    <w:rsid w:val="00601A7E"/>
    <w:rsid w:val="00601CA8"/>
    <w:rsid w:val="00604875"/>
    <w:rsid w:val="00605B71"/>
    <w:rsid w:val="00614700"/>
    <w:rsid w:val="00615D41"/>
    <w:rsid w:val="00617AD5"/>
    <w:rsid w:val="006202BA"/>
    <w:rsid w:val="0062286B"/>
    <w:rsid w:val="006274EE"/>
    <w:rsid w:val="00633319"/>
    <w:rsid w:val="006333A7"/>
    <w:rsid w:val="00633726"/>
    <w:rsid w:val="00636C47"/>
    <w:rsid w:val="00636D4C"/>
    <w:rsid w:val="00643BBE"/>
    <w:rsid w:val="006509A8"/>
    <w:rsid w:val="006573A1"/>
    <w:rsid w:val="00657873"/>
    <w:rsid w:val="006634E8"/>
    <w:rsid w:val="00663A0F"/>
    <w:rsid w:val="00666B41"/>
    <w:rsid w:val="006755C5"/>
    <w:rsid w:val="00681BA2"/>
    <w:rsid w:val="0068245A"/>
    <w:rsid w:val="00683365"/>
    <w:rsid w:val="0068622E"/>
    <w:rsid w:val="00686827"/>
    <w:rsid w:val="0068794D"/>
    <w:rsid w:val="00693B50"/>
    <w:rsid w:val="00695227"/>
    <w:rsid w:val="00695759"/>
    <w:rsid w:val="006A4091"/>
    <w:rsid w:val="006A51DC"/>
    <w:rsid w:val="006A7768"/>
    <w:rsid w:val="006B0285"/>
    <w:rsid w:val="006B11F6"/>
    <w:rsid w:val="006B26E6"/>
    <w:rsid w:val="006B485B"/>
    <w:rsid w:val="006B4A80"/>
    <w:rsid w:val="006C7201"/>
    <w:rsid w:val="006D0123"/>
    <w:rsid w:val="006D05F8"/>
    <w:rsid w:val="006D0D75"/>
    <w:rsid w:val="006D68DB"/>
    <w:rsid w:val="006E0283"/>
    <w:rsid w:val="006E2EB2"/>
    <w:rsid w:val="006E320E"/>
    <w:rsid w:val="006E7F25"/>
    <w:rsid w:val="006F0E7B"/>
    <w:rsid w:val="006F3415"/>
    <w:rsid w:val="006F71DF"/>
    <w:rsid w:val="0070095F"/>
    <w:rsid w:val="0070323E"/>
    <w:rsid w:val="007050B5"/>
    <w:rsid w:val="00705CFD"/>
    <w:rsid w:val="0070697D"/>
    <w:rsid w:val="00707AE8"/>
    <w:rsid w:val="00710551"/>
    <w:rsid w:val="00711068"/>
    <w:rsid w:val="0071613E"/>
    <w:rsid w:val="007173B6"/>
    <w:rsid w:val="00724A2A"/>
    <w:rsid w:val="007263C0"/>
    <w:rsid w:val="007369AC"/>
    <w:rsid w:val="00737B6C"/>
    <w:rsid w:val="00745248"/>
    <w:rsid w:val="0075146A"/>
    <w:rsid w:val="007524F6"/>
    <w:rsid w:val="0076029C"/>
    <w:rsid w:val="007619F0"/>
    <w:rsid w:val="00763C3D"/>
    <w:rsid w:val="00766698"/>
    <w:rsid w:val="00766B21"/>
    <w:rsid w:val="00772BA5"/>
    <w:rsid w:val="00777D71"/>
    <w:rsid w:val="00783615"/>
    <w:rsid w:val="00785B3A"/>
    <w:rsid w:val="00787C2A"/>
    <w:rsid w:val="00792E26"/>
    <w:rsid w:val="00795A97"/>
    <w:rsid w:val="0079636E"/>
    <w:rsid w:val="00797E04"/>
    <w:rsid w:val="007A2AA1"/>
    <w:rsid w:val="007A362A"/>
    <w:rsid w:val="007A5CB9"/>
    <w:rsid w:val="007B2EB2"/>
    <w:rsid w:val="007C4369"/>
    <w:rsid w:val="007C524D"/>
    <w:rsid w:val="007C6AB9"/>
    <w:rsid w:val="007C751C"/>
    <w:rsid w:val="007D00D0"/>
    <w:rsid w:val="007D4853"/>
    <w:rsid w:val="007D61B1"/>
    <w:rsid w:val="007E005B"/>
    <w:rsid w:val="007E5F5D"/>
    <w:rsid w:val="007E6992"/>
    <w:rsid w:val="007E77C5"/>
    <w:rsid w:val="007F60A9"/>
    <w:rsid w:val="007F6AAC"/>
    <w:rsid w:val="0080105E"/>
    <w:rsid w:val="008029B7"/>
    <w:rsid w:val="00803C10"/>
    <w:rsid w:val="0080477F"/>
    <w:rsid w:val="0080543D"/>
    <w:rsid w:val="008179C1"/>
    <w:rsid w:val="0083100A"/>
    <w:rsid w:val="00831C22"/>
    <w:rsid w:val="00832053"/>
    <w:rsid w:val="008339AA"/>
    <w:rsid w:val="00835528"/>
    <w:rsid w:val="00843A04"/>
    <w:rsid w:val="0084459A"/>
    <w:rsid w:val="0084599D"/>
    <w:rsid w:val="008461D8"/>
    <w:rsid w:val="0084710E"/>
    <w:rsid w:val="00853CCF"/>
    <w:rsid w:val="00855D79"/>
    <w:rsid w:val="00861E0B"/>
    <w:rsid w:val="008645D3"/>
    <w:rsid w:val="00866093"/>
    <w:rsid w:val="00866B9D"/>
    <w:rsid w:val="008677C3"/>
    <w:rsid w:val="00870D9D"/>
    <w:rsid w:val="008737DE"/>
    <w:rsid w:val="0088067B"/>
    <w:rsid w:val="00882E3F"/>
    <w:rsid w:val="00884AA8"/>
    <w:rsid w:val="008908AA"/>
    <w:rsid w:val="008950ED"/>
    <w:rsid w:val="00896DD0"/>
    <w:rsid w:val="008A0DDB"/>
    <w:rsid w:val="008A1BF7"/>
    <w:rsid w:val="008A27FE"/>
    <w:rsid w:val="008A2B76"/>
    <w:rsid w:val="008A3E55"/>
    <w:rsid w:val="008A4540"/>
    <w:rsid w:val="008B05F3"/>
    <w:rsid w:val="008B19E9"/>
    <w:rsid w:val="008B2244"/>
    <w:rsid w:val="008B5D94"/>
    <w:rsid w:val="008B6CD0"/>
    <w:rsid w:val="008C1B7F"/>
    <w:rsid w:val="008C5EB0"/>
    <w:rsid w:val="008C70D3"/>
    <w:rsid w:val="008D047B"/>
    <w:rsid w:val="008D04FB"/>
    <w:rsid w:val="008D0B97"/>
    <w:rsid w:val="008D150E"/>
    <w:rsid w:val="008D4092"/>
    <w:rsid w:val="008D545C"/>
    <w:rsid w:val="008E174E"/>
    <w:rsid w:val="008E2228"/>
    <w:rsid w:val="008E4C3F"/>
    <w:rsid w:val="008E5343"/>
    <w:rsid w:val="008F5ADB"/>
    <w:rsid w:val="00902297"/>
    <w:rsid w:val="00902345"/>
    <w:rsid w:val="009026EE"/>
    <w:rsid w:val="00903B38"/>
    <w:rsid w:val="0090541C"/>
    <w:rsid w:val="0091119F"/>
    <w:rsid w:val="00911D04"/>
    <w:rsid w:val="009146BD"/>
    <w:rsid w:val="00914AA4"/>
    <w:rsid w:val="0091547C"/>
    <w:rsid w:val="00917CEE"/>
    <w:rsid w:val="00922419"/>
    <w:rsid w:val="0092242A"/>
    <w:rsid w:val="00927365"/>
    <w:rsid w:val="00941C45"/>
    <w:rsid w:val="00943669"/>
    <w:rsid w:val="00947EA1"/>
    <w:rsid w:val="00955DAB"/>
    <w:rsid w:val="00957267"/>
    <w:rsid w:val="00962440"/>
    <w:rsid w:val="00963668"/>
    <w:rsid w:val="00963E25"/>
    <w:rsid w:val="009642EA"/>
    <w:rsid w:val="00966179"/>
    <w:rsid w:val="00966928"/>
    <w:rsid w:val="00971331"/>
    <w:rsid w:val="009715F6"/>
    <w:rsid w:val="0097185D"/>
    <w:rsid w:val="00971E0E"/>
    <w:rsid w:val="00972937"/>
    <w:rsid w:val="00973DA8"/>
    <w:rsid w:val="00974570"/>
    <w:rsid w:val="00976557"/>
    <w:rsid w:val="009769F5"/>
    <w:rsid w:val="00981EF3"/>
    <w:rsid w:val="00983AEE"/>
    <w:rsid w:val="009868F1"/>
    <w:rsid w:val="009869FC"/>
    <w:rsid w:val="009870A9"/>
    <w:rsid w:val="00991A4F"/>
    <w:rsid w:val="00993D6F"/>
    <w:rsid w:val="009A2886"/>
    <w:rsid w:val="009A3BE0"/>
    <w:rsid w:val="009A6096"/>
    <w:rsid w:val="009A6207"/>
    <w:rsid w:val="009A79F8"/>
    <w:rsid w:val="009B42B8"/>
    <w:rsid w:val="009C1B76"/>
    <w:rsid w:val="009C1C80"/>
    <w:rsid w:val="009C3DA0"/>
    <w:rsid w:val="009C4B7C"/>
    <w:rsid w:val="009C514B"/>
    <w:rsid w:val="009C7BB8"/>
    <w:rsid w:val="009D157F"/>
    <w:rsid w:val="009D4D6F"/>
    <w:rsid w:val="009D680F"/>
    <w:rsid w:val="009D75F4"/>
    <w:rsid w:val="009D7CC6"/>
    <w:rsid w:val="009E17FD"/>
    <w:rsid w:val="009E2223"/>
    <w:rsid w:val="009E46EF"/>
    <w:rsid w:val="009E7D6B"/>
    <w:rsid w:val="009F4C25"/>
    <w:rsid w:val="009F58B2"/>
    <w:rsid w:val="009F6DF2"/>
    <w:rsid w:val="00A06E61"/>
    <w:rsid w:val="00A07958"/>
    <w:rsid w:val="00A07E46"/>
    <w:rsid w:val="00A11068"/>
    <w:rsid w:val="00A12DDE"/>
    <w:rsid w:val="00A13BC5"/>
    <w:rsid w:val="00A2158F"/>
    <w:rsid w:val="00A222A6"/>
    <w:rsid w:val="00A2253F"/>
    <w:rsid w:val="00A25C4F"/>
    <w:rsid w:val="00A26103"/>
    <w:rsid w:val="00A313ED"/>
    <w:rsid w:val="00A31865"/>
    <w:rsid w:val="00A33DFE"/>
    <w:rsid w:val="00A356E9"/>
    <w:rsid w:val="00A3585B"/>
    <w:rsid w:val="00A36048"/>
    <w:rsid w:val="00A360BD"/>
    <w:rsid w:val="00A52918"/>
    <w:rsid w:val="00A606B4"/>
    <w:rsid w:val="00A61748"/>
    <w:rsid w:val="00A64315"/>
    <w:rsid w:val="00A65BF9"/>
    <w:rsid w:val="00A6690C"/>
    <w:rsid w:val="00A702DD"/>
    <w:rsid w:val="00A72A38"/>
    <w:rsid w:val="00A7305B"/>
    <w:rsid w:val="00A754F7"/>
    <w:rsid w:val="00A764DE"/>
    <w:rsid w:val="00A81040"/>
    <w:rsid w:val="00A82748"/>
    <w:rsid w:val="00A82759"/>
    <w:rsid w:val="00A8277A"/>
    <w:rsid w:val="00A827D5"/>
    <w:rsid w:val="00A84381"/>
    <w:rsid w:val="00A90B24"/>
    <w:rsid w:val="00A93B79"/>
    <w:rsid w:val="00A954A8"/>
    <w:rsid w:val="00A95A12"/>
    <w:rsid w:val="00AA2F38"/>
    <w:rsid w:val="00AA3C1A"/>
    <w:rsid w:val="00AA4990"/>
    <w:rsid w:val="00AA5EB1"/>
    <w:rsid w:val="00AB2FF8"/>
    <w:rsid w:val="00AB6119"/>
    <w:rsid w:val="00AB6399"/>
    <w:rsid w:val="00AC41DE"/>
    <w:rsid w:val="00AC7AF4"/>
    <w:rsid w:val="00AC7BDE"/>
    <w:rsid w:val="00AD245B"/>
    <w:rsid w:val="00AD2B64"/>
    <w:rsid w:val="00AD3DC8"/>
    <w:rsid w:val="00AD4837"/>
    <w:rsid w:val="00AE1A5D"/>
    <w:rsid w:val="00AE20A9"/>
    <w:rsid w:val="00AE2D37"/>
    <w:rsid w:val="00AE7DDA"/>
    <w:rsid w:val="00AF36A4"/>
    <w:rsid w:val="00AF7156"/>
    <w:rsid w:val="00B0709E"/>
    <w:rsid w:val="00B1150E"/>
    <w:rsid w:val="00B137C1"/>
    <w:rsid w:val="00B14E5E"/>
    <w:rsid w:val="00B15512"/>
    <w:rsid w:val="00B20626"/>
    <w:rsid w:val="00B226A7"/>
    <w:rsid w:val="00B22ADB"/>
    <w:rsid w:val="00B240FB"/>
    <w:rsid w:val="00B249F0"/>
    <w:rsid w:val="00B26571"/>
    <w:rsid w:val="00B324E5"/>
    <w:rsid w:val="00B32B74"/>
    <w:rsid w:val="00B37E3E"/>
    <w:rsid w:val="00B40A34"/>
    <w:rsid w:val="00B43E51"/>
    <w:rsid w:val="00B5075A"/>
    <w:rsid w:val="00B51B11"/>
    <w:rsid w:val="00B53B5A"/>
    <w:rsid w:val="00B56D7E"/>
    <w:rsid w:val="00B575B6"/>
    <w:rsid w:val="00B60257"/>
    <w:rsid w:val="00B60530"/>
    <w:rsid w:val="00B61A22"/>
    <w:rsid w:val="00B655E3"/>
    <w:rsid w:val="00B67517"/>
    <w:rsid w:val="00B76969"/>
    <w:rsid w:val="00B83D70"/>
    <w:rsid w:val="00B86A23"/>
    <w:rsid w:val="00B90428"/>
    <w:rsid w:val="00B90F9D"/>
    <w:rsid w:val="00B914FE"/>
    <w:rsid w:val="00B91672"/>
    <w:rsid w:val="00B95351"/>
    <w:rsid w:val="00B96C36"/>
    <w:rsid w:val="00BA0682"/>
    <w:rsid w:val="00BA0BB9"/>
    <w:rsid w:val="00BA15E4"/>
    <w:rsid w:val="00BA2296"/>
    <w:rsid w:val="00BA52DC"/>
    <w:rsid w:val="00BA70D1"/>
    <w:rsid w:val="00BA7674"/>
    <w:rsid w:val="00BB2CBA"/>
    <w:rsid w:val="00BB64DF"/>
    <w:rsid w:val="00BB6932"/>
    <w:rsid w:val="00BC0B24"/>
    <w:rsid w:val="00BC5F0A"/>
    <w:rsid w:val="00BC748C"/>
    <w:rsid w:val="00BC748E"/>
    <w:rsid w:val="00BD0601"/>
    <w:rsid w:val="00BD3DC4"/>
    <w:rsid w:val="00BD3E52"/>
    <w:rsid w:val="00BD4D75"/>
    <w:rsid w:val="00BD60D7"/>
    <w:rsid w:val="00BE0D81"/>
    <w:rsid w:val="00BE2462"/>
    <w:rsid w:val="00BE6415"/>
    <w:rsid w:val="00BF2CAC"/>
    <w:rsid w:val="00BF4147"/>
    <w:rsid w:val="00C0163A"/>
    <w:rsid w:val="00C02F2E"/>
    <w:rsid w:val="00C0773B"/>
    <w:rsid w:val="00C11FAC"/>
    <w:rsid w:val="00C13DB1"/>
    <w:rsid w:val="00C20A86"/>
    <w:rsid w:val="00C20C33"/>
    <w:rsid w:val="00C22A48"/>
    <w:rsid w:val="00C26EFA"/>
    <w:rsid w:val="00C27B03"/>
    <w:rsid w:val="00C34E59"/>
    <w:rsid w:val="00C350CF"/>
    <w:rsid w:val="00C40517"/>
    <w:rsid w:val="00C424E5"/>
    <w:rsid w:val="00C43E86"/>
    <w:rsid w:val="00C44C52"/>
    <w:rsid w:val="00C51AC4"/>
    <w:rsid w:val="00C53D8C"/>
    <w:rsid w:val="00C53DDA"/>
    <w:rsid w:val="00C546C4"/>
    <w:rsid w:val="00C54780"/>
    <w:rsid w:val="00C54FE1"/>
    <w:rsid w:val="00C561F8"/>
    <w:rsid w:val="00C56D37"/>
    <w:rsid w:val="00C605DC"/>
    <w:rsid w:val="00C62174"/>
    <w:rsid w:val="00C63EEE"/>
    <w:rsid w:val="00C64A0F"/>
    <w:rsid w:val="00C6778B"/>
    <w:rsid w:val="00C70CB9"/>
    <w:rsid w:val="00C73172"/>
    <w:rsid w:val="00C7354F"/>
    <w:rsid w:val="00C747A2"/>
    <w:rsid w:val="00C75D71"/>
    <w:rsid w:val="00C75F16"/>
    <w:rsid w:val="00C760C4"/>
    <w:rsid w:val="00C76809"/>
    <w:rsid w:val="00C80E3B"/>
    <w:rsid w:val="00C82C37"/>
    <w:rsid w:val="00C848A0"/>
    <w:rsid w:val="00C874E6"/>
    <w:rsid w:val="00C90004"/>
    <w:rsid w:val="00C9206C"/>
    <w:rsid w:val="00C937F3"/>
    <w:rsid w:val="00C94442"/>
    <w:rsid w:val="00C94610"/>
    <w:rsid w:val="00C972A8"/>
    <w:rsid w:val="00CA337F"/>
    <w:rsid w:val="00CA6729"/>
    <w:rsid w:val="00CA7BE8"/>
    <w:rsid w:val="00CB32A3"/>
    <w:rsid w:val="00CB4C2D"/>
    <w:rsid w:val="00CB58DB"/>
    <w:rsid w:val="00CB77EB"/>
    <w:rsid w:val="00CC03CF"/>
    <w:rsid w:val="00CC2283"/>
    <w:rsid w:val="00CC7466"/>
    <w:rsid w:val="00CD091B"/>
    <w:rsid w:val="00CD79CB"/>
    <w:rsid w:val="00CE1631"/>
    <w:rsid w:val="00CE20EC"/>
    <w:rsid w:val="00CE2221"/>
    <w:rsid w:val="00CE3E74"/>
    <w:rsid w:val="00CE44B5"/>
    <w:rsid w:val="00CE45C6"/>
    <w:rsid w:val="00CE79F4"/>
    <w:rsid w:val="00CF1C04"/>
    <w:rsid w:val="00CF2A93"/>
    <w:rsid w:val="00CF63FF"/>
    <w:rsid w:val="00D074AE"/>
    <w:rsid w:val="00D07C90"/>
    <w:rsid w:val="00D137C7"/>
    <w:rsid w:val="00D1672D"/>
    <w:rsid w:val="00D20FD4"/>
    <w:rsid w:val="00D26234"/>
    <w:rsid w:val="00D27615"/>
    <w:rsid w:val="00D33D8E"/>
    <w:rsid w:val="00D34722"/>
    <w:rsid w:val="00D41DED"/>
    <w:rsid w:val="00D44E85"/>
    <w:rsid w:val="00D4541D"/>
    <w:rsid w:val="00D45735"/>
    <w:rsid w:val="00D460F9"/>
    <w:rsid w:val="00D472D5"/>
    <w:rsid w:val="00D47DDB"/>
    <w:rsid w:val="00D47DDD"/>
    <w:rsid w:val="00D52FD6"/>
    <w:rsid w:val="00D56935"/>
    <w:rsid w:val="00D56B11"/>
    <w:rsid w:val="00D571BC"/>
    <w:rsid w:val="00D60711"/>
    <w:rsid w:val="00D60BF7"/>
    <w:rsid w:val="00D60E3B"/>
    <w:rsid w:val="00D61F6E"/>
    <w:rsid w:val="00D62A64"/>
    <w:rsid w:val="00D65E8F"/>
    <w:rsid w:val="00D70F4B"/>
    <w:rsid w:val="00D72780"/>
    <w:rsid w:val="00D72DA0"/>
    <w:rsid w:val="00D768F1"/>
    <w:rsid w:val="00D81356"/>
    <w:rsid w:val="00D81640"/>
    <w:rsid w:val="00D84EA4"/>
    <w:rsid w:val="00D86BB5"/>
    <w:rsid w:val="00D92BFB"/>
    <w:rsid w:val="00D93909"/>
    <w:rsid w:val="00D95BE0"/>
    <w:rsid w:val="00D966AD"/>
    <w:rsid w:val="00D968CF"/>
    <w:rsid w:val="00DA59B1"/>
    <w:rsid w:val="00DA5E75"/>
    <w:rsid w:val="00DB19A7"/>
    <w:rsid w:val="00DB236C"/>
    <w:rsid w:val="00DC7867"/>
    <w:rsid w:val="00DD1284"/>
    <w:rsid w:val="00DD5274"/>
    <w:rsid w:val="00DE0C55"/>
    <w:rsid w:val="00DE5345"/>
    <w:rsid w:val="00DF0590"/>
    <w:rsid w:val="00DF4FB8"/>
    <w:rsid w:val="00DF7AF0"/>
    <w:rsid w:val="00E0025B"/>
    <w:rsid w:val="00E005C1"/>
    <w:rsid w:val="00E01F25"/>
    <w:rsid w:val="00E17E44"/>
    <w:rsid w:val="00E205FB"/>
    <w:rsid w:val="00E21D37"/>
    <w:rsid w:val="00E22797"/>
    <w:rsid w:val="00E22CD4"/>
    <w:rsid w:val="00E25A3E"/>
    <w:rsid w:val="00E265B3"/>
    <w:rsid w:val="00E31711"/>
    <w:rsid w:val="00E365CA"/>
    <w:rsid w:val="00E36E9B"/>
    <w:rsid w:val="00E402EF"/>
    <w:rsid w:val="00E45AC5"/>
    <w:rsid w:val="00E45D11"/>
    <w:rsid w:val="00E46138"/>
    <w:rsid w:val="00E50A1F"/>
    <w:rsid w:val="00E510DD"/>
    <w:rsid w:val="00E52CCB"/>
    <w:rsid w:val="00E5451F"/>
    <w:rsid w:val="00E61043"/>
    <w:rsid w:val="00E614CC"/>
    <w:rsid w:val="00E625BB"/>
    <w:rsid w:val="00E63183"/>
    <w:rsid w:val="00E63A13"/>
    <w:rsid w:val="00E64136"/>
    <w:rsid w:val="00E6550D"/>
    <w:rsid w:val="00E65AD7"/>
    <w:rsid w:val="00E67D77"/>
    <w:rsid w:val="00E706DA"/>
    <w:rsid w:val="00E7170B"/>
    <w:rsid w:val="00E73346"/>
    <w:rsid w:val="00E77789"/>
    <w:rsid w:val="00E855F5"/>
    <w:rsid w:val="00E90BE2"/>
    <w:rsid w:val="00E937FB"/>
    <w:rsid w:val="00E950E3"/>
    <w:rsid w:val="00E9559E"/>
    <w:rsid w:val="00EA169B"/>
    <w:rsid w:val="00EA3B98"/>
    <w:rsid w:val="00EB1B11"/>
    <w:rsid w:val="00EB2D6F"/>
    <w:rsid w:val="00EB6B86"/>
    <w:rsid w:val="00EC3107"/>
    <w:rsid w:val="00EC76DB"/>
    <w:rsid w:val="00ED153A"/>
    <w:rsid w:val="00ED16C8"/>
    <w:rsid w:val="00ED2F98"/>
    <w:rsid w:val="00ED6575"/>
    <w:rsid w:val="00EE055D"/>
    <w:rsid w:val="00EE0F26"/>
    <w:rsid w:val="00EE3367"/>
    <w:rsid w:val="00EE5B8B"/>
    <w:rsid w:val="00EE7B74"/>
    <w:rsid w:val="00EF12F4"/>
    <w:rsid w:val="00EF1FE2"/>
    <w:rsid w:val="00EF2D09"/>
    <w:rsid w:val="00EF446D"/>
    <w:rsid w:val="00F01E3B"/>
    <w:rsid w:val="00F03E3A"/>
    <w:rsid w:val="00F04211"/>
    <w:rsid w:val="00F04C85"/>
    <w:rsid w:val="00F103B0"/>
    <w:rsid w:val="00F114F5"/>
    <w:rsid w:val="00F12948"/>
    <w:rsid w:val="00F1337A"/>
    <w:rsid w:val="00F16F5B"/>
    <w:rsid w:val="00F23309"/>
    <w:rsid w:val="00F238B7"/>
    <w:rsid w:val="00F24350"/>
    <w:rsid w:val="00F25B5E"/>
    <w:rsid w:val="00F304D9"/>
    <w:rsid w:val="00F34D8B"/>
    <w:rsid w:val="00F36490"/>
    <w:rsid w:val="00F449D4"/>
    <w:rsid w:val="00F45112"/>
    <w:rsid w:val="00F54950"/>
    <w:rsid w:val="00F64288"/>
    <w:rsid w:val="00F72001"/>
    <w:rsid w:val="00F74288"/>
    <w:rsid w:val="00F80F91"/>
    <w:rsid w:val="00F856F3"/>
    <w:rsid w:val="00F86708"/>
    <w:rsid w:val="00F8713E"/>
    <w:rsid w:val="00F87BD5"/>
    <w:rsid w:val="00F94D62"/>
    <w:rsid w:val="00F95D69"/>
    <w:rsid w:val="00FA2D72"/>
    <w:rsid w:val="00FA4876"/>
    <w:rsid w:val="00FB13C2"/>
    <w:rsid w:val="00FB4C39"/>
    <w:rsid w:val="00FB646D"/>
    <w:rsid w:val="00FB65C6"/>
    <w:rsid w:val="00FB6BD7"/>
    <w:rsid w:val="00FB731A"/>
    <w:rsid w:val="00FC0306"/>
    <w:rsid w:val="00FC0BA6"/>
    <w:rsid w:val="00FC20D8"/>
    <w:rsid w:val="00FC2A3B"/>
    <w:rsid w:val="00FC67A8"/>
    <w:rsid w:val="00FD3C59"/>
    <w:rsid w:val="00FD603B"/>
    <w:rsid w:val="00FD6817"/>
    <w:rsid w:val="00FD7557"/>
    <w:rsid w:val="00FE1190"/>
    <w:rsid w:val="00FE3463"/>
    <w:rsid w:val="00FE43E1"/>
    <w:rsid w:val="00FE5B5D"/>
    <w:rsid w:val="00FE60FF"/>
    <w:rsid w:val="00FE7198"/>
    <w:rsid w:val="00FF0611"/>
    <w:rsid w:val="00FF106C"/>
    <w:rsid w:val="00FF440F"/>
    <w:rsid w:val="00FF4B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4BA52"/>
  <w15:docId w15:val="{CF97D198-3BD2-4FB3-AF74-B4AD8E56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605DC"/>
    <w:pPr>
      <w:jc w:val="both"/>
    </w:pPr>
    <w:rPr>
      <w:rFonts w:ascii="Arial" w:hAnsi="Arial"/>
    </w:rPr>
  </w:style>
  <w:style w:type="paragraph" w:styleId="Otsikko1">
    <w:name w:val="heading 1"/>
    <w:basedOn w:val="Normaali"/>
    <w:next w:val="Sisennettykappale"/>
    <w:link w:val="Otsikko1Char"/>
    <w:qFormat/>
    <w:rsid w:val="002D3EBD"/>
    <w:pPr>
      <w:keepNext/>
      <w:numPr>
        <w:numId w:val="9"/>
      </w:numPr>
      <w:suppressAutoHyphens/>
      <w:spacing w:after="200"/>
      <w:outlineLvl w:val="0"/>
    </w:pPr>
    <w:rPr>
      <w:b/>
      <w:snapToGrid w:val="0"/>
      <w:szCs w:val="24"/>
    </w:rPr>
  </w:style>
  <w:style w:type="paragraph" w:styleId="Otsikko2">
    <w:name w:val="heading 2"/>
    <w:basedOn w:val="Normaali"/>
    <w:next w:val="Sisennettykappale"/>
    <w:link w:val="Otsikko2Char"/>
    <w:qFormat/>
    <w:rsid w:val="002D3EBD"/>
    <w:pPr>
      <w:keepNext/>
      <w:widowControl w:val="0"/>
      <w:numPr>
        <w:ilvl w:val="1"/>
        <w:numId w:val="9"/>
      </w:numPr>
      <w:suppressAutoHyphens/>
      <w:spacing w:after="200"/>
      <w:outlineLvl w:val="1"/>
    </w:pPr>
    <w:rPr>
      <w:rFonts w:cs="Arial"/>
      <w:b/>
      <w:snapToGrid w:val="0"/>
      <w:szCs w:val="22"/>
    </w:rPr>
  </w:style>
  <w:style w:type="paragraph" w:styleId="Otsikko3">
    <w:name w:val="heading 3"/>
    <w:basedOn w:val="Normaali"/>
    <w:next w:val="Sisennettykappale"/>
    <w:link w:val="Otsikko3Char"/>
    <w:qFormat/>
    <w:rsid w:val="002D3EBD"/>
    <w:pPr>
      <w:keepNext/>
      <w:widowControl w:val="0"/>
      <w:numPr>
        <w:ilvl w:val="2"/>
        <w:numId w:val="9"/>
      </w:numPr>
      <w:suppressAutoHyphens/>
      <w:spacing w:after="200"/>
      <w:outlineLvl w:val="2"/>
    </w:pPr>
    <w:rPr>
      <w:b/>
      <w:bCs/>
      <w:snapToGrid w:val="0"/>
      <w:szCs w:val="22"/>
    </w:rPr>
  </w:style>
  <w:style w:type="paragraph" w:styleId="Otsikko4">
    <w:name w:val="heading 4"/>
    <w:basedOn w:val="Normaali"/>
    <w:next w:val="Sisennettykappale"/>
    <w:link w:val="Otsikko4Char"/>
    <w:semiHidden/>
    <w:qFormat/>
    <w:rsid w:val="003807ED"/>
    <w:pPr>
      <w:keepNext/>
      <w:widowControl w:val="0"/>
      <w:numPr>
        <w:ilvl w:val="3"/>
        <w:numId w:val="9"/>
      </w:numPr>
      <w:spacing w:after="200"/>
      <w:outlineLvl w:val="3"/>
    </w:pPr>
    <w:rPr>
      <w:b/>
      <w:bCs/>
      <w:snapToGrid w:val="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526AB8"/>
    <w:rPr>
      <w:szCs w:val="22"/>
    </w:rPr>
  </w:style>
  <w:style w:type="paragraph" w:styleId="Alatunniste">
    <w:name w:val="footer"/>
    <w:basedOn w:val="Normaali"/>
    <w:rsid w:val="009E17FD"/>
    <w:rPr>
      <w:sz w:val="13"/>
    </w:rPr>
  </w:style>
  <w:style w:type="character" w:styleId="Hyperlinkki">
    <w:name w:val="Hyperlink"/>
    <w:basedOn w:val="Kappaleenoletusfontti"/>
    <w:semiHidden/>
    <w:rsid w:val="0062286B"/>
    <w:rPr>
      <w:color w:val="0000FF"/>
      <w:u w:val="single"/>
    </w:rPr>
  </w:style>
  <w:style w:type="paragraph" w:customStyle="1" w:styleId="Sisennettynumeroluettelo">
    <w:name w:val="Sisennetty numeroluettelo"/>
    <w:basedOn w:val="Normaali"/>
    <w:rsid w:val="00BE2462"/>
    <w:pPr>
      <w:numPr>
        <w:numId w:val="2"/>
      </w:numPr>
      <w:tabs>
        <w:tab w:val="left" w:pos="1985"/>
      </w:tabs>
      <w:ind w:left="1661" w:hanging="357"/>
    </w:pPr>
  </w:style>
  <w:style w:type="paragraph" w:styleId="Leipteksti">
    <w:name w:val="Body Text"/>
    <w:basedOn w:val="Normaali"/>
    <w:semiHidden/>
    <w:rsid w:val="00B40A34"/>
    <w:pPr>
      <w:ind w:left="1304"/>
    </w:pPr>
  </w:style>
  <w:style w:type="paragraph" w:customStyle="1" w:styleId="Sisennettykappale">
    <w:name w:val="Sisennetty kappale"/>
    <w:basedOn w:val="Normaali"/>
    <w:rsid w:val="00B86A23"/>
    <w:pPr>
      <w:spacing w:after="220"/>
      <w:ind w:left="1304"/>
    </w:pPr>
  </w:style>
  <w:style w:type="paragraph" w:customStyle="1" w:styleId="Sisennettyviivaluettelo">
    <w:name w:val="Sisennetty viivaluettelo"/>
    <w:basedOn w:val="Sisennettykappale"/>
    <w:rsid w:val="000937BC"/>
    <w:pPr>
      <w:numPr>
        <w:numId w:val="3"/>
      </w:numPr>
      <w:tabs>
        <w:tab w:val="clear" w:pos="567"/>
        <w:tab w:val="left" w:pos="1985"/>
      </w:tabs>
      <w:spacing w:after="0"/>
      <w:ind w:left="1661" w:hanging="357"/>
    </w:pPr>
  </w:style>
  <w:style w:type="paragraph" w:customStyle="1" w:styleId="Sivuotsikkokappale">
    <w:name w:val="Sivuotsikko kappale"/>
    <w:basedOn w:val="Normaali"/>
    <w:rsid w:val="006A51DC"/>
    <w:pPr>
      <w:keepLines/>
      <w:ind w:left="1304" w:hanging="1304"/>
    </w:pPr>
  </w:style>
  <w:style w:type="paragraph" w:customStyle="1" w:styleId="Normaalikappale">
    <w:name w:val="Normaali kappale"/>
    <w:basedOn w:val="Normaali"/>
    <w:semiHidden/>
    <w:rsid w:val="0080477F"/>
  </w:style>
  <w:style w:type="paragraph" w:customStyle="1" w:styleId="Numeroluettelo">
    <w:name w:val="Numeroluettelo"/>
    <w:basedOn w:val="Normaali"/>
    <w:rsid w:val="005E26E5"/>
    <w:pPr>
      <w:numPr>
        <w:numId w:val="4"/>
      </w:numPr>
      <w:ind w:left="357" w:hanging="357"/>
    </w:pPr>
  </w:style>
  <w:style w:type="paragraph" w:customStyle="1" w:styleId="Viivaluettelo">
    <w:name w:val="Viivaluettelo"/>
    <w:basedOn w:val="Normaali"/>
    <w:rsid w:val="004C0399"/>
    <w:pPr>
      <w:numPr>
        <w:numId w:val="5"/>
      </w:numPr>
      <w:ind w:left="357" w:hanging="357"/>
    </w:pPr>
  </w:style>
  <w:style w:type="table" w:styleId="TaulukkoRuudukko">
    <w:name w:val="Table Grid"/>
    <w:basedOn w:val="Normaalitaulukko"/>
    <w:rsid w:val="002D6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AB6119"/>
    <w:rPr>
      <w:rFonts w:ascii="Tahoma" w:hAnsi="Tahoma" w:cs="Tahoma"/>
      <w:sz w:val="16"/>
      <w:szCs w:val="16"/>
    </w:rPr>
  </w:style>
  <w:style w:type="paragraph" w:styleId="Otsikko">
    <w:name w:val="Title"/>
    <w:basedOn w:val="Normaali"/>
    <w:next w:val="Sisennettykappale"/>
    <w:link w:val="OtsikkoChar"/>
    <w:qFormat/>
    <w:rsid w:val="006D05F8"/>
    <w:pPr>
      <w:autoSpaceDE w:val="0"/>
      <w:autoSpaceDN w:val="0"/>
      <w:adjustRightInd w:val="0"/>
    </w:pPr>
    <w:rPr>
      <w:i/>
    </w:rPr>
  </w:style>
  <w:style w:type="character" w:customStyle="1" w:styleId="Otsikko1Char">
    <w:name w:val="Otsikko 1 Char"/>
    <w:basedOn w:val="Kappaleenoletusfontti"/>
    <w:link w:val="Otsikko1"/>
    <w:rsid w:val="002D3EBD"/>
    <w:rPr>
      <w:rFonts w:ascii="Verdana" w:hAnsi="Verdana"/>
      <w:b/>
      <w:snapToGrid w:val="0"/>
      <w:szCs w:val="24"/>
    </w:rPr>
  </w:style>
  <w:style w:type="character" w:customStyle="1" w:styleId="Otsikko2Char">
    <w:name w:val="Otsikko 2 Char"/>
    <w:basedOn w:val="Kappaleenoletusfontti"/>
    <w:link w:val="Otsikko2"/>
    <w:rsid w:val="002D3EBD"/>
    <w:rPr>
      <w:rFonts w:ascii="Verdana" w:hAnsi="Verdana" w:cs="Arial"/>
      <w:b/>
      <w:snapToGrid w:val="0"/>
      <w:szCs w:val="22"/>
    </w:rPr>
  </w:style>
  <w:style w:type="character" w:customStyle="1" w:styleId="Otsikko3Char">
    <w:name w:val="Otsikko 3 Char"/>
    <w:basedOn w:val="Kappaleenoletusfontti"/>
    <w:link w:val="Otsikko3"/>
    <w:rsid w:val="002D3EBD"/>
    <w:rPr>
      <w:rFonts w:ascii="Verdana" w:hAnsi="Verdana"/>
      <w:b/>
      <w:bCs/>
      <w:snapToGrid w:val="0"/>
      <w:szCs w:val="22"/>
    </w:rPr>
  </w:style>
  <w:style w:type="character" w:customStyle="1" w:styleId="Otsikko4Char">
    <w:name w:val="Otsikko 4 Char"/>
    <w:basedOn w:val="Kappaleenoletusfontti"/>
    <w:link w:val="Otsikko4"/>
    <w:semiHidden/>
    <w:rsid w:val="00D27615"/>
    <w:rPr>
      <w:rFonts w:ascii="Verdana" w:hAnsi="Verdana"/>
      <w:b/>
      <w:bCs/>
      <w:snapToGrid w:val="0"/>
      <w:szCs w:val="28"/>
    </w:rPr>
  </w:style>
  <w:style w:type="paragraph" w:customStyle="1" w:styleId="Allekirjoitukset">
    <w:name w:val="Allekirjoitukset"/>
    <w:basedOn w:val="Normaali"/>
    <w:qFormat/>
    <w:rsid w:val="003807ED"/>
    <w:pPr>
      <w:ind w:left="5216" w:hanging="3912"/>
    </w:pPr>
  </w:style>
  <w:style w:type="paragraph" w:customStyle="1" w:styleId="Turvaluokanotsikko">
    <w:name w:val="Turvaluokan otsikko"/>
    <w:basedOn w:val="Normaali"/>
    <w:semiHidden/>
    <w:rsid w:val="004450F9"/>
    <w:pPr>
      <w:jc w:val="center"/>
    </w:pPr>
    <w:rPr>
      <w:rFonts w:ascii="Times New Roman" w:hAnsi="Times New Roman"/>
      <w:b/>
      <w:caps/>
      <w:noProof/>
      <w:color w:val="FF0000"/>
      <w:sz w:val="24"/>
    </w:rPr>
  </w:style>
  <w:style w:type="paragraph" w:customStyle="1" w:styleId="Turvaluokanteksti">
    <w:name w:val="Turvaluokan teksti"/>
    <w:basedOn w:val="Normaali"/>
    <w:semiHidden/>
    <w:rsid w:val="004450F9"/>
    <w:pPr>
      <w:jc w:val="center"/>
    </w:pPr>
    <w:rPr>
      <w:noProof/>
      <w:color w:val="FF0000"/>
    </w:rPr>
  </w:style>
  <w:style w:type="paragraph" w:customStyle="1" w:styleId="Kentat">
    <w:name w:val="Kentat"/>
    <w:basedOn w:val="Sisennettykappale"/>
    <w:semiHidden/>
    <w:rsid w:val="00605B71"/>
    <w:pPr>
      <w:ind w:left="0"/>
    </w:pPr>
  </w:style>
  <w:style w:type="paragraph" w:styleId="Sisllysluettelonotsikko">
    <w:name w:val="TOC Heading"/>
    <w:basedOn w:val="Otsikko1"/>
    <w:next w:val="Normaali"/>
    <w:uiPriority w:val="39"/>
    <w:semiHidden/>
    <w:qFormat/>
    <w:rsid w:val="004C7995"/>
    <w:pPr>
      <w:keepLines/>
      <w:numPr>
        <w:numId w:val="0"/>
      </w:numPr>
      <w:suppressAutoHyphens w:val="0"/>
      <w:spacing w:before="480" w:after="0"/>
      <w:outlineLvl w:val="9"/>
    </w:pPr>
    <w:rPr>
      <w:rFonts w:eastAsiaTheme="majorEastAsia" w:cstheme="majorBidi"/>
      <w:bCs/>
      <w:snapToGrid/>
      <w:sz w:val="22"/>
      <w:szCs w:val="28"/>
    </w:rPr>
  </w:style>
  <w:style w:type="paragraph" w:styleId="Sisluet1">
    <w:name w:val="toc 1"/>
    <w:basedOn w:val="Normaali"/>
    <w:next w:val="Normaali"/>
    <w:autoRedefine/>
    <w:uiPriority w:val="39"/>
    <w:semiHidden/>
    <w:rsid w:val="006B4A80"/>
    <w:pPr>
      <w:spacing w:after="100"/>
    </w:pPr>
  </w:style>
  <w:style w:type="paragraph" w:styleId="Sisluet2">
    <w:name w:val="toc 2"/>
    <w:basedOn w:val="Normaali"/>
    <w:next w:val="Normaali"/>
    <w:autoRedefine/>
    <w:uiPriority w:val="39"/>
    <w:semiHidden/>
    <w:rsid w:val="006B4A80"/>
    <w:pPr>
      <w:spacing w:after="100"/>
      <w:ind w:left="200"/>
    </w:pPr>
  </w:style>
  <w:style w:type="paragraph" w:styleId="Sisluet3">
    <w:name w:val="toc 3"/>
    <w:basedOn w:val="Normaali"/>
    <w:next w:val="Normaali"/>
    <w:autoRedefine/>
    <w:uiPriority w:val="39"/>
    <w:semiHidden/>
    <w:rsid w:val="006B4A80"/>
    <w:pPr>
      <w:spacing w:after="100"/>
      <w:ind w:left="400"/>
    </w:pPr>
  </w:style>
  <w:style w:type="paragraph" w:customStyle="1" w:styleId="Salassapidonotsikko">
    <w:name w:val="Salassapidon otsikko"/>
    <w:basedOn w:val="Normaali"/>
    <w:qFormat/>
    <w:rsid w:val="00CB4C2D"/>
    <w:pPr>
      <w:autoSpaceDE w:val="0"/>
      <w:autoSpaceDN w:val="0"/>
      <w:adjustRightInd w:val="0"/>
      <w:jc w:val="center"/>
    </w:pPr>
    <w:rPr>
      <w:rFonts w:cs="Arial"/>
      <w:b/>
      <w:bCs/>
      <w:noProof/>
      <w:color w:val="FF0000"/>
      <w:sz w:val="22"/>
      <w:szCs w:val="22"/>
    </w:rPr>
  </w:style>
  <w:style w:type="paragraph" w:customStyle="1" w:styleId="Salassapidonteksti">
    <w:name w:val="Salassapidon teksti"/>
    <w:basedOn w:val="Normaali"/>
    <w:qFormat/>
    <w:rsid w:val="00204FA7"/>
    <w:pPr>
      <w:autoSpaceDE w:val="0"/>
      <w:autoSpaceDN w:val="0"/>
      <w:adjustRightInd w:val="0"/>
      <w:jc w:val="center"/>
    </w:pPr>
    <w:rPr>
      <w:rFonts w:cs="Arial"/>
      <w:noProof/>
      <w:color w:val="FF0000"/>
    </w:rPr>
  </w:style>
  <w:style w:type="paragraph" w:customStyle="1" w:styleId="Tyyli1">
    <w:name w:val="Tyyli1"/>
    <w:basedOn w:val="Salassapidonteksti"/>
    <w:qFormat/>
    <w:rsid w:val="00C73172"/>
  </w:style>
  <w:style w:type="paragraph" w:customStyle="1" w:styleId="Default">
    <w:name w:val="Default"/>
    <w:rsid w:val="00EB1B11"/>
    <w:pPr>
      <w:autoSpaceDE w:val="0"/>
      <w:autoSpaceDN w:val="0"/>
      <w:adjustRightInd w:val="0"/>
    </w:pPr>
    <w:rPr>
      <w:rFonts w:ascii="Arial" w:hAnsi="Arial" w:cs="Arial"/>
      <w:color w:val="000000"/>
      <w:sz w:val="24"/>
      <w:szCs w:val="24"/>
    </w:rPr>
  </w:style>
  <w:style w:type="paragraph" w:customStyle="1" w:styleId="SisennysC2">
    <w:name w:val="Sisennys C2"/>
    <w:basedOn w:val="Normaali"/>
    <w:qFormat/>
    <w:rsid w:val="00103470"/>
    <w:pPr>
      <w:tabs>
        <w:tab w:val="left" w:pos="0"/>
        <w:tab w:val="left" w:pos="1298"/>
        <w:tab w:val="left" w:pos="2591"/>
        <w:tab w:val="left" w:pos="3890"/>
        <w:tab w:val="left" w:pos="5182"/>
        <w:tab w:val="left" w:pos="6481"/>
        <w:tab w:val="left" w:pos="7779"/>
        <w:tab w:val="left" w:pos="9072"/>
      </w:tabs>
      <w:spacing w:before="140" w:after="120"/>
      <w:ind w:left="2591"/>
      <w:jc w:val="left"/>
    </w:pPr>
    <w:rPr>
      <w:sz w:val="24"/>
      <w:szCs w:val="24"/>
    </w:rPr>
  </w:style>
  <w:style w:type="paragraph" w:customStyle="1" w:styleId="LLPerustelujenkappalejako">
    <w:name w:val="LLPerustelujenkappalejako"/>
    <w:rsid w:val="005A38E6"/>
    <w:pPr>
      <w:spacing w:after="220" w:line="220" w:lineRule="exact"/>
      <w:jc w:val="both"/>
    </w:pPr>
    <w:rPr>
      <w:sz w:val="22"/>
      <w:szCs w:val="24"/>
    </w:rPr>
  </w:style>
  <w:style w:type="paragraph" w:styleId="Luettelokappale">
    <w:name w:val="List Paragraph"/>
    <w:basedOn w:val="Normaali"/>
    <w:uiPriority w:val="34"/>
    <w:qFormat/>
    <w:rsid w:val="009C1C80"/>
    <w:pPr>
      <w:ind w:left="720"/>
      <w:contextualSpacing/>
    </w:pPr>
  </w:style>
  <w:style w:type="character" w:customStyle="1" w:styleId="OtsikkoChar">
    <w:name w:val="Otsikko Char"/>
    <w:basedOn w:val="Kappaleenoletusfontti"/>
    <w:link w:val="Otsikko"/>
    <w:rsid w:val="006D05F8"/>
    <w:rPr>
      <w:rFonts w:ascii="Arial" w:hAnsi="Arial"/>
      <w:i/>
    </w:rPr>
  </w:style>
  <w:style w:type="character" w:styleId="Kommentinviite">
    <w:name w:val="annotation reference"/>
    <w:basedOn w:val="Kappaleenoletusfontti"/>
    <w:semiHidden/>
    <w:unhideWhenUsed/>
    <w:rsid w:val="00BA0BB9"/>
    <w:rPr>
      <w:sz w:val="16"/>
      <w:szCs w:val="16"/>
    </w:rPr>
  </w:style>
  <w:style w:type="paragraph" w:styleId="Kommentinteksti">
    <w:name w:val="annotation text"/>
    <w:basedOn w:val="Normaali"/>
    <w:link w:val="KommentintekstiChar"/>
    <w:uiPriority w:val="99"/>
    <w:unhideWhenUsed/>
    <w:rsid w:val="00BA0BB9"/>
  </w:style>
  <w:style w:type="character" w:customStyle="1" w:styleId="KommentintekstiChar">
    <w:name w:val="Kommentin teksti Char"/>
    <w:basedOn w:val="Kappaleenoletusfontti"/>
    <w:link w:val="Kommentinteksti"/>
    <w:uiPriority w:val="99"/>
    <w:rsid w:val="00BA0BB9"/>
    <w:rPr>
      <w:rFonts w:ascii="Arial" w:hAnsi="Arial"/>
    </w:rPr>
  </w:style>
  <w:style w:type="paragraph" w:styleId="Kommentinotsikko">
    <w:name w:val="annotation subject"/>
    <w:basedOn w:val="Kommentinteksti"/>
    <w:next w:val="Kommentinteksti"/>
    <w:link w:val="KommentinotsikkoChar"/>
    <w:semiHidden/>
    <w:unhideWhenUsed/>
    <w:rsid w:val="00BA0BB9"/>
    <w:rPr>
      <w:b/>
      <w:bCs/>
    </w:rPr>
  </w:style>
  <w:style w:type="character" w:customStyle="1" w:styleId="KommentinotsikkoChar">
    <w:name w:val="Kommentin otsikko Char"/>
    <w:basedOn w:val="KommentintekstiChar"/>
    <w:link w:val="Kommentinotsikko"/>
    <w:semiHidden/>
    <w:rsid w:val="00BA0B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6845">
      <w:bodyDiv w:val="1"/>
      <w:marLeft w:val="0"/>
      <w:marRight w:val="0"/>
      <w:marTop w:val="0"/>
      <w:marBottom w:val="0"/>
      <w:divBdr>
        <w:top w:val="none" w:sz="0" w:space="0" w:color="auto"/>
        <w:left w:val="none" w:sz="0" w:space="0" w:color="auto"/>
        <w:bottom w:val="none" w:sz="0" w:space="0" w:color="auto"/>
        <w:right w:val="none" w:sz="0" w:space="0" w:color="auto"/>
      </w:divBdr>
    </w:div>
    <w:div w:id="109513548">
      <w:bodyDiv w:val="1"/>
      <w:marLeft w:val="0"/>
      <w:marRight w:val="0"/>
      <w:marTop w:val="0"/>
      <w:marBottom w:val="0"/>
      <w:divBdr>
        <w:top w:val="none" w:sz="0" w:space="0" w:color="auto"/>
        <w:left w:val="none" w:sz="0" w:space="0" w:color="auto"/>
        <w:bottom w:val="none" w:sz="0" w:space="0" w:color="auto"/>
        <w:right w:val="none" w:sz="0" w:space="0" w:color="auto"/>
      </w:divBdr>
    </w:div>
    <w:div w:id="116530049">
      <w:bodyDiv w:val="1"/>
      <w:marLeft w:val="0"/>
      <w:marRight w:val="0"/>
      <w:marTop w:val="0"/>
      <w:marBottom w:val="0"/>
      <w:divBdr>
        <w:top w:val="none" w:sz="0" w:space="0" w:color="auto"/>
        <w:left w:val="none" w:sz="0" w:space="0" w:color="auto"/>
        <w:bottom w:val="none" w:sz="0" w:space="0" w:color="auto"/>
        <w:right w:val="none" w:sz="0" w:space="0" w:color="auto"/>
      </w:divBdr>
    </w:div>
    <w:div w:id="269166139">
      <w:bodyDiv w:val="1"/>
      <w:marLeft w:val="0"/>
      <w:marRight w:val="0"/>
      <w:marTop w:val="0"/>
      <w:marBottom w:val="0"/>
      <w:divBdr>
        <w:top w:val="none" w:sz="0" w:space="0" w:color="auto"/>
        <w:left w:val="none" w:sz="0" w:space="0" w:color="auto"/>
        <w:bottom w:val="none" w:sz="0" w:space="0" w:color="auto"/>
        <w:right w:val="none" w:sz="0" w:space="0" w:color="auto"/>
      </w:divBdr>
    </w:div>
    <w:div w:id="282612830">
      <w:bodyDiv w:val="1"/>
      <w:marLeft w:val="0"/>
      <w:marRight w:val="0"/>
      <w:marTop w:val="0"/>
      <w:marBottom w:val="0"/>
      <w:divBdr>
        <w:top w:val="none" w:sz="0" w:space="0" w:color="auto"/>
        <w:left w:val="none" w:sz="0" w:space="0" w:color="auto"/>
        <w:bottom w:val="none" w:sz="0" w:space="0" w:color="auto"/>
        <w:right w:val="none" w:sz="0" w:space="0" w:color="auto"/>
      </w:divBdr>
    </w:div>
    <w:div w:id="299002406">
      <w:bodyDiv w:val="1"/>
      <w:marLeft w:val="0"/>
      <w:marRight w:val="0"/>
      <w:marTop w:val="0"/>
      <w:marBottom w:val="0"/>
      <w:divBdr>
        <w:top w:val="none" w:sz="0" w:space="0" w:color="auto"/>
        <w:left w:val="none" w:sz="0" w:space="0" w:color="auto"/>
        <w:bottom w:val="none" w:sz="0" w:space="0" w:color="auto"/>
        <w:right w:val="none" w:sz="0" w:space="0" w:color="auto"/>
      </w:divBdr>
    </w:div>
    <w:div w:id="471020807">
      <w:bodyDiv w:val="1"/>
      <w:marLeft w:val="0"/>
      <w:marRight w:val="0"/>
      <w:marTop w:val="0"/>
      <w:marBottom w:val="0"/>
      <w:divBdr>
        <w:top w:val="none" w:sz="0" w:space="0" w:color="auto"/>
        <w:left w:val="none" w:sz="0" w:space="0" w:color="auto"/>
        <w:bottom w:val="none" w:sz="0" w:space="0" w:color="auto"/>
        <w:right w:val="none" w:sz="0" w:space="0" w:color="auto"/>
      </w:divBdr>
    </w:div>
    <w:div w:id="540213409">
      <w:bodyDiv w:val="1"/>
      <w:marLeft w:val="0"/>
      <w:marRight w:val="0"/>
      <w:marTop w:val="0"/>
      <w:marBottom w:val="0"/>
      <w:divBdr>
        <w:top w:val="none" w:sz="0" w:space="0" w:color="auto"/>
        <w:left w:val="none" w:sz="0" w:space="0" w:color="auto"/>
        <w:bottom w:val="none" w:sz="0" w:space="0" w:color="auto"/>
        <w:right w:val="none" w:sz="0" w:space="0" w:color="auto"/>
      </w:divBdr>
    </w:div>
    <w:div w:id="565802231">
      <w:bodyDiv w:val="1"/>
      <w:marLeft w:val="0"/>
      <w:marRight w:val="0"/>
      <w:marTop w:val="0"/>
      <w:marBottom w:val="0"/>
      <w:divBdr>
        <w:top w:val="none" w:sz="0" w:space="0" w:color="auto"/>
        <w:left w:val="none" w:sz="0" w:space="0" w:color="auto"/>
        <w:bottom w:val="none" w:sz="0" w:space="0" w:color="auto"/>
        <w:right w:val="none" w:sz="0" w:space="0" w:color="auto"/>
      </w:divBdr>
    </w:div>
    <w:div w:id="666976426">
      <w:bodyDiv w:val="1"/>
      <w:marLeft w:val="0"/>
      <w:marRight w:val="0"/>
      <w:marTop w:val="0"/>
      <w:marBottom w:val="0"/>
      <w:divBdr>
        <w:top w:val="none" w:sz="0" w:space="0" w:color="auto"/>
        <w:left w:val="none" w:sz="0" w:space="0" w:color="auto"/>
        <w:bottom w:val="none" w:sz="0" w:space="0" w:color="auto"/>
        <w:right w:val="none" w:sz="0" w:space="0" w:color="auto"/>
      </w:divBdr>
    </w:div>
    <w:div w:id="775515921">
      <w:bodyDiv w:val="1"/>
      <w:marLeft w:val="0"/>
      <w:marRight w:val="0"/>
      <w:marTop w:val="0"/>
      <w:marBottom w:val="0"/>
      <w:divBdr>
        <w:top w:val="none" w:sz="0" w:space="0" w:color="auto"/>
        <w:left w:val="none" w:sz="0" w:space="0" w:color="auto"/>
        <w:bottom w:val="none" w:sz="0" w:space="0" w:color="auto"/>
        <w:right w:val="none" w:sz="0" w:space="0" w:color="auto"/>
      </w:divBdr>
    </w:div>
    <w:div w:id="922252607">
      <w:bodyDiv w:val="1"/>
      <w:marLeft w:val="0"/>
      <w:marRight w:val="0"/>
      <w:marTop w:val="0"/>
      <w:marBottom w:val="0"/>
      <w:divBdr>
        <w:top w:val="none" w:sz="0" w:space="0" w:color="auto"/>
        <w:left w:val="none" w:sz="0" w:space="0" w:color="auto"/>
        <w:bottom w:val="none" w:sz="0" w:space="0" w:color="auto"/>
        <w:right w:val="none" w:sz="0" w:space="0" w:color="auto"/>
      </w:divBdr>
    </w:div>
    <w:div w:id="947859937">
      <w:bodyDiv w:val="1"/>
      <w:marLeft w:val="0"/>
      <w:marRight w:val="0"/>
      <w:marTop w:val="0"/>
      <w:marBottom w:val="0"/>
      <w:divBdr>
        <w:top w:val="none" w:sz="0" w:space="0" w:color="auto"/>
        <w:left w:val="none" w:sz="0" w:space="0" w:color="auto"/>
        <w:bottom w:val="none" w:sz="0" w:space="0" w:color="auto"/>
        <w:right w:val="none" w:sz="0" w:space="0" w:color="auto"/>
      </w:divBdr>
    </w:div>
    <w:div w:id="958485805">
      <w:bodyDiv w:val="1"/>
      <w:marLeft w:val="0"/>
      <w:marRight w:val="0"/>
      <w:marTop w:val="0"/>
      <w:marBottom w:val="0"/>
      <w:divBdr>
        <w:top w:val="none" w:sz="0" w:space="0" w:color="auto"/>
        <w:left w:val="none" w:sz="0" w:space="0" w:color="auto"/>
        <w:bottom w:val="none" w:sz="0" w:space="0" w:color="auto"/>
        <w:right w:val="none" w:sz="0" w:space="0" w:color="auto"/>
      </w:divBdr>
    </w:div>
    <w:div w:id="1032879928">
      <w:bodyDiv w:val="1"/>
      <w:marLeft w:val="0"/>
      <w:marRight w:val="0"/>
      <w:marTop w:val="0"/>
      <w:marBottom w:val="0"/>
      <w:divBdr>
        <w:top w:val="none" w:sz="0" w:space="0" w:color="auto"/>
        <w:left w:val="none" w:sz="0" w:space="0" w:color="auto"/>
        <w:bottom w:val="none" w:sz="0" w:space="0" w:color="auto"/>
        <w:right w:val="none" w:sz="0" w:space="0" w:color="auto"/>
      </w:divBdr>
    </w:div>
    <w:div w:id="1224172542">
      <w:bodyDiv w:val="1"/>
      <w:marLeft w:val="0"/>
      <w:marRight w:val="0"/>
      <w:marTop w:val="0"/>
      <w:marBottom w:val="0"/>
      <w:divBdr>
        <w:top w:val="none" w:sz="0" w:space="0" w:color="auto"/>
        <w:left w:val="none" w:sz="0" w:space="0" w:color="auto"/>
        <w:bottom w:val="none" w:sz="0" w:space="0" w:color="auto"/>
        <w:right w:val="none" w:sz="0" w:space="0" w:color="auto"/>
      </w:divBdr>
    </w:div>
    <w:div w:id="1224876685">
      <w:bodyDiv w:val="1"/>
      <w:marLeft w:val="0"/>
      <w:marRight w:val="0"/>
      <w:marTop w:val="0"/>
      <w:marBottom w:val="0"/>
      <w:divBdr>
        <w:top w:val="none" w:sz="0" w:space="0" w:color="auto"/>
        <w:left w:val="none" w:sz="0" w:space="0" w:color="auto"/>
        <w:bottom w:val="none" w:sz="0" w:space="0" w:color="auto"/>
        <w:right w:val="none" w:sz="0" w:space="0" w:color="auto"/>
      </w:divBdr>
    </w:div>
    <w:div w:id="1225264947">
      <w:bodyDiv w:val="1"/>
      <w:marLeft w:val="0"/>
      <w:marRight w:val="0"/>
      <w:marTop w:val="0"/>
      <w:marBottom w:val="0"/>
      <w:divBdr>
        <w:top w:val="none" w:sz="0" w:space="0" w:color="auto"/>
        <w:left w:val="none" w:sz="0" w:space="0" w:color="auto"/>
        <w:bottom w:val="none" w:sz="0" w:space="0" w:color="auto"/>
        <w:right w:val="none" w:sz="0" w:space="0" w:color="auto"/>
      </w:divBdr>
    </w:div>
    <w:div w:id="1309088187">
      <w:bodyDiv w:val="1"/>
      <w:marLeft w:val="0"/>
      <w:marRight w:val="0"/>
      <w:marTop w:val="0"/>
      <w:marBottom w:val="0"/>
      <w:divBdr>
        <w:top w:val="none" w:sz="0" w:space="0" w:color="auto"/>
        <w:left w:val="none" w:sz="0" w:space="0" w:color="auto"/>
        <w:bottom w:val="none" w:sz="0" w:space="0" w:color="auto"/>
        <w:right w:val="none" w:sz="0" w:space="0" w:color="auto"/>
      </w:divBdr>
    </w:div>
    <w:div w:id="1486704833">
      <w:bodyDiv w:val="1"/>
      <w:marLeft w:val="0"/>
      <w:marRight w:val="0"/>
      <w:marTop w:val="0"/>
      <w:marBottom w:val="0"/>
      <w:divBdr>
        <w:top w:val="none" w:sz="0" w:space="0" w:color="auto"/>
        <w:left w:val="none" w:sz="0" w:space="0" w:color="auto"/>
        <w:bottom w:val="none" w:sz="0" w:space="0" w:color="auto"/>
        <w:right w:val="none" w:sz="0" w:space="0" w:color="auto"/>
      </w:divBdr>
    </w:div>
    <w:div w:id="1519346239">
      <w:bodyDiv w:val="1"/>
      <w:marLeft w:val="0"/>
      <w:marRight w:val="0"/>
      <w:marTop w:val="0"/>
      <w:marBottom w:val="0"/>
      <w:divBdr>
        <w:top w:val="none" w:sz="0" w:space="0" w:color="auto"/>
        <w:left w:val="none" w:sz="0" w:space="0" w:color="auto"/>
        <w:bottom w:val="none" w:sz="0" w:space="0" w:color="auto"/>
        <w:right w:val="none" w:sz="0" w:space="0" w:color="auto"/>
      </w:divBdr>
    </w:div>
    <w:div w:id="1540434822">
      <w:bodyDiv w:val="1"/>
      <w:marLeft w:val="0"/>
      <w:marRight w:val="0"/>
      <w:marTop w:val="0"/>
      <w:marBottom w:val="0"/>
      <w:divBdr>
        <w:top w:val="none" w:sz="0" w:space="0" w:color="auto"/>
        <w:left w:val="none" w:sz="0" w:space="0" w:color="auto"/>
        <w:bottom w:val="none" w:sz="0" w:space="0" w:color="auto"/>
        <w:right w:val="none" w:sz="0" w:space="0" w:color="auto"/>
      </w:divBdr>
    </w:div>
    <w:div w:id="1562324557">
      <w:bodyDiv w:val="1"/>
      <w:marLeft w:val="0"/>
      <w:marRight w:val="0"/>
      <w:marTop w:val="0"/>
      <w:marBottom w:val="0"/>
      <w:divBdr>
        <w:top w:val="none" w:sz="0" w:space="0" w:color="auto"/>
        <w:left w:val="none" w:sz="0" w:space="0" w:color="auto"/>
        <w:bottom w:val="none" w:sz="0" w:space="0" w:color="auto"/>
        <w:right w:val="none" w:sz="0" w:space="0" w:color="auto"/>
      </w:divBdr>
    </w:div>
    <w:div w:id="1885437926">
      <w:bodyDiv w:val="1"/>
      <w:marLeft w:val="0"/>
      <w:marRight w:val="0"/>
      <w:marTop w:val="0"/>
      <w:marBottom w:val="0"/>
      <w:divBdr>
        <w:top w:val="none" w:sz="0" w:space="0" w:color="auto"/>
        <w:left w:val="none" w:sz="0" w:space="0" w:color="auto"/>
        <w:bottom w:val="none" w:sz="0" w:space="0" w:color="auto"/>
        <w:right w:val="none" w:sz="0" w:space="0" w:color="auto"/>
      </w:divBdr>
    </w:div>
    <w:div w:id="1889612630">
      <w:bodyDiv w:val="1"/>
      <w:marLeft w:val="0"/>
      <w:marRight w:val="0"/>
      <w:marTop w:val="0"/>
      <w:marBottom w:val="0"/>
      <w:divBdr>
        <w:top w:val="none" w:sz="0" w:space="0" w:color="auto"/>
        <w:left w:val="none" w:sz="0" w:space="0" w:color="auto"/>
        <w:bottom w:val="none" w:sz="0" w:space="0" w:color="auto"/>
        <w:right w:val="none" w:sz="0" w:space="0" w:color="auto"/>
      </w:divBdr>
    </w:div>
    <w:div w:id="1899585976">
      <w:bodyDiv w:val="1"/>
      <w:marLeft w:val="0"/>
      <w:marRight w:val="0"/>
      <w:marTop w:val="0"/>
      <w:marBottom w:val="0"/>
      <w:divBdr>
        <w:top w:val="none" w:sz="0" w:space="0" w:color="auto"/>
        <w:left w:val="none" w:sz="0" w:space="0" w:color="auto"/>
        <w:bottom w:val="none" w:sz="0" w:space="0" w:color="auto"/>
        <w:right w:val="none" w:sz="0" w:space="0" w:color="auto"/>
      </w:divBdr>
    </w:div>
    <w:div w:id="1938438979">
      <w:bodyDiv w:val="1"/>
      <w:marLeft w:val="0"/>
      <w:marRight w:val="0"/>
      <w:marTop w:val="0"/>
      <w:marBottom w:val="0"/>
      <w:divBdr>
        <w:top w:val="none" w:sz="0" w:space="0" w:color="auto"/>
        <w:left w:val="none" w:sz="0" w:space="0" w:color="auto"/>
        <w:bottom w:val="none" w:sz="0" w:space="0" w:color="auto"/>
        <w:right w:val="none" w:sz="0" w:space="0" w:color="auto"/>
      </w:divBdr>
    </w:div>
    <w:div w:id="2034845909">
      <w:bodyDiv w:val="1"/>
      <w:marLeft w:val="0"/>
      <w:marRight w:val="0"/>
      <w:marTop w:val="0"/>
      <w:marBottom w:val="0"/>
      <w:divBdr>
        <w:top w:val="none" w:sz="0" w:space="0" w:color="auto"/>
        <w:left w:val="none" w:sz="0" w:space="0" w:color="auto"/>
        <w:bottom w:val="none" w:sz="0" w:space="0" w:color="auto"/>
        <w:right w:val="none" w:sz="0" w:space="0" w:color="auto"/>
      </w:divBdr>
    </w:div>
    <w:div w:id="206374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21197\AppData\Roaming\Microsoft\Mallit\Viralliset%20suomi\Muistio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6" ma:contentTypeDescription="Luo uusi asiakirja." ma:contentTypeScope="" ma:versionID="1bc0269246bda91ba00e98fbb0f2aa5a">
  <xsd:schema xmlns:xsd="http://www.w3.org/2001/XMLSchema" xmlns:xs="http://www.w3.org/2001/XMLSchema" xmlns:p="http://schemas.microsoft.com/office/2006/metadata/properties" xmlns:ns2="9752e244-cda5-4ecb-9bf0-70253e6af92a" xmlns:ns3="ebb82943-49da-4504-a2f3-a33fb2eb95f1" targetNamespace="http://schemas.microsoft.com/office/2006/metadata/properties" ma:root="true" ma:fieldsID="1da8b65aa5a9196895db7aafede44653" ns2:_="" ns3:_="">
    <xsd:import namespace="9752e244-cda5-4ecb-9bf0-70253e6af92a"/>
    <xsd:import namespace="ebb82943-49da-4504-a2f3-a33fb2eb95f1"/>
    <xsd:element name="properties">
      <xsd:complexType>
        <xsd:sequence>
          <xsd:element name="documentManagement">
            <xsd:complexType>
              <xsd:all>
                <xsd:element ref="ns2:Aineistolaji"/>
                <xsd:element ref="ns2:Ty_x00f6_n_x0020_vaih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2e244-cda5-4ecb-9bf0-70253e6af92a" elementFormDefault="qualified">
    <xsd:import namespace="http://schemas.microsoft.com/office/2006/documentManagement/types"/>
    <xsd:import namespace="http://schemas.microsoft.com/office/infopath/2007/PartnerControls"/>
    <xsd:element name="Aineistolaji" ma:index="2" ma:displayName="Aineistolaji" ma:default="Diaesitys" ma:format="Dropdown" ma:internalName="Aineistolaji">
      <xsd:simpleType>
        <xsd:restriction base="dms:Choice">
          <xsd:enumeration value="Asialista"/>
          <xsd:enumeration value="Diaesitys"/>
          <xsd:enumeration value="Esitys"/>
          <xsd:enumeration value="Hallituksen esitys"/>
          <xsd:enumeration value="Muistio"/>
          <xsd:enumeration value="Ohjelma"/>
          <xsd:enumeration value="Päätös"/>
          <xsd:enumeration value="Pöytäkirja"/>
          <xsd:enumeration value="Taustamateriaali"/>
        </xsd:restriction>
      </xsd:simpleType>
    </xsd:element>
    <xsd:element name="Ty_x00f6_n_x0020_vaihe" ma:index="3" ma:displayName="Työn vaihe" ma:default="2020" ma:format="Dropdown" ma:internalName="Ty_x00f6_n_x0020_vaihe">
      <xsd:simpleType>
        <xsd:restriction base="dms:Choice">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_x00f6_n_x0020_vaihe xmlns="9752e244-cda5-4ecb-9bf0-70253e6af92a">2020</Ty_x00f6_n_x0020_vaihe>
    <Aineistolaji xmlns="9752e244-cda5-4ecb-9bf0-70253e6af92a">Diaesitys</Aineistolaji>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882B-275A-4E03-AC37-1D7E2F975835}">
  <ds:schemaRefs>
    <ds:schemaRef ds:uri="http://schemas.microsoft.com/sharepoint/v3/contenttype/forms"/>
  </ds:schemaRefs>
</ds:datastoreItem>
</file>

<file path=customXml/itemProps2.xml><?xml version="1.0" encoding="utf-8"?>
<ds:datastoreItem xmlns:ds="http://schemas.openxmlformats.org/officeDocument/2006/customXml" ds:itemID="{CD4FE0E6-4664-4F04-984C-1B48E2198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2e244-cda5-4ecb-9bf0-70253e6af92a"/>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1593F-C5D5-42DE-BA19-9A5AA6623462}">
  <ds:schemaRefs>
    <ds:schemaRef ds:uri="http://schemas.microsoft.com/office/2006/metadata/properties"/>
    <ds:schemaRef ds:uri="http://schemas.microsoft.com/office/infopath/2007/PartnerControls"/>
    <ds:schemaRef ds:uri="9752e244-cda5-4ecb-9bf0-70253e6af92a"/>
  </ds:schemaRefs>
</ds:datastoreItem>
</file>

<file path=customXml/itemProps4.xml><?xml version="1.0" encoding="utf-8"?>
<ds:datastoreItem xmlns:ds="http://schemas.openxmlformats.org/officeDocument/2006/customXml" ds:itemID="{FC32EE3E-3F43-47B3-9E00-A91395F9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Muistiomalli.dotx</Template>
  <TotalTime>1135</TotalTime>
  <Pages>7</Pages>
  <Words>2525</Words>
  <Characters>20460</Characters>
  <Application>Microsoft Office Word</Application>
  <DocSecurity>0</DocSecurity>
  <Lines>170</Lines>
  <Paragraphs>45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Lapinlampi Joona (PLM)</dc:creator>
  <cp:lastModifiedBy>Gau Anna (PLM)</cp:lastModifiedBy>
  <cp:revision>55</cp:revision>
  <cp:lastPrinted>2022-10-10T06:06:00Z</cp:lastPrinted>
  <dcterms:created xsi:type="dcterms:W3CDTF">2023-06-26T05:05:00Z</dcterms:created>
  <dcterms:modified xsi:type="dcterms:W3CDTF">2023-09-13T07:06:00Z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