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6DC9" w14:textId="196F5B3C" w:rsidR="00825330" w:rsidRDefault="00825330" w:rsidP="00DD0516">
      <w:pPr>
        <w:ind w:left="360" w:hanging="360"/>
        <w:jc w:val="both"/>
        <w:rPr>
          <w:b/>
          <w:bCs/>
          <w:sz w:val="28"/>
          <w:szCs w:val="28"/>
        </w:rPr>
      </w:pPr>
      <w:r>
        <w:rPr>
          <w:b/>
          <w:bCs/>
          <w:sz w:val="28"/>
          <w:szCs w:val="28"/>
        </w:rPr>
        <w:t>Kuuleminen energiaverotuksen uudistamisesta 2.3.2020</w:t>
      </w:r>
    </w:p>
    <w:p w14:paraId="600BD5B3" w14:textId="490AAAA7" w:rsidR="00825330" w:rsidRDefault="00825330" w:rsidP="00F03C7D">
      <w:pPr>
        <w:ind w:left="357" w:hanging="357"/>
        <w:jc w:val="both"/>
        <w:rPr>
          <w:b/>
          <w:bCs/>
        </w:rPr>
      </w:pPr>
      <w:r>
        <w:rPr>
          <w:b/>
          <w:bCs/>
        </w:rPr>
        <w:t>Vastauksia työryhmän kysymyksiin</w:t>
      </w:r>
    </w:p>
    <w:p w14:paraId="3941A2CF" w14:textId="6462930C" w:rsidR="00825330" w:rsidRDefault="00825330" w:rsidP="00F03C7D">
      <w:pPr>
        <w:spacing w:after="240"/>
        <w:ind w:left="357" w:hanging="357"/>
        <w:jc w:val="both"/>
        <w:rPr>
          <w:b/>
          <w:bCs/>
        </w:rPr>
      </w:pPr>
      <w:r>
        <w:rPr>
          <w:b/>
          <w:bCs/>
        </w:rPr>
        <w:t>Marita Laukkanen, Valtion taloudellinen tutkimuskeskus</w:t>
      </w:r>
    </w:p>
    <w:p w14:paraId="34B01511" w14:textId="77777777" w:rsidR="00F03C7D" w:rsidRPr="00825330" w:rsidRDefault="00F03C7D" w:rsidP="00F03C7D">
      <w:pPr>
        <w:spacing w:after="240"/>
        <w:ind w:left="357" w:hanging="357"/>
        <w:jc w:val="both"/>
        <w:rPr>
          <w:b/>
          <w:bCs/>
        </w:rPr>
      </w:pPr>
    </w:p>
    <w:p w14:paraId="11AF40A3" w14:textId="782C99DF" w:rsidR="00DD0516" w:rsidRPr="00825330" w:rsidRDefault="00DD0516" w:rsidP="00825330">
      <w:pPr>
        <w:pStyle w:val="ListParagraph"/>
        <w:numPr>
          <w:ilvl w:val="0"/>
          <w:numId w:val="3"/>
        </w:numPr>
        <w:jc w:val="both"/>
        <w:rPr>
          <w:b/>
          <w:bCs/>
        </w:rPr>
      </w:pPr>
      <w:r w:rsidRPr="00825330">
        <w:rPr>
          <w:b/>
          <w:bCs/>
        </w:rPr>
        <w:t>Arvio nykyisen energiaverojärjestelmän rakenteesta ja toimivuudesta erityisesti suhteessa hallituksen vuodelle 2035 asettamaan hiilineutraalisuustavoitteeseen</w:t>
      </w:r>
    </w:p>
    <w:p w14:paraId="1F804368" w14:textId="59755E94" w:rsidR="0067434C" w:rsidRDefault="0067434C" w:rsidP="0067434C">
      <w:pPr>
        <w:jc w:val="both"/>
      </w:pPr>
      <w:r>
        <w:t xml:space="preserve">Energiaverot ovat kustannustehokas keino vähentää päästöjä. Energiatuotteiden verotus perustuukin Suomessa osittain hiilidioksidipäästöihin. Erilaiset yritystuet ja verohuojennukset heikentävät </w:t>
      </w:r>
      <w:r w:rsidR="000A0A14">
        <w:t xml:space="preserve">kuitenkin </w:t>
      </w:r>
      <w:r>
        <w:t xml:space="preserve">verotuksen ohjausvaikutusta. Ne heikentävät myös päästöjen vähentämisen kustannustehokkuutta kansantalouden kokonaisuuden kannalta, sillä hiilidioksidiverosta muodostuva päästövero eroaa </w:t>
      </w:r>
      <w:r>
        <w:t xml:space="preserve">erilaisten </w:t>
      </w:r>
      <w:r>
        <w:t xml:space="preserve">huojennusten vuoksi niin toimialoittain kuin samalla toimialalla toimivien yritysten välillä. </w:t>
      </w:r>
    </w:p>
    <w:p w14:paraId="244A17B3" w14:textId="03F7BFD3" w:rsidR="0067434C" w:rsidRDefault="0067434C" w:rsidP="0067434C">
      <w:pPr>
        <w:jc w:val="both"/>
      </w:pPr>
      <w:r>
        <w:t xml:space="preserve">Taulukko 1 kokoaa sähkön ja eri lämmityspolttoaineiden verotasot vertailukelpoisessa muodossa, euroa/GJ ilmaistuna. </w:t>
      </w:r>
    </w:p>
    <w:tbl>
      <w:tblPr>
        <w:tblStyle w:val="TableGrid"/>
        <w:tblW w:w="9918" w:type="dxa"/>
        <w:tblLayout w:type="fixed"/>
        <w:tblLook w:val="04A0" w:firstRow="1" w:lastRow="0" w:firstColumn="1" w:lastColumn="0" w:noHBand="0" w:noVBand="1"/>
      </w:tblPr>
      <w:tblGrid>
        <w:gridCol w:w="1129"/>
        <w:gridCol w:w="851"/>
        <w:gridCol w:w="992"/>
        <w:gridCol w:w="851"/>
        <w:gridCol w:w="850"/>
        <w:gridCol w:w="1134"/>
        <w:gridCol w:w="1134"/>
        <w:gridCol w:w="850"/>
        <w:gridCol w:w="851"/>
        <w:gridCol w:w="1276"/>
      </w:tblGrid>
      <w:tr w:rsidR="0067434C" w14:paraId="63A0BA01" w14:textId="77777777" w:rsidTr="00F94156">
        <w:tc>
          <w:tcPr>
            <w:tcW w:w="9918" w:type="dxa"/>
            <w:gridSpan w:val="10"/>
            <w:tcBorders>
              <w:top w:val="nil"/>
              <w:left w:val="nil"/>
              <w:bottom w:val="single" w:sz="4" w:space="0" w:color="auto"/>
              <w:right w:val="nil"/>
            </w:tcBorders>
          </w:tcPr>
          <w:p w14:paraId="2F802F3B" w14:textId="77777777" w:rsidR="0067434C" w:rsidRDefault="0067434C" w:rsidP="00F94156">
            <w:pPr>
              <w:jc w:val="both"/>
            </w:pPr>
            <w:r>
              <w:rPr>
                <w:b/>
              </w:rPr>
              <w:t xml:space="preserve">Taulukko 1. </w:t>
            </w:r>
            <w:r w:rsidRPr="0067434C">
              <w:rPr>
                <w:b/>
                <w:bCs/>
              </w:rPr>
              <w:t>Lämmityspolttoaineiden ja sähkön</w:t>
            </w:r>
            <w:r>
              <w:t xml:space="preserve"> </w:t>
            </w:r>
            <w:r>
              <w:rPr>
                <w:b/>
              </w:rPr>
              <w:t>valmisteverotasot vuonna 2020</w:t>
            </w:r>
          </w:p>
        </w:tc>
      </w:tr>
      <w:tr w:rsidR="0067434C" w:rsidRPr="00B24086" w14:paraId="6706D184" w14:textId="77777777" w:rsidTr="00F94156">
        <w:tc>
          <w:tcPr>
            <w:tcW w:w="1129" w:type="dxa"/>
            <w:tcBorders>
              <w:top w:val="single" w:sz="4" w:space="0" w:color="auto"/>
            </w:tcBorders>
          </w:tcPr>
          <w:p w14:paraId="280CB4D2" w14:textId="77777777" w:rsidR="0067434C" w:rsidRDefault="0067434C" w:rsidP="00F94156">
            <w:pPr>
              <w:jc w:val="both"/>
            </w:pPr>
          </w:p>
        </w:tc>
        <w:tc>
          <w:tcPr>
            <w:tcW w:w="851" w:type="dxa"/>
            <w:tcBorders>
              <w:top w:val="single" w:sz="4" w:space="0" w:color="auto"/>
            </w:tcBorders>
          </w:tcPr>
          <w:p w14:paraId="0A81AAD1" w14:textId="77777777" w:rsidR="0067434C" w:rsidRPr="00B24086" w:rsidRDefault="0067434C" w:rsidP="00F94156">
            <w:pPr>
              <w:jc w:val="both"/>
            </w:pPr>
            <w:r>
              <w:t>Sähkö I</w:t>
            </w:r>
          </w:p>
        </w:tc>
        <w:tc>
          <w:tcPr>
            <w:tcW w:w="992" w:type="dxa"/>
            <w:tcBorders>
              <w:top w:val="single" w:sz="4" w:space="0" w:color="auto"/>
            </w:tcBorders>
          </w:tcPr>
          <w:p w14:paraId="2B82D531" w14:textId="77777777" w:rsidR="0067434C" w:rsidRPr="00B24086" w:rsidRDefault="0067434C" w:rsidP="00F94156">
            <w:pPr>
              <w:jc w:val="both"/>
            </w:pPr>
            <w:r>
              <w:t>Sähkö II</w:t>
            </w:r>
          </w:p>
        </w:tc>
        <w:tc>
          <w:tcPr>
            <w:tcW w:w="851" w:type="dxa"/>
            <w:tcBorders>
              <w:top w:val="single" w:sz="4" w:space="0" w:color="auto"/>
            </w:tcBorders>
          </w:tcPr>
          <w:p w14:paraId="5539744B" w14:textId="77777777" w:rsidR="0067434C" w:rsidRPr="00B24086" w:rsidRDefault="0067434C" w:rsidP="00F94156">
            <w:pPr>
              <w:jc w:val="both"/>
            </w:pPr>
            <w:r>
              <w:t>Kivihiili</w:t>
            </w:r>
          </w:p>
        </w:tc>
        <w:tc>
          <w:tcPr>
            <w:tcW w:w="850" w:type="dxa"/>
            <w:tcBorders>
              <w:top w:val="single" w:sz="4" w:space="0" w:color="auto"/>
            </w:tcBorders>
          </w:tcPr>
          <w:p w14:paraId="182F43A1" w14:textId="77777777" w:rsidR="0067434C" w:rsidRDefault="0067434C" w:rsidP="00F94156">
            <w:pPr>
              <w:jc w:val="both"/>
            </w:pPr>
            <w:r>
              <w:t xml:space="preserve">Kivihiili </w:t>
            </w:r>
          </w:p>
          <w:p w14:paraId="68423DEB" w14:textId="77777777" w:rsidR="0067434C" w:rsidRDefault="0067434C" w:rsidP="00F94156">
            <w:pPr>
              <w:jc w:val="both"/>
            </w:pPr>
            <w:r>
              <w:t>CHP</w:t>
            </w:r>
          </w:p>
        </w:tc>
        <w:tc>
          <w:tcPr>
            <w:tcW w:w="1134" w:type="dxa"/>
            <w:tcBorders>
              <w:top w:val="single" w:sz="4" w:space="0" w:color="auto"/>
            </w:tcBorders>
          </w:tcPr>
          <w:p w14:paraId="504E56AF" w14:textId="77777777" w:rsidR="0067434C" w:rsidRPr="00B24086" w:rsidRDefault="0067434C" w:rsidP="00F94156">
            <w:pPr>
              <w:jc w:val="both"/>
            </w:pPr>
            <w:r>
              <w:t>Maakaasu</w:t>
            </w:r>
          </w:p>
        </w:tc>
        <w:tc>
          <w:tcPr>
            <w:tcW w:w="1134" w:type="dxa"/>
            <w:tcBorders>
              <w:top w:val="single" w:sz="4" w:space="0" w:color="auto"/>
            </w:tcBorders>
          </w:tcPr>
          <w:p w14:paraId="68604A25" w14:textId="77777777" w:rsidR="0067434C" w:rsidRDefault="0067434C" w:rsidP="00F94156">
            <w:r>
              <w:t>Maakaasu CHP</w:t>
            </w:r>
          </w:p>
        </w:tc>
        <w:tc>
          <w:tcPr>
            <w:tcW w:w="850" w:type="dxa"/>
            <w:tcBorders>
              <w:top w:val="single" w:sz="4" w:space="0" w:color="auto"/>
            </w:tcBorders>
          </w:tcPr>
          <w:p w14:paraId="51094DB9" w14:textId="77777777" w:rsidR="0067434C" w:rsidRPr="00B24086" w:rsidRDefault="0067434C" w:rsidP="00F94156">
            <w:r>
              <w:t>Raskas poltto-öljy</w:t>
            </w:r>
          </w:p>
        </w:tc>
        <w:tc>
          <w:tcPr>
            <w:tcW w:w="851" w:type="dxa"/>
            <w:tcBorders>
              <w:top w:val="single" w:sz="4" w:space="0" w:color="auto"/>
            </w:tcBorders>
          </w:tcPr>
          <w:p w14:paraId="6CF79BB4" w14:textId="77777777" w:rsidR="0067434C" w:rsidRPr="00B24086" w:rsidRDefault="0067434C" w:rsidP="00F94156">
            <w:pPr>
              <w:jc w:val="both"/>
            </w:pPr>
            <w:r>
              <w:t>Poltto-turve</w:t>
            </w:r>
          </w:p>
        </w:tc>
        <w:tc>
          <w:tcPr>
            <w:tcW w:w="1276" w:type="dxa"/>
            <w:tcBorders>
              <w:top w:val="single" w:sz="4" w:space="0" w:color="auto"/>
            </w:tcBorders>
          </w:tcPr>
          <w:p w14:paraId="721D3F00" w14:textId="77777777" w:rsidR="0067434C" w:rsidRPr="00B24086" w:rsidRDefault="0067434C" w:rsidP="00F94156">
            <w:pPr>
              <w:jc w:val="both"/>
            </w:pPr>
            <w:r>
              <w:t>Puupoltto-aineet</w:t>
            </w:r>
          </w:p>
        </w:tc>
      </w:tr>
      <w:tr w:rsidR="0067434C" w14:paraId="353CA800" w14:textId="77777777" w:rsidTr="00F94156">
        <w:tc>
          <w:tcPr>
            <w:tcW w:w="1129" w:type="dxa"/>
            <w:tcBorders>
              <w:bottom w:val="single" w:sz="4" w:space="0" w:color="auto"/>
            </w:tcBorders>
          </w:tcPr>
          <w:p w14:paraId="0BA0B229" w14:textId="77777777" w:rsidR="0067434C" w:rsidRDefault="0067434C" w:rsidP="00F94156">
            <w:pPr>
              <w:jc w:val="both"/>
            </w:pPr>
            <w:r>
              <w:t>Vero, euroa/GJ</w:t>
            </w:r>
          </w:p>
        </w:tc>
        <w:tc>
          <w:tcPr>
            <w:tcW w:w="851" w:type="dxa"/>
            <w:tcBorders>
              <w:bottom w:val="single" w:sz="4" w:space="0" w:color="auto"/>
            </w:tcBorders>
          </w:tcPr>
          <w:p w14:paraId="2EDF9661" w14:textId="77777777" w:rsidR="0067434C" w:rsidRDefault="0067434C" w:rsidP="00F94156">
            <w:pPr>
              <w:jc w:val="both"/>
            </w:pPr>
            <w:r>
              <w:t>6,22</w:t>
            </w:r>
          </w:p>
        </w:tc>
        <w:tc>
          <w:tcPr>
            <w:tcW w:w="992" w:type="dxa"/>
            <w:tcBorders>
              <w:bottom w:val="single" w:sz="4" w:space="0" w:color="auto"/>
            </w:tcBorders>
          </w:tcPr>
          <w:p w14:paraId="5298C5A7" w14:textId="77777777" w:rsidR="0067434C" w:rsidRDefault="0067434C" w:rsidP="00F94156">
            <w:pPr>
              <w:jc w:val="both"/>
            </w:pPr>
            <w:r>
              <w:t>1,92</w:t>
            </w:r>
          </w:p>
        </w:tc>
        <w:tc>
          <w:tcPr>
            <w:tcW w:w="851" w:type="dxa"/>
            <w:tcBorders>
              <w:bottom w:val="single" w:sz="4" w:space="0" w:color="auto"/>
            </w:tcBorders>
          </w:tcPr>
          <w:p w14:paraId="49E37D45" w14:textId="77777777" w:rsidR="0067434C" w:rsidRDefault="0067434C" w:rsidP="00F94156">
            <w:pPr>
              <w:jc w:val="both"/>
            </w:pPr>
            <w:r>
              <w:t>8,06</w:t>
            </w:r>
          </w:p>
        </w:tc>
        <w:tc>
          <w:tcPr>
            <w:tcW w:w="850" w:type="dxa"/>
            <w:tcBorders>
              <w:bottom w:val="single" w:sz="4" w:space="0" w:color="auto"/>
            </w:tcBorders>
          </w:tcPr>
          <w:p w14:paraId="3749A598" w14:textId="77777777" w:rsidR="0067434C" w:rsidRDefault="0067434C" w:rsidP="00F94156">
            <w:pPr>
              <w:jc w:val="both"/>
            </w:pPr>
            <w:r>
              <w:t>4,75</w:t>
            </w:r>
          </w:p>
        </w:tc>
        <w:tc>
          <w:tcPr>
            <w:tcW w:w="1134" w:type="dxa"/>
            <w:tcBorders>
              <w:bottom w:val="single" w:sz="4" w:space="0" w:color="auto"/>
            </w:tcBorders>
          </w:tcPr>
          <w:p w14:paraId="1F6296C8" w14:textId="77777777" w:rsidR="0067434C" w:rsidRDefault="0067434C" w:rsidP="00F94156">
            <w:pPr>
              <w:jc w:val="both"/>
            </w:pPr>
            <w:r>
              <w:t>5,71</w:t>
            </w:r>
          </w:p>
        </w:tc>
        <w:tc>
          <w:tcPr>
            <w:tcW w:w="1134" w:type="dxa"/>
            <w:tcBorders>
              <w:bottom w:val="single" w:sz="4" w:space="0" w:color="auto"/>
            </w:tcBorders>
          </w:tcPr>
          <w:p w14:paraId="243F32FA" w14:textId="77777777" w:rsidR="0067434C" w:rsidRDefault="0067434C" w:rsidP="00F94156">
            <w:pPr>
              <w:jc w:val="both"/>
            </w:pPr>
            <w:r>
              <w:t>2,88</w:t>
            </w:r>
          </w:p>
        </w:tc>
        <w:tc>
          <w:tcPr>
            <w:tcW w:w="850" w:type="dxa"/>
            <w:tcBorders>
              <w:bottom w:val="single" w:sz="4" w:space="0" w:color="auto"/>
            </w:tcBorders>
          </w:tcPr>
          <w:p w14:paraId="27935CC4" w14:textId="77777777" w:rsidR="0067434C" w:rsidRDefault="0067434C" w:rsidP="00F94156">
            <w:pPr>
              <w:jc w:val="both"/>
            </w:pPr>
            <w:r>
              <w:t>6,74</w:t>
            </w:r>
          </w:p>
        </w:tc>
        <w:tc>
          <w:tcPr>
            <w:tcW w:w="851" w:type="dxa"/>
            <w:tcBorders>
              <w:bottom w:val="single" w:sz="4" w:space="0" w:color="auto"/>
            </w:tcBorders>
          </w:tcPr>
          <w:p w14:paraId="5B5A8AAB" w14:textId="77777777" w:rsidR="0067434C" w:rsidRDefault="0067434C" w:rsidP="00F94156">
            <w:pPr>
              <w:jc w:val="both"/>
            </w:pPr>
            <w:r>
              <w:t>0,83</w:t>
            </w:r>
          </w:p>
        </w:tc>
        <w:tc>
          <w:tcPr>
            <w:tcW w:w="1276" w:type="dxa"/>
            <w:tcBorders>
              <w:bottom w:val="single" w:sz="4" w:space="0" w:color="auto"/>
            </w:tcBorders>
          </w:tcPr>
          <w:p w14:paraId="3B869631" w14:textId="77777777" w:rsidR="0067434C" w:rsidRDefault="0067434C" w:rsidP="00F94156">
            <w:pPr>
              <w:jc w:val="both"/>
            </w:pPr>
            <w:r>
              <w:t>0</w:t>
            </w:r>
          </w:p>
        </w:tc>
      </w:tr>
      <w:tr w:rsidR="0067434C" w:rsidRPr="00572A4A" w14:paraId="3F7457CB" w14:textId="77777777" w:rsidTr="00F94156">
        <w:tc>
          <w:tcPr>
            <w:tcW w:w="9918" w:type="dxa"/>
            <w:gridSpan w:val="10"/>
            <w:tcBorders>
              <w:top w:val="single" w:sz="4" w:space="0" w:color="auto"/>
              <w:left w:val="nil"/>
              <w:bottom w:val="nil"/>
              <w:right w:val="nil"/>
            </w:tcBorders>
          </w:tcPr>
          <w:p w14:paraId="7305C570" w14:textId="77777777" w:rsidR="0067434C" w:rsidRPr="00572A4A" w:rsidRDefault="0067434C" w:rsidP="00F94156">
            <w:pPr>
              <w:jc w:val="both"/>
              <w:rPr>
                <w:sz w:val="20"/>
                <w:szCs w:val="20"/>
              </w:rPr>
            </w:pPr>
            <w:r w:rsidRPr="00572A4A">
              <w:rPr>
                <w:sz w:val="20"/>
                <w:szCs w:val="20"/>
              </w:rPr>
              <w:t>Verot sisältävät energiasisältöveron (turpeen osalta energiaveron) ja hiilidioksidiveron mutta eivät huoltovarmuusmaksua ei</w:t>
            </w:r>
            <w:r>
              <w:rPr>
                <w:sz w:val="20"/>
                <w:szCs w:val="20"/>
              </w:rPr>
              <w:t>vät</w:t>
            </w:r>
            <w:r w:rsidRPr="00572A4A">
              <w:rPr>
                <w:sz w:val="20"/>
                <w:szCs w:val="20"/>
              </w:rPr>
              <w:t xml:space="preserve">kä arvonlisäveroa. </w:t>
            </w:r>
          </w:p>
        </w:tc>
      </w:tr>
    </w:tbl>
    <w:p w14:paraId="6D58D532" w14:textId="77777777" w:rsidR="0067434C" w:rsidRDefault="0067434C" w:rsidP="0067434C">
      <w:pPr>
        <w:jc w:val="both"/>
      </w:pPr>
    </w:p>
    <w:p w14:paraId="4FF794B6" w14:textId="06BA2E0F" w:rsidR="00DD0516" w:rsidRDefault="00DD0516" w:rsidP="00DD0516">
      <w:pPr>
        <w:jc w:val="both"/>
      </w:pPr>
      <w:r>
        <w:t>T</w:t>
      </w:r>
      <w:r w:rsidRPr="00877EE7">
        <w:t>urpeen normia alempi verokanta ja yhdistetyn sähkön ja lämmön tuotannon (CHP) verotuk</w:t>
      </w:r>
      <w:r>
        <w:t xml:space="preserve">i ovat ennen kaikkea energiasektorin tukia, vaikka myös teollisuusyritykset hyötyvät niistä jonkin verran. </w:t>
      </w:r>
    </w:p>
    <w:p w14:paraId="6810D8DD" w14:textId="77777777" w:rsidR="00DD0516" w:rsidRDefault="00DD0516" w:rsidP="00DD0516">
      <w:pPr>
        <w:jc w:val="both"/>
        <w:rPr>
          <w:rFonts w:ascii="Calibri" w:hAnsi="Calibri" w:cs="Calibri"/>
          <w:color w:val="000000" w:themeColor="dark1"/>
          <w:kern w:val="24"/>
        </w:rPr>
      </w:pPr>
      <w:r>
        <w:t>Ilmastopolitiikan näkökulmasta turpeen verotuki ei ole perusteltu, sillä t</w:t>
      </w:r>
      <w:r w:rsidRPr="003512CF">
        <w:t xml:space="preserve">urpeen polton ilmastovaikutukset </w:t>
      </w:r>
      <w:r>
        <w:t xml:space="preserve">ovat </w:t>
      </w:r>
      <w:r w:rsidRPr="003512CF">
        <w:t>samaa luokkaa kuin kivihiil</w:t>
      </w:r>
      <w:r>
        <w:t xml:space="preserve">en. Lisäksi turvetuotanto saastuttaa paikallisia vesistöjä. </w:t>
      </w:r>
      <w:r>
        <w:rPr>
          <w:rFonts w:ascii="Calibri" w:hAnsi="Calibri" w:cs="Calibri"/>
          <w:color w:val="000000" w:themeColor="dark1"/>
          <w:kern w:val="24"/>
        </w:rPr>
        <w:t xml:space="preserve">Osa turpeenpoltosta kuuluu EU:n päästökauppaan, mutta päästöoikeuden hinta ei historiallisesti ole yltänyt hiilidioksiditonnin arvioitujen yhteiskunnallisten kustannusten tasolle, ja osa päästökaupan alaisesta turpeenpoltosta kuuluu ilmaisten päästöoikeuksien piiriin. </w:t>
      </w:r>
    </w:p>
    <w:p w14:paraId="695C92D0" w14:textId="69C2521B" w:rsidR="00DD0516" w:rsidRDefault="000A0A14" w:rsidP="00DD0516">
      <w:pPr>
        <w:jc w:val="both"/>
        <w:rPr>
          <w:rFonts w:ascii="Calibri" w:hAnsi="Calibri" w:cs="Calibri"/>
          <w:color w:val="000000" w:themeColor="dark1"/>
          <w:kern w:val="24"/>
        </w:rPr>
      </w:pPr>
      <w:r>
        <w:rPr>
          <w:rFonts w:ascii="Calibri" w:hAnsi="Calibri" w:cs="Calibri"/>
          <w:color w:val="000000" w:themeColor="dark1"/>
          <w:kern w:val="24"/>
        </w:rPr>
        <w:t>H</w:t>
      </w:r>
      <w:r w:rsidR="00DD0516">
        <w:rPr>
          <w:rFonts w:ascii="Calibri" w:hAnsi="Calibri" w:cs="Calibri"/>
          <w:color w:val="000000" w:themeColor="dark1"/>
          <w:kern w:val="24"/>
        </w:rPr>
        <w:t xml:space="preserve">allitusohjelmassa todetaan, että </w:t>
      </w:r>
      <w:r w:rsidR="00BB3D0E">
        <w:rPr>
          <w:rFonts w:ascii="Calibri" w:hAnsi="Calibri" w:cs="Calibri"/>
          <w:color w:val="000000" w:themeColor="dark1"/>
          <w:kern w:val="24"/>
        </w:rPr>
        <w:t>t</w:t>
      </w:r>
      <w:r w:rsidR="00DD0516" w:rsidRPr="000F398A">
        <w:rPr>
          <w:rFonts w:ascii="Calibri" w:hAnsi="Calibri" w:cs="Calibri"/>
          <w:color w:val="000000" w:themeColor="dark1"/>
          <w:kern w:val="24"/>
        </w:rPr>
        <w:t>urpeen</w:t>
      </w:r>
      <w:r w:rsidR="00DD0516">
        <w:rPr>
          <w:rFonts w:ascii="Calibri" w:hAnsi="Calibri" w:cs="Calibri"/>
          <w:color w:val="000000" w:themeColor="dark1"/>
          <w:kern w:val="24"/>
        </w:rPr>
        <w:t xml:space="preserve"> </w:t>
      </w:r>
      <w:r w:rsidR="00DD0516" w:rsidRPr="000F398A">
        <w:rPr>
          <w:rFonts w:ascii="Calibri" w:hAnsi="Calibri" w:cs="Calibri"/>
          <w:color w:val="000000" w:themeColor="dark1"/>
          <w:kern w:val="24"/>
        </w:rPr>
        <w:t>energiakäyttö vähintään puolitetaan vuoteen 2030 mennessä</w:t>
      </w:r>
      <w:r w:rsidR="00DD0516">
        <w:rPr>
          <w:rFonts w:ascii="Calibri" w:hAnsi="Calibri" w:cs="Calibri"/>
          <w:color w:val="000000" w:themeColor="dark1"/>
          <w:kern w:val="24"/>
        </w:rPr>
        <w:t>. VTT-TIMES energiajärjestelmämallin mukaan edes puolittuminen vuoteen 2030 ei kuitenkaan ole toteutumassa ilman muutoksia turpeen verotukseen, mikäli päästöoikeuden hinta pysyy lähellä nykyistä tasoaan</w:t>
      </w:r>
      <w:r>
        <w:rPr>
          <w:rFonts w:ascii="Calibri" w:hAnsi="Calibri" w:cs="Calibri"/>
          <w:color w:val="000000" w:themeColor="dark1"/>
          <w:kern w:val="24"/>
        </w:rPr>
        <w:t xml:space="preserve"> (Koljonen ym. 2019)</w:t>
      </w:r>
      <w:r w:rsidR="00DD0516">
        <w:rPr>
          <w:rFonts w:ascii="Calibri" w:hAnsi="Calibri" w:cs="Calibri"/>
          <w:color w:val="000000" w:themeColor="dark1"/>
          <w:kern w:val="24"/>
        </w:rPr>
        <w:t xml:space="preserve">. </w:t>
      </w:r>
    </w:p>
    <w:p w14:paraId="1F79316C" w14:textId="0ADE03C6" w:rsidR="00DD0516" w:rsidRDefault="002B743A" w:rsidP="00DD0516">
      <w:pPr>
        <w:jc w:val="both"/>
      </w:pPr>
      <w:r>
        <w:t>H</w:t>
      </w:r>
      <w:r w:rsidR="00DD0516">
        <w:t xml:space="preserve">allituksen ilmastopolitiikan tavoitteiden toteutuminen edellyttäisi sitä, että lämmöntuotannossa pyritään irti polttamisesta. Sähkön rooli lämmityksessä tulee kasvamaan, sillä polttamista voidaan kaukolämmön tuotannossa korvata esimerkiksi teollisen mittakaavan lämpöpumpuilla ja muilla ainakin osittain sähköä hyödyntävillä ratkaisuilla. Energiaverotuksen ei nykyisellään voi katsoa pyrkivän edistämään tätä tavoitetta, sillä lämmitykseen (kaukolämpö mukaan lukien) käytettyä sähköä verotetaan verrattain kireästi. Nyt lämmitykseen käytettävän sähkön valmistevero on 6,22 euroa/GJ, kun turpeen vero on 0,83 euroa/GJ ja metsähakkeen 0 euroa/GJ (Taulukko </w:t>
      </w:r>
      <w:r w:rsidR="00DD0516">
        <w:t>1</w:t>
      </w:r>
      <w:r w:rsidR="00DD0516">
        <w:t xml:space="preserve">). </w:t>
      </w:r>
      <w:r w:rsidR="000A0A14">
        <w:t>H</w:t>
      </w:r>
      <w:r w:rsidR="00DD0516">
        <w:rPr>
          <w:rFonts w:ascii="Calibri" w:hAnsi="Calibri" w:cs="Calibri"/>
          <w:color w:val="000000" w:themeColor="dark1"/>
          <w:kern w:val="24"/>
        </w:rPr>
        <w:t xml:space="preserve">allitusohjelmassa todetaan kuitenkin, että </w:t>
      </w:r>
      <w:r w:rsidR="00DD0516">
        <w:t>kaukolämpöverkkoon lämpöä tuottavat lämpöpumput tullaan siirtämään sähkön veroluokkaan II (0,14 euroa/GJ hallituksen helmikuussa 2020 ilmoittaman veroluokan II sähköveron alennuksen toteuduttua).</w:t>
      </w:r>
    </w:p>
    <w:p w14:paraId="5E8490F6" w14:textId="619EC346" w:rsidR="0067434C" w:rsidRDefault="00DD0516" w:rsidP="0067434C">
      <w:pPr>
        <w:jc w:val="both"/>
      </w:pPr>
      <w:r>
        <w:rPr>
          <w:rFonts w:ascii="Calibri" w:hAnsi="Calibri" w:cs="Calibri"/>
          <w:color w:val="000000" w:themeColor="dark1"/>
          <w:kern w:val="24"/>
        </w:rPr>
        <w:lastRenderedPageBreak/>
        <w:t xml:space="preserve">Ilmastopolitiikan näkökulmasta </w:t>
      </w:r>
      <w:r w:rsidR="000A0A14">
        <w:rPr>
          <w:rFonts w:ascii="Calibri" w:hAnsi="Calibri" w:cs="Calibri"/>
          <w:color w:val="000000" w:themeColor="dark1"/>
          <w:kern w:val="24"/>
        </w:rPr>
        <w:t>y</w:t>
      </w:r>
      <w:r w:rsidR="000A0A14" w:rsidRPr="00765EC9">
        <w:rPr>
          <w:rFonts w:ascii="Calibri" w:hAnsi="Calibri" w:cs="Calibri"/>
          <w:color w:val="000000" w:themeColor="dark1"/>
          <w:kern w:val="24"/>
        </w:rPr>
        <w:t xml:space="preserve">hdistetyn sähkön ja lämmön tuotannon (CHP) </w:t>
      </w:r>
      <w:r w:rsidR="000A0A14">
        <w:rPr>
          <w:rFonts w:ascii="Calibri" w:hAnsi="Calibri" w:cs="Calibri"/>
          <w:color w:val="000000" w:themeColor="dark1"/>
          <w:kern w:val="24"/>
        </w:rPr>
        <w:t>muusta käytöstä poikkeavaan</w:t>
      </w:r>
      <w:r>
        <w:rPr>
          <w:rFonts w:ascii="Calibri" w:hAnsi="Calibri" w:cs="Calibri"/>
          <w:color w:val="000000" w:themeColor="dark1"/>
          <w:kern w:val="24"/>
        </w:rPr>
        <w:t xml:space="preserve"> vero</w:t>
      </w:r>
      <w:r w:rsidR="000A0A14">
        <w:rPr>
          <w:rFonts w:ascii="Calibri" w:hAnsi="Calibri" w:cs="Calibri"/>
          <w:color w:val="000000" w:themeColor="dark1"/>
          <w:kern w:val="24"/>
        </w:rPr>
        <w:t>tasoon ei</w:t>
      </w:r>
      <w:r>
        <w:rPr>
          <w:rFonts w:ascii="Calibri" w:hAnsi="Calibri" w:cs="Calibri"/>
          <w:color w:val="000000" w:themeColor="dark1"/>
          <w:kern w:val="24"/>
        </w:rPr>
        <w:t xml:space="preserve"> ole perustetta – kivihiilen ja maakaasun päästöt ovat samat riippumatta siitä, käytettiinkö polttoaine yhteistuotannossa vai erillistuotannossa. Kokonaisuuden kannalta erilaiset verotasot heikentävät päästöjen vähentämisen kustannustehokkuutta (yhteiskunnallisten kustannusten osalta).</w:t>
      </w:r>
    </w:p>
    <w:p w14:paraId="030F2210" w14:textId="363809DE" w:rsidR="000A0A14" w:rsidRDefault="00DD0516" w:rsidP="000A0A14">
      <w:pPr>
        <w:jc w:val="both"/>
      </w:pPr>
      <w:r>
        <w:rPr>
          <w:rFonts w:ascii="Calibri" w:hAnsi="Calibri" w:cs="Calibri"/>
          <w:color w:val="000000" w:themeColor="dark1"/>
          <w:kern w:val="24"/>
        </w:rPr>
        <w:t xml:space="preserve">Teollisuuden hiilidioksidipäästöjen vähentämisessä avainasemassa on teollisuuden sähköistyminen. </w:t>
      </w:r>
      <w:r w:rsidRPr="001343E5">
        <w:rPr>
          <w:rFonts w:ascii="Calibri" w:hAnsi="Calibri" w:cs="Calibri"/>
          <w:color w:val="000000" w:themeColor="dark1"/>
          <w:kern w:val="24"/>
        </w:rPr>
        <w:t xml:space="preserve">Osa </w:t>
      </w:r>
      <w:r>
        <w:rPr>
          <w:rFonts w:ascii="Calibri" w:hAnsi="Calibri" w:cs="Calibri"/>
          <w:color w:val="000000" w:themeColor="dark1"/>
          <w:kern w:val="24"/>
        </w:rPr>
        <w:t>teollisuuslaitoksista</w:t>
      </w:r>
      <w:r w:rsidRPr="001343E5">
        <w:rPr>
          <w:rFonts w:ascii="Calibri" w:hAnsi="Calibri" w:cs="Calibri"/>
          <w:color w:val="000000" w:themeColor="dark1"/>
          <w:kern w:val="24"/>
        </w:rPr>
        <w:t xml:space="preserve"> käyttää fossiilisia polttoaineita</w:t>
      </w:r>
      <w:r>
        <w:rPr>
          <w:rFonts w:ascii="Calibri" w:hAnsi="Calibri" w:cs="Calibri"/>
          <w:color w:val="000000" w:themeColor="dark1"/>
          <w:kern w:val="24"/>
        </w:rPr>
        <w:t xml:space="preserve"> omissa, tuotantolaitoksen yhteydessä sijaitsevissa voimaloissa</w:t>
      </w:r>
      <w:r w:rsidRPr="001343E5">
        <w:rPr>
          <w:rFonts w:ascii="Calibri" w:hAnsi="Calibri" w:cs="Calibri"/>
          <w:color w:val="000000" w:themeColor="dark1"/>
          <w:kern w:val="24"/>
        </w:rPr>
        <w:t>.</w:t>
      </w:r>
      <w:r>
        <w:rPr>
          <w:rFonts w:ascii="Calibri" w:hAnsi="Calibri" w:cs="Calibri"/>
          <w:color w:val="000000" w:themeColor="dark1"/>
          <w:kern w:val="24"/>
        </w:rPr>
        <w:t xml:space="preserve"> Teollisuuden hiilidioksidip</w:t>
      </w:r>
      <w:r w:rsidRPr="001343E5">
        <w:rPr>
          <w:rFonts w:ascii="Calibri" w:hAnsi="Calibri" w:cs="Calibri"/>
          <w:color w:val="000000" w:themeColor="dark1"/>
          <w:kern w:val="24"/>
        </w:rPr>
        <w:t xml:space="preserve">äästöt laskisivat, mikäli </w:t>
      </w:r>
      <w:r>
        <w:rPr>
          <w:rFonts w:ascii="Calibri" w:hAnsi="Calibri" w:cs="Calibri"/>
          <w:color w:val="000000" w:themeColor="dark1"/>
          <w:kern w:val="24"/>
        </w:rPr>
        <w:t xml:space="preserve">fossiiliset </w:t>
      </w:r>
      <w:r w:rsidRPr="001343E5">
        <w:rPr>
          <w:rFonts w:ascii="Calibri" w:hAnsi="Calibri" w:cs="Calibri"/>
          <w:color w:val="000000" w:themeColor="dark1"/>
          <w:kern w:val="24"/>
        </w:rPr>
        <w:t xml:space="preserve">polttoaineet korvattaisiin </w:t>
      </w:r>
      <w:r>
        <w:rPr>
          <w:rFonts w:ascii="Calibri" w:hAnsi="Calibri" w:cs="Calibri"/>
          <w:color w:val="000000" w:themeColor="dark1"/>
          <w:kern w:val="24"/>
        </w:rPr>
        <w:t>vähäpäästöisellä sähköllä</w:t>
      </w:r>
      <w:r w:rsidRPr="001343E5">
        <w:rPr>
          <w:rFonts w:ascii="Calibri" w:hAnsi="Calibri" w:cs="Calibri"/>
          <w:color w:val="000000" w:themeColor="dark1"/>
          <w:kern w:val="24"/>
        </w:rPr>
        <w:t>.</w:t>
      </w:r>
      <w:r>
        <w:rPr>
          <w:rFonts w:ascii="Calibri" w:hAnsi="Calibri" w:cs="Calibri"/>
          <w:color w:val="000000" w:themeColor="dark1"/>
          <w:kern w:val="24"/>
        </w:rPr>
        <w:t xml:space="preserve"> </w:t>
      </w:r>
    </w:p>
    <w:p w14:paraId="29F2E246" w14:textId="77777777" w:rsidR="000A0A14" w:rsidRDefault="00DD0516" w:rsidP="00DD0516">
      <w:pPr>
        <w:jc w:val="both"/>
      </w:pPr>
      <w:r>
        <w:t xml:space="preserve">Fossiilisista polttoaineista maksettavien polttoaineverojen palauttaminen </w:t>
      </w:r>
      <w:r w:rsidR="000A0A14">
        <w:t xml:space="preserve">teollisuuden </w:t>
      </w:r>
      <w:r>
        <w:t xml:space="preserve">energiaverojen palautusjärjestelmän kautta heikentää verotuksen ohjausvaikutusta. Koska vain verrattain suuret yritykset pääsevät energiaverojen palautusten piiriin, myös kustannustehokkuus kärsii, sillä lopulliset hiilidioksidiverot eroavat palautusten vuoksi eri kokoisten yritysten välillä. </w:t>
      </w:r>
    </w:p>
    <w:p w14:paraId="769A82F2" w14:textId="0CD030F5" w:rsidR="00DD0516" w:rsidRDefault="00DD0516" w:rsidP="00DD0516">
      <w:pPr>
        <w:jc w:val="both"/>
      </w:pPr>
      <w:r>
        <w:t>Kaikkiaan veronpalautuksiin oikeutetut yritykset saivat vuosina 2012-2016 veronpalautuksina takaisin noin 70 prosenttia maksamistaan energiaveroista (Koljonen ym. 2019). Jos yritys saa veronpalautuksina takaisin 70 prosenttia maksamistaan energiaveroista, sen lopullinen hiilidioksidivero on 16 euroa/tCO2, kun vero normaalisti olisi 53 euroa/tCO2.</w:t>
      </w:r>
    </w:p>
    <w:p w14:paraId="6193AF59" w14:textId="79E93E20" w:rsidR="0067434C" w:rsidRDefault="00DD0516" w:rsidP="00DD0516">
      <w:pPr>
        <w:jc w:val="both"/>
      </w:pPr>
      <w:r>
        <w:rPr>
          <w:rFonts w:ascii="Calibri" w:hAnsi="Calibri" w:cs="Calibri"/>
          <w:color w:val="000000" w:themeColor="dark1"/>
          <w:kern w:val="24"/>
        </w:rPr>
        <w:t>Y</w:t>
      </w:r>
      <w:r w:rsidRPr="00765EC9">
        <w:rPr>
          <w:rFonts w:ascii="Calibri" w:hAnsi="Calibri" w:cs="Calibri"/>
          <w:color w:val="000000" w:themeColor="dark1"/>
          <w:kern w:val="24"/>
        </w:rPr>
        <w:t>hdistetyn sähkön ja lämmön tuotannon (CHP) alennettu</w:t>
      </w:r>
      <w:r>
        <w:rPr>
          <w:rFonts w:ascii="Calibri" w:hAnsi="Calibri" w:cs="Calibri"/>
          <w:color w:val="000000" w:themeColor="dark1"/>
          <w:kern w:val="24"/>
        </w:rPr>
        <w:t xml:space="preserve"> energiasisältövero</w:t>
      </w:r>
      <w:r>
        <w:t xml:space="preserve"> sekä mahdollisesti jossakin määrin myös turpeen normia alempi verokanta </w:t>
      </w:r>
      <w:r>
        <w:rPr>
          <w:rFonts w:ascii="Calibri" w:hAnsi="Calibri" w:cs="Calibri"/>
          <w:color w:val="000000" w:themeColor="dark1"/>
          <w:kern w:val="24"/>
        </w:rPr>
        <w:t xml:space="preserve">heikentävät niinikään teollisuuden osalta kannustinta siirtyä </w:t>
      </w:r>
      <w:r w:rsidRPr="0045437A">
        <w:rPr>
          <w:rFonts w:ascii="Calibri" w:hAnsi="Calibri" w:cs="Calibri"/>
          <w:color w:val="000000" w:themeColor="dark1"/>
          <w:kern w:val="24"/>
        </w:rPr>
        <w:t>polttamisesta päästöttömästi tuotetun sähkön käyttöön</w:t>
      </w:r>
      <w:r>
        <w:rPr>
          <w:rFonts w:ascii="Calibri" w:hAnsi="Calibri" w:cs="Calibri"/>
          <w:color w:val="000000" w:themeColor="dark1"/>
          <w:kern w:val="24"/>
        </w:rPr>
        <w:t>.</w:t>
      </w:r>
    </w:p>
    <w:p w14:paraId="6CC830C7" w14:textId="5DC6E719" w:rsidR="0067434C" w:rsidRDefault="00DD0516" w:rsidP="00DA77A0">
      <w:pPr>
        <w:spacing w:after="240"/>
        <w:jc w:val="both"/>
      </w:pPr>
      <w:r>
        <w:t xml:space="preserve">Hallituksen hiilineutraaliustavoitteen tai ylipäätään vähähiiliseen yhteiskuntaan siirtymisen kannalta juuri energiantuotannon päästöt ovat avainasemassa sikäli, että korvaavia teknologioita on ylipäätään olemassa. Nykyteknologialla esimerkiksi teollisuuden prosessit, raskas liikenne ja maatalous tulevat edelleen tuottamaan päästöjä tuotannon sivutuotteena.  </w:t>
      </w:r>
    </w:p>
    <w:p w14:paraId="329C91EF" w14:textId="51A62EC4" w:rsidR="00DA77A0" w:rsidRDefault="00DA77A0" w:rsidP="00DA77A0">
      <w:pPr>
        <w:pStyle w:val="ListParagraph"/>
        <w:numPr>
          <w:ilvl w:val="0"/>
          <w:numId w:val="3"/>
        </w:numPr>
        <w:spacing w:after="240"/>
        <w:jc w:val="both"/>
        <w:rPr>
          <w:b/>
          <w:bCs/>
        </w:rPr>
      </w:pPr>
      <w:r>
        <w:rPr>
          <w:b/>
          <w:bCs/>
        </w:rPr>
        <w:t xml:space="preserve">Miten energiaverojärjestelmä toimii yhdessä muiden ohjauskeinojen kanssa? </w:t>
      </w:r>
    </w:p>
    <w:p w14:paraId="6F5CE5C0" w14:textId="094302B1" w:rsidR="005D154E" w:rsidRPr="005D154E" w:rsidRDefault="005D154E" w:rsidP="005D154E">
      <w:pPr>
        <w:spacing w:after="240"/>
        <w:jc w:val="both"/>
        <w:rPr>
          <w:i/>
          <w:iCs/>
        </w:rPr>
      </w:pPr>
      <w:r>
        <w:rPr>
          <w:i/>
          <w:iCs/>
        </w:rPr>
        <w:t>Sähkön ja lämmön tuotanto</w:t>
      </w:r>
    </w:p>
    <w:p w14:paraId="48D38299" w14:textId="67A54A77" w:rsidR="00D5586B" w:rsidRDefault="00D5586B" w:rsidP="00D5586B">
      <w:pPr>
        <w:jc w:val="both"/>
      </w:pPr>
      <w:r>
        <w:t xml:space="preserve">Energiantuotantoa säädellään paitsi kansallisen energiaverojärjestelmän myös </w:t>
      </w:r>
      <w:r w:rsidRPr="003763FB">
        <w:t xml:space="preserve">Euroopan unionin </w:t>
      </w:r>
      <w:r w:rsidRPr="005D154E">
        <w:rPr>
          <w:b/>
          <w:bCs/>
        </w:rPr>
        <w:t>päästökaupa</w:t>
      </w:r>
      <w:r w:rsidRPr="003763FB">
        <w:t>n</w:t>
      </w:r>
      <w:r>
        <w:t xml:space="preserve"> kautta</w:t>
      </w:r>
      <w:r>
        <w:t xml:space="preserve">. </w:t>
      </w:r>
      <w:r>
        <w:t>Sähkön tuotannon hiilidioksidipäästöt</w:t>
      </w:r>
      <w:r w:rsidRPr="003763FB">
        <w:t xml:space="preserve"> hinnoitellaan </w:t>
      </w:r>
      <w:r>
        <w:t>ainoastaan</w:t>
      </w:r>
      <w:r w:rsidRPr="003763FB">
        <w:t xml:space="preserve"> päästökaupan</w:t>
      </w:r>
      <w:r>
        <w:t xml:space="preserve"> kautta. Lämmön tuotannossa käytetyistä polttoaineista peritään sen sijaan myös kansallisia energiaveroja, vaikka lämmön tuotanto kuuluu myös suurelta osin päästökauppaan. Toisaalta lämmön tuotanto saa osan päästöoikeuksista ilmaiseksi, jolloin myös kansallisella verotuksella </w:t>
      </w:r>
      <w:r w:rsidR="005D154E">
        <w:t>voi olla</w:t>
      </w:r>
      <w:r>
        <w:t xml:space="preserve"> </w:t>
      </w:r>
      <w:r w:rsidR="005D154E">
        <w:t xml:space="preserve">merkitystä </w:t>
      </w:r>
      <w:r>
        <w:t xml:space="preserve">päästöohjauksen näkökulmasta. </w:t>
      </w:r>
    </w:p>
    <w:p w14:paraId="5B4211C5" w14:textId="18BE867C" w:rsidR="0067434C" w:rsidRDefault="00D5586B" w:rsidP="00D5586B">
      <w:pPr>
        <w:jc w:val="both"/>
      </w:pPr>
      <w:r>
        <w:t xml:space="preserve">Hintaohjauksen lisäksi uusiutuvan energian osuutta on pyritty lisäämään </w:t>
      </w:r>
      <w:r w:rsidRPr="005D154E">
        <w:rPr>
          <w:b/>
          <w:bCs/>
        </w:rPr>
        <w:t>uusiutuvan energian tuotantotuen</w:t>
      </w:r>
      <w:r w:rsidRPr="00B94307">
        <w:rPr>
          <w:b/>
          <w:bCs/>
        </w:rPr>
        <w:t xml:space="preserve"> </w:t>
      </w:r>
      <w:r>
        <w:t xml:space="preserve">avulla. </w:t>
      </w:r>
      <w:r>
        <w:t>Hiilidioksidipäästöjen näkökulmasta uusiutuvan energian tuen voi katsoa olevan päällekkäistä ohjausta päästökaupan kanssa. Päästöoikeuden hinta EU:n päästökaupassa on kuitenkin pitkään ollut hyvin alhainen eikä ole pidemmällä ajanjaksolla saavuttanut tasoa, joka esimerkiksi OECD:n arvion mukaan kannustaisi riittävästi investoimaan puhtaampiin teknologioihin (OECD 2018). Sikäli uusiutuvan energian tukien voi katsoa vahvistavan riittämätöntä päästöohjausta. Suomella on päästöjen vähentämisen lisäksi myös erillinen uusiutuvan energian tavoite. Uusiutuvan energian tuotantotuella on pyritty tukemaan tätä tavoitetta ja edistämään uusiutuvan energian osuuden kasvua Suomessa.</w:t>
      </w:r>
    </w:p>
    <w:p w14:paraId="2AFF8861" w14:textId="00BA1F96" w:rsidR="008A5086" w:rsidRDefault="008A5086" w:rsidP="008A5086">
      <w:pPr>
        <w:jc w:val="both"/>
      </w:pPr>
      <w:r w:rsidRPr="005D154E">
        <w:rPr>
          <w:b/>
          <w:bCs/>
        </w:rPr>
        <w:t>Investointeihin tarkoitettu</w:t>
      </w:r>
      <w:r w:rsidR="00B94307" w:rsidRPr="005D154E">
        <w:rPr>
          <w:b/>
          <w:bCs/>
        </w:rPr>
        <w:t xml:space="preserve"> </w:t>
      </w:r>
      <w:r w:rsidRPr="005D154E">
        <w:rPr>
          <w:b/>
          <w:bCs/>
        </w:rPr>
        <w:t>energiatuki</w:t>
      </w:r>
      <w:r>
        <w:t xml:space="preserve"> jakaantuu useille sektoreille</w:t>
      </w:r>
      <w:r>
        <w:t xml:space="preserve">. Se voi osaltaan auttaa energiajärjestelmän päästöjen vähentämisessä erityisesti uuden teknologian demonstraatiohankkeita ja </w:t>
      </w:r>
      <w:r>
        <w:lastRenderedPageBreak/>
        <w:t>käyttöönottoa vauhdittamalla.</w:t>
      </w:r>
      <w:r>
        <w:rPr>
          <w:rStyle w:val="FootnoteReference"/>
        </w:rPr>
        <w:footnoteReference w:id="1"/>
      </w:r>
      <w:r>
        <w:t xml:space="preserve"> </w:t>
      </w:r>
      <w:r w:rsidR="00B94307">
        <w:t xml:space="preserve">Uuden teknologian kehittämisen, demonstroinnin ja käyttöönottamisen tukemisella ei </w:t>
      </w:r>
      <w:r w:rsidR="005D154E">
        <w:t xml:space="preserve">kuitenkaan </w:t>
      </w:r>
      <w:r w:rsidR="00B94307">
        <w:t xml:space="preserve">voi korvata hiilidioksidin hinnoittelua ensisijaisena, kustannustehokkaana ohjauskeinona. Uuden teknologian tuet voivat </w:t>
      </w:r>
      <w:r w:rsidR="0025779D">
        <w:t xml:space="preserve">sen sijaan </w:t>
      </w:r>
      <w:r w:rsidR="00B94307">
        <w:t xml:space="preserve">korjata toista markkinapuutetta, nimittäin uuden teknologian kehittämiseen, demonstrointiin ja käyttöönottoon liittyviä positiivisia ulkoisvaikutuksia. Siksi ne ovat perusteltuja energiaverojärjestelmän ja päästökaupan rinnalla. </w:t>
      </w:r>
    </w:p>
    <w:p w14:paraId="09EAE8F5" w14:textId="25857B08" w:rsidR="005D154E" w:rsidRPr="005D154E" w:rsidRDefault="005D154E" w:rsidP="008A5086">
      <w:pPr>
        <w:jc w:val="both"/>
        <w:rPr>
          <w:i/>
          <w:iCs/>
        </w:rPr>
      </w:pPr>
      <w:r>
        <w:rPr>
          <w:i/>
          <w:iCs/>
        </w:rPr>
        <w:t>Teollisuus</w:t>
      </w:r>
    </w:p>
    <w:p w14:paraId="48EAFF9D" w14:textId="77777777" w:rsidR="005D154E" w:rsidRDefault="00D5586B" w:rsidP="00783E84">
      <w:pPr>
        <w:jc w:val="both"/>
      </w:pPr>
      <w:r w:rsidRPr="005D154E">
        <w:t>Teollisuuden hiilidioksidipäästöt hinnoitellaan osittain Euroopan unionin päästökaupan ja osittain Suomen omien energiaverojen kautta.</w:t>
      </w:r>
      <w:r>
        <w:t xml:space="preserve"> </w:t>
      </w:r>
      <w:r w:rsidR="00783E84" w:rsidRPr="003763FB">
        <w:t xml:space="preserve">Päästökauppa koskee sekä prosessipäästöjä että </w:t>
      </w:r>
      <w:r w:rsidR="00783E84">
        <w:t>teollisuus</w:t>
      </w:r>
      <w:r w:rsidR="00783E84" w:rsidRPr="003763FB">
        <w:t xml:space="preserve">laitosten omien polttolaitosten päästöjä. </w:t>
      </w:r>
      <w:r w:rsidR="00783E84">
        <w:t>Teollisuuden p</w:t>
      </w:r>
      <w:r w:rsidR="00783E84" w:rsidRPr="003763FB">
        <w:t xml:space="preserve">olttolaitoksista vain kapasiteetiltaan yli 20 MW:n laitokset </w:t>
      </w:r>
      <w:r w:rsidR="00783E84">
        <w:t>kuuluvat päästökauppaan</w:t>
      </w:r>
      <w:r w:rsidR="00783E84" w:rsidRPr="003763FB">
        <w:t>.</w:t>
      </w:r>
      <w:r w:rsidR="00783E84">
        <w:t xml:space="preserve"> Päästökaupan kattavuudessa on eroja toimialojen välillä, mutta kaiken kaikkiaan päästökauppa kattoi 90 prosenttia teollisuuden päästöistä vuonna 2016 (</w:t>
      </w:r>
      <w:r w:rsidR="00783E84" w:rsidRPr="00117911">
        <w:t xml:space="preserve">Taulukko </w:t>
      </w:r>
      <w:r w:rsidR="00783E84">
        <w:t>2</w:t>
      </w:r>
      <w:r w:rsidR="00783E84" w:rsidRPr="00117911">
        <w:t>).</w:t>
      </w:r>
      <w:r w:rsidR="00783E84">
        <w:t xml:space="preserve"> </w:t>
      </w:r>
    </w:p>
    <w:p w14:paraId="1E0A236E" w14:textId="4684345D" w:rsidR="00783E84" w:rsidRDefault="00783E84" w:rsidP="005D154E">
      <w:pPr>
        <w:jc w:val="both"/>
      </w:pPr>
      <w:r w:rsidRPr="003763FB">
        <w:t>Suuri osa päästöoikeuksista jaetaan kuitenkin</w:t>
      </w:r>
      <w:r>
        <w:t xml:space="preserve"> teollisuudelle</w:t>
      </w:r>
      <w:r w:rsidRPr="003763FB">
        <w:t xml:space="preserve"> ilmaiseksi.</w:t>
      </w:r>
      <w:r>
        <w:t xml:space="preserve"> </w:t>
      </w:r>
      <w:r>
        <w:t>P</w:t>
      </w:r>
      <w:r w:rsidRPr="00783E84">
        <w:t>äästöoikeuksien ilmaisjako näyttäisi empiiristen tulosten perusteella heikentävän päästökaupan ohjausvaikutusta ilmaisia päästöoikeuksia saaneissa yrityksissä (Dechezleprêtre, Nachtigall ja Venmans 2018, Jaraite ja Di Maria 2012).</w:t>
      </w:r>
      <w:r w:rsidR="00237440">
        <w:rPr>
          <w:rStyle w:val="FootnoteReference"/>
        </w:rPr>
        <w:footnoteReference w:id="2"/>
      </w:r>
      <w:r w:rsidRPr="00783E84">
        <w:t xml:space="preserve"> </w:t>
      </w:r>
    </w:p>
    <w:p w14:paraId="31E27E10" w14:textId="07433AE4" w:rsidR="00F03C7D" w:rsidRDefault="00783E84" w:rsidP="00D5586B">
      <w:pPr>
        <w:spacing w:after="240"/>
        <w:jc w:val="both"/>
      </w:pPr>
      <w:r>
        <w:t>Päästöoikeuden hinta on myös jäänyt verrattain alhaiseksi verrattuna hintatasoihin, jotka mallinnusten tuottaisivat merkittävien päästövähennysten vaatimat investoinnit</w:t>
      </w:r>
      <w:r w:rsidR="005D154E">
        <w:t xml:space="preserve"> (ks. esim. OECD 2018)</w:t>
      </w:r>
      <w:r>
        <w:t xml:space="preserve">. Ottaen huomioon Suomessa toimivien laitosten merkittävän ilmaisjaon ja päästöoikeuden toistaiseksi varsin alhaisen hinnan, kansallisella energiaverojärjestelmällä on edelleen rooli ohjaamassa erityisesti teollisuuden oman sähkön- ja lämmöntuotannon päästöjä </w:t>
      </w:r>
      <w:r w:rsidR="005D154E">
        <w:t xml:space="preserve">kansallisen </w:t>
      </w:r>
      <w:r>
        <w:t xml:space="preserve">hiilineutraaliustavoitteen mukaisesti. </w:t>
      </w:r>
    </w:p>
    <w:p w14:paraId="3936F014" w14:textId="77777777" w:rsidR="00F03C7D" w:rsidRDefault="00F03C7D">
      <w:r>
        <w:br w:type="page"/>
      </w:r>
    </w:p>
    <w:p w14:paraId="40BBFF70" w14:textId="77777777" w:rsidR="00783E84" w:rsidRDefault="00783E84" w:rsidP="00D5586B">
      <w:pPr>
        <w:spacing w:after="240"/>
        <w:jc w:val="both"/>
      </w:pPr>
    </w:p>
    <w:p w14:paraId="3776C669" w14:textId="2083414A" w:rsidR="00D5586B" w:rsidRDefault="00D5586B" w:rsidP="00D5586B">
      <w:pPr>
        <w:spacing w:after="200" w:line="276" w:lineRule="auto"/>
      </w:pPr>
      <w:bookmarkStart w:id="0" w:name="_Hlk32167656"/>
      <w:r w:rsidRPr="00E22B01">
        <w:rPr>
          <w:b/>
        </w:rPr>
        <w:t xml:space="preserve">Taulukko </w:t>
      </w:r>
      <w:r w:rsidR="00B94307">
        <w:rPr>
          <w:b/>
        </w:rPr>
        <w:t>2</w:t>
      </w:r>
      <w:r w:rsidRPr="005271DA">
        <w:rPr>
          <w:b/>
        </w:rPr>
        <w:t>. EU:n päästökaupan kattama osuus teollisuuden CO</w:t>
      </w:r>
      <w:r w:rsidRPr="005271DA">
        <w:rPr>
          <w:b/>
          <w:vertAlign w:val="subscript"/>
        </w:rPr>
        <w:t>2</w:t>
      </w:r>
      <w:r w:rsidRPr="005271DA">
        <w:rPr>
          <w:b/>
        </w:rPr>
        <w:t>-päästöistä Suomessa</w:t>
      </w:r>
      <w:r>
        <w:t>.</w:t>
      </w:r>
      <w:r>
        <w:rPr>
          <w:rStyle w:val="FootnoteReference"/>
        </w:rPr>
        <w:footnoteReference w:id="3"/>
      </w:r>
      <w:r>
        <w:t xml:space="preserve"> </w:t>
      </w:r>
    </w:p>
    <w:tbl>
      <w:tblPr>
        <w:tblStyle w:val="ListTable2"/>
        <w:tblW w:w="7792" w:type="dxa"/>
        <w:tblLayout w:type="fixed"/>
        <w:tblLook w:val="0600" w:firstRow="0" w:lastRow="0" w:firstColumn="0" w:lastColumn="0" w:noHBand="1" w:noVBand="1"/>
      </w:tblPr>
      <w:tblGrid>
        <w:gridCol w:w="3114"/>
        <w:gridCol w:w="2268"/>
        <w:gridCol w:w="2410"/>
      </w:tblGrid>
      <w:tr w:rsidR="00D5586B" w:rsidRPr="00501476" w14:paraId="77F6A833" w14:textId="77777777" w:rsidTr="00F94156">
        <w:trPr>
          <w:trHeight w:val="468"/>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67B5D" w14:textId="77777777" w:rsidR="00D5586B" w:rsidRPr="00414E2E" w:rsidRDefault="00D5586B" w:rsidP="00F94156">
            <w:pPr>
              <w:spacing w:before="60" w:after="60"/>
              <w:rPr>
                <w:rFonts w:ascii="Calibri" w:hAnsi="Calibri" w:cs="Calibri"/>
                <w:sz w:val="22"/>
                <w:lang w:val="en-US"/>
              </w:rPr>
            </w:pPr>
            <w:r w:rsidRPr="00414E2E">
              <w:rPr>
                <w:rFonts w:ascii="Calibri" w:hAnsi="Calibri" w:cs="Calibri"/>
                <w:b/>
                <w:bCs/>
                <w:sz w:val="22"/>
                <w:lang w:val="en-US"/>
              </w:rPr>
              <w:t>Toimiala</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7D79B18"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b/>
                <w:bCs/>
                <w:sz w:val="22"/>
              </w:rPr>
              <w:t>Osuus CO</w:t>
            </w:r>
            <w:r w:rsidRPr="00414E2E">
              <w:rPr>
                <w:rFonts w:ascii="Calibri" w:hAnsi="Calibri" w:cs="Calibri"/>
                <w:b/>
                <w:bCs/>
                <w:sz w:val="22"/>
                <w:vertAlign w:val="subscript"/>
              </w:rPr>
              <w:t>2</w:t>
            </w:r>
            <w:r w:rsidRPr="00414E2E">
              <w:rPr>
                <w:rFonts w:ascii="Calibri" w:hAnsi="Calibri" w:cs="Calibri"/>
                <w:b/>
                <w:bCs/>
                <w:sz w:val="22"/>
              </w:rPr>
              <w:t>-päästöistä päästökaupassa 2016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565A84F"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b/>
                <w:bCs/>
                <w:sz w:val="22"/>
              </w:rPr>
              <w:t>Ilmaisjako suhteessa päästöihin 2016</w:t>
            </w:r>
          </w:p>
        </w:tc>
      </w:tr>
      <w:tr w:rsidR="00D5586B" w:rsidRPr="00501476" w14:paraId="764916EB" w14:textId="77777777" w:rsidTr="00F94156">
        <w:trPr>
          <w:trHeight w:val="402"/>
        </w:trPr>
        <w:tc>
          <w:tcPr>
            <w:tcW w:w="3114" w:type="dxa"/>
            <w:tcBorders>
              <w:top w:val="single" w:sz="4" w:space="0" w:color="auto"/>
              <w:left w:val="single" w:sz="4" w:space="0" w:color="auto"/>
              <w:bottom w:val="single" w:sz="4" w:space="0" w:color="auto"/>
              <w:right w:val="single" w:sz="4" w:space="0" w:color="auto"/>
            </w:tcBorders>
            <w:vAlign w:val="center"/>
            <w:hideMark/>
          </w:tcPr>
          <w:p w14:paraId="4C9FB3FF" w14:textId="77777777" w:rsidR="00D5586B" w:rsidRPr="00414E2E" w:rsidRDefault="00D5586B" w:rsidP="00F94156">
            <w:pPr>
              <w:spacing w:before="60" w:after="60"/>
              <w:rPr>
                <w:rFonts w:ascii="Calibri" w:hAnsi="Calibri" w:cs="Calibri"/>
                <w:sz w:val="22"/>
                <w:lang w:val="en-US"/>
              </w:rPr>
            </w:pPr>
            <w:r w:rsidRPr="00414E2E">
              <w:rPr>
                <w:rFonts w:ascii="Calibri" w:hAnsi="Calibri" w:cs="Calibri"/>
                <w:sz w:val="22"/>
                <w:lang w:val="en-US"/>
              </w:rPr>
              <w:t>Paperi ja paperituotteet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C92710"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lang w:val="en-US"/>
              </w:rPr>
              <w:t>100 %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EC5A18"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lang w:val="en-US"/>
              </w:rPr>
              <w:t>152 %</w:t>
            </w:r>
          </w:p>
        </w:tc>
      </w:tr>
      <w:tr w:rsidR="00D5586B" w:rsidRPr="00501476" w14:paraId="2ACA7329" w14:textId="77777777" w:rsidTr="00F94156">
        <w:trPr>
          <w:trHeight w:val="394"/>
        </w:trPr>
        <w:tc>
          <w:tcPr>
            <w:tcW w:w="3114" w:type="dxa"/>
            <w:tcBorders>
              <w:top w:val="single" w:sz="4" w:space="0" w:color="auto"/>
              <w:left w:val="single" w:sz="4" w:space="0" w:color="auto"/>
              <w:bottom w:val="single" w:sz="4" w:space="0" w:color="auto"/>
              <w:right w:val="single" w:sz="4" w:space="0" w:color="auto"/>
            </w:tcBorders>
            <w:vAlign w:val="center"/>
            <w:hideMark/>
          </w:tcPr>
          <w:p w14:paraId="6D012B28" w14:textId="77777777" w:rsidR="00D5586B" w:rsidRPr="00414E2E" w:rsidRDefault="00D5586B" w:rsidP="00F94156">
            <w:pPr>
              <w:spacing w:before="60" w:after="60"/>
              <w:rPr>
                <w:rFonts w:ascii="Calibri" w:hAnsi="Calibri" w:cs="Calibri"/>
                <w:sz w:val="22"/>
                <w:lang w:val="en-US"/>
              </w:rPr>
            </w:pPr>
            <w:r w:rsidRPr="00414E2E">
              <w:rPr>
                <w:rFonts w:ascii="Calibri" w:hAnsi="Calibri" w:cs="Calibri"/>
                <w:sz w:val="22"/>
                <w:lang w:val="en-US"/>
              </w:rPr>
              <w:t>Öljytuotteet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E18C0C"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lang w:val="en-US"/>
              </w:rPr>
              <w:t>100 %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7C6A590"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lang w:val="en-US"/>
              </w:rPr>
              <w:t>80 %</w:t>
            </w:r>
          </w:p>
        </w:tc>
      </w:tr>
      <w:tr w:rsidR="00D5586B" w:rsidRPr="00501476" w14:paraId="05F54E10" w14:textId="77777777" w:rsidTr="00F94156">
        <w:trPr>
          <w:trHeight w:val="400"/>
        </w:trPr>
        <w:tc>
          <w:tcPr>
            <w:tcW w:w="3114" w:type="dxa"/>
            <w:tcBorders>
              <w:top w:val="single" w:sz="4" w:space="0" w:color="auto"/>
              <w:left w:val="single" w:sz="4" w:space="0" w:color="auto"/>
              <w:bottom w:val="single" w:sz="4" w:space="0" w:color="auto"/>
              <w:right w:val="single" w:sz="4" w:space="0" w:color="auto"/>
            </w:tcBorders>
            <w:vAlign w:val="center"/>
            <w:hideMark/>
          </w:tcPr>
          <w:p w14:paraId="33B0AA50" w14:textId="77777777" w:rsidR="00D5586B" w:rsidRPr="00414E2E" w:rsidRDefault="00D5586B" w:rsidP="00F94156">
            <w:pPr>
              <w:spacing w:before="60" w:after="60"/>
              <w:rPr>
                <w:rFonts w:ascii="Calibri" w:hAnsi="Calibri" w:cs="Calibri"/>
                <w:sz w:val="22"/>
                <w:lang w:val="en-US"/>
              </w:rPr>
            </w:pPr>
            <w:r w:rsidRPr="00414E2E">
              <w:rPr>
                <w:rFonts w:ascii="Calibri" w:hAnsi="Calibri" w:cs="Calibri"/>
                <w:sz w:val="22"/>
                <w:lang w:val="en-US"/>
              </w:rPr>
              <w:t>Kemikaalit ja kemialliset tuotteet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827E4E"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lang w:val="en-US"/>
              </w:rPr>
              <w:t>14 %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34357F"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lang w:val="en-US"/>
              </w:rPr>
              <w:t>211 %</w:t>
            </w:r>
          </w:p>
        </w:tc>
      </w:tr>
      <w:tr w:rsidR="00D5586B" w:rsidRPr="00501476" w14:paraId="54A4D060" w14:textId="77777777" w:rsidTr="00F94156">
        <w:trPr>
          <w:trHeight w:val="264"/>
        </w:trPr>
        <w:tc>
          <w:tcPr>
            <w:tcW w:w="3114" w:type="dxa"/>
            <w:tcBorders>
              <w:top w:val="single" w:sz="4" w:space="0" w:color="auto"/>
              <w:left w:val="single" w:sz="4" w:space="0" w:color="auto"/>
              <w:bottom w:val="single" w:sz="4" w:space="0" w:color="auto"/>
              <w:right w:val="single" w:sz="4" w:space="0" w:color="auto"/>
            </w:tcBorders>
            <w:vAlign w:val="center"/>
            <w:hideMark/>
          </w:tcPr>
          <w:p w14:paraId="2EC07848" w14:textId="77777777" w:rsidR="00D5586B" w:rsidRPr="00414E2E" w:rsidRDefault="00D5586B" w:rsidP="00F94156">
            <w:pPr>
              <w:spacing w:before="60" w:after="60"/>
              <w:rPr>
                <w:rFonts w:ascii="Calibri" w:hAnsi="Calibri" w:cs="Calibri"/>
                <w:sz w:val="22"/>
                <w:lang w:val="en-US"/>
              </w:rPr>
            </w:pPr>
            <w:r>
              <w:rPr>
                <w:rFonts w:ascii="Calibri" w:hAnsi="Calibri" w:cs="Calibri"/>
                <w:sz w:val="22"/>
                <w:lang w:val="en-US"/>
              </w:rPr>
              <w:t>E</w:t>
            </w:r>
            <w:r w:rsidRPr="00414E2E">
              <w:rPr>
                <w:rFonts w:ascii="Calibri" w:hAnsi="Calibri" w:cs="Calibri"/>
                <w:sz w:val="22"/>
                <w:lang w:val="en-US"/>
              </w:rPr>
              <w:t>i-metalliset mineraalituotteet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D32C0A"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lang w:val="en-US"/>
              </w:rPr>
              <w:t>86 %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4D32DB"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lang w:val="en-US"/>
              </w:rPr>
              <w:t>94 %</w:t>
            </w:r>
          </w:p>
        </w:tc>
      </w:tr>
      <w:tr w:rsidR="00D5586B" w:rsidRPr="00501476" w14:paraId="406A3340" w14:textId="77777777" w:rsidTr="00F94156">
        <w:trPr>
          <w:trHeight w:val="254"/>
        </w:trPr>
        <w:tc>
          <w:tcPr>
            <w:tcW w:w="3114" w:type="dxa"/>
            <w:tcBorders>
              <w:top w:val="single" w:sz="4" w:space="0" w:color="auto"/>
              <w:left w:val="single" w:sz="4" w:space="0" w:color="auto"/>
              <w:bottom w:val="single" w:sz="4" w:space="0" w:color="auto"/>
              <w:right w:val="single" w:sz="4" w:space="0" w:color="auto"/>
            </w:tcBorders>
            <w:vAlign w:val="center"/>
            <w:hideMark/>
          </w:tcPr>
          <w:p w14:paraId="51DAE464" w14:textId="77777777" w:rsidR="00D5586B" w:rsidRPr="00414E2E" w:rsidRDefault="00D5586B" w:rsidP="00F94156">
            <w:pPr>
              <w:spacing w:before="60" w:after="60"/>
              <w:rPr>
                <w:rFonts w:ascii="Calibri" w:hAnsi="Calibri" w:cs="Calibri"/>
                <w:sz w:val="22"/>
                <w:lang w:val="en-US"/>
              </w:rPr>
            </w:pPr>
            <w:r w:rsidRPr="00414E2E">
              <w:rPr>
                <w:rFonts w:ascii="Calibri" w:hAnsi="Calibri" w:cs="Calibri"/>
                <w:sz w:val="22"/>
                <w:lang w:val="en-US"/>
              </w:rPr>
              <w:t>Metallien jalostus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78B149"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lang w:val="en-US"/>
              </w:rPr>
              <w:t>98 %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2361903"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lang w:val="en-US"/>
              </w:rPr>
              <w:t>91 %</w:t>
            </w:r>
          </w:p>
        </w:tc>
      </w:tr>
      <w:tr w:rsidR="00D5586B" w:rsidRPr="00501476" w14:paraId="67E8E51E" w14:textId="77777777" w:rsidTr="00F94156">
        <w:trPr>
          <w:trHeight w:val="399"/>
        </w:trPr>
        <w:tc>
          <w:tcPr>
            <w:tcW w:w="3114" w:type="dxa"/>
            <w:tcBorders>
              <w:top w:val="single" w:sz="4" w:space="0" w:color="auto"/>
              <w:left w:val="single" w:sz="4" w:space="0" w:color="auto"/>
              <w:bottom w:val="single" w:sz="4" w:space="0" w:color="auto"/>
              <w:right w:val="single" w:sz="4" w:space="0" w:color="auto"/>
            </w:tcBorders>
            <w:vAlign w:val="center"/>
            <w:hideMark/>
          </w:tcPr>
          <w:p w14:paraId="453CE9B4" w14:textId="77777777" w:rsidR="00D5586B" w:rsidRPr="00414E2E" w:rsidRDefault="00D5586B" w:rsidP="00F94156">
            <w:pPr>
              <w:spacing w:before="60" w:after="60"/>
              <w:rPr>
                <w:rFonts w:ascii="Calibri" w:hAnsi="Calibri" w:cs="Calibri"/>
                <w:sz w:val="22"/>
                <w:lang w:val="en-US"/>
              </w:rPr>
            </w:pPr>
            <w:r w:rsidRPr="00414E2E">
              <w:rPr>
                <w:rFonts w:ascii="Calibri" w:hAnsi="Calibri" w:cs="Calibri"/>
                <w:sz w:val="22"/>
                <w:lang w:val="en-US"/>
              </w:rPr>
              <w:t>Muut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DE74DB"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lang w:val="en-US"/>
              </w:rPr>
              <w:t>33 %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35E6EE"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rPr>
              <w:t>-</w:t>
            </w:r>
          </w:p>
        </w:tc>
      </w:tr>
      <w:tr w:rsidR="00D5586B" w:rsidRPr="00501476" w14:paraId="4743AECC" w14:textId="77777777" w:rsidTr="00F94156">
        <w:trPr>
          <w:trHeight w:val="391"/>
        </w:trPr>
        <w:tc>
          <w:tcPr>
            <w:tcW w:w="3114" w:type="dxa"/>
            <w:tcBorders>
              <w:top w:val="single" w:sz="4" w:space="0" w:color="auto"/>
              <w:left w:val="single" w:sz="4" w:space="0" w:color="auto"/>
              <w:bottom w:val="single" w:sz="4" w:space="0" w:color="auto"/>
              <w:right w:val="single" w:sz="4" w:space="0" w:color="auto"/>
            </w:tcBorders>
            <w:vAlign w:val="center"/>
            <w:hideMark/>
          </w:tcPr>
          <w:p w14:paraId="6CAA93A0" w14:textId="77777777" w:rsidR="00D5586B" w:rsidRPr="00414E2E" w:rsidRDefault="00D5586B" w:rsidP="00F94156">
            <w:pPr>
              <w:spacing w:before="60" w:after="60"/>
              <w:rPr>
                <w:rFonts w:ascii="Calibri" w:hAnsi="Calibri" w:cs="Calibri"/>
                <w:sz w:val="22"/>
                <w:lang w:val="en-US"/>
              </w:rPr>
            </w:pPr>
            <w:r w:rsidRPr="00414E2E">
              <w:rPr>
                <w:rFonts w:ascii="Calibri" w:hAnsi="Calibri" w:cs="Calibri"/>
                <w:sz w:val="22"/>
                <w:lang w:val="en-US"/>
              </w:rPr>
              <w:t>Yhteensä</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EE5842"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lang w:val="en-US"/>
              </w:rPr>
              <w:t>90 %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BCD4FC" w14:textId="77777777" w:rsidR="00D5586B" w:rsidRPr="00414E2E" w:rsidRDefault="00D5586B" w:rsidP="00F94156">
            <w:pPr>
              <w:spacing w:before="60" w:after="60"/>
              <w:jc w:val="center"/>
              <w:rPr>
                <w:rFonts w:ascii="Calibri" w:hAnsi="Calibri" w:cs="Calibri"/>
                <w:sz w:val="22"/>
                <w:lang w:val="en-US"/>
              </w:rPr>
            </w:pPr>
            <w:r w:rsidRPr="00414E2E">
              <w:rPr>
                <w:rFonts w:ascii="Calibri" w:hAnsi="Calibri" w:cs="Calibri"/>
                <w:sz w:val="22"/>
              </w:rPr>
              <w:t>102 %</w:t>
            </w:r>
          </w:p>
        </w:tc>
      </w:tr>
      <w:tr w:rsidR="00D5586B" w:rsidRPr="00501476" w14:paraId="0789CED5" w14:textId="77777777" w:rsidTr="00F94156">
        <w:trPr>
          <w:trHeight w:val="391"/>
        </w:trPr>
        <w:tc>
          <w:tcPr>
            <w:tcW w:w="7792" w:type="dxa"/>
            <w:gridSpan w:val="3"/>
            <w:tcBorders>
              <w:top w:val="single" w:sz="4" w:space="0" w:color="auto"/>
              <w:bottom w:val="nil"/>
            </w:tcBorders>
            <w:vAlign w:val="center"/>
          </w:tcPr>
          <w:p w14:paraId="0A95AD7E" w14:textId="77777777" w:rsidR="00D5586B" w:rsidRPr="00572A4A" w:rsidRDefault="00D5586B" w:rsidP="00F94156">
            <w:pPr>
              <w:rPr>
                <w:rFonts w:asciiTheme="minorHAnsi" w:hAnsiTheme="minorHAnsi"/>
                <w:sz w:val="20"/>
                <w:szCs w:val="20"/>
              </w:rPr>
            </w:pPr>
            <w:r w:rsidRPr="00572A4A">
              <w:rPr>
                <w:rFonts w:asciiTheme="minorHAnsi" w:hAnsiTheme="minorHAnsi"/>
                <w:sz w:val="20"/>
                <w:szCs w:val="20"/>
              </w:rPr>
              <w:t xml:space="preserve">Lähteet: Taulukon tiedot ovat raportista Koljonen ym. (2019), johon ne on laskettu Tilastokeskuksen kasvihuonekaasupäästö- ja energiankäyttötilastojen sekä EU:n päästökaupparekisterin (EU ETS Union Registry, https://ec.europa.eu/clima/policies/ets/registry_en) tietojen perusteella. </w:t>
            </w:r>
          </w:p>
          <w:p w14:paraId="2B2D6509" w14:textId="77777777" w:rsidR="00D5586B" w:rsidRPr="00414E2E" w:rsidRDefault="00D5586B" w:rsidP="00F94156">
            <w:pPr>
              <w:jc w:val="both"/>
              <w:rPr>
                <w:rFonts w:ascii="Calibri" w:hAnsi="Calibri" w:cs="Calibri"/>
              </w:rPr>
            </w:pPr>
          </w:p>
        </w:tc>
      </w:tr>
      <w:bookmarkEnd w:id="0"/>
    </w:tbl>
    <w:p w14:paraId="41A10452" w14:textId="77777777" w:rsidR="00D5586B" w:rsidRDefault="00D5586B" w:rsidP="00D5586B">
      <w:pPr>
        <w:jc w:val="both"/>
      </w:pPr>
    </w:p>
    <w:p w14:paraId="5787B6E1" w14:textId="0B2EDF22" w:rsidR="00D5586B" w:rsidRDefault="005856A1" w:rsidP="00F03C7D">
      <w:pPr>
        <w:pStyle w:val="ListParagraph"/>
        <w:numPr>
          <w:ilvl w:val="0"/>
          <w:numId w:val="3"/>
        </w:numPr>
        <w:rPr>
          <w:b/>
          <w:bCs/>
        </w:rPr>
      </w:pPr>
      <w:r w:rsidRPr="005856A1">
        <w:rPr>
          <w:b/>
          <w:bCs/>
        </w:rPr>
        <w:t>Voidaanko energiaverotuksella edistää khk-päästöjä vähentävien teknisten ratkaisujen kuten power2x, hiilidioksidin talteenotto, hukkalämpöjen hyödyntäminen, prosessiteollisuuden vähähiiliteknologiat jne. käyttöönottoa? Miten energiaverotusta tällöin tulisi muuttaa?</w:t>
      </w:r>
    </w:p>
    <w:p w14:paraId="2032DB0B" w14:textId="5CAF4827" w:rsidR="005856A1" w:rsidRDefault="005856A1" w:rsidP="005856A1">
      <w:pPr>
        <w:jc w:val="both"/>
      </w:pPr>
      <w:r>
        <w:t xml:space="preserve">Kansallisella energiaverotuksella lienee ainoastaan rajallinen rooli, jos sitäkään, uusien ratkaisujen kehittämisen vauhdittajana. </w:t>
      </w:r>
      <w:r w:rsidR="00187115">
        <w:t xml:space="preserve">Euroopan Unionin päästökaupalla on luultavasti enemmän merkitystä tästä näkökulmasta. Säätely luo markkinan uusille teknisille ratkaisuille, mutta Suomen kansallisen säätelyn luoma markkinakysyntä ei </w:t>
      </w:r>
      <w:r w:rsidR="00237440">
        <w:t xml:space="preserve">luultavasti </w:t>
      </w:r>
      <w:r w:rsidR="00187115">
        <w:t xml:space="preserve">ole riittävä kannustamaan yrityksiä riittäviin TKI-panostuksiin. Jo olemassa olevien ratkaisujen käyttöönottoa sen sijaan voidaan ehkä vauhdittaa myös kansallisella energiaverotuksella. </w:t>
      </w:r>
    </w:p>
    <w:p w14:paraId="78F5B30D" w14:textId="4CA4E19D" w:rsidR="00187115" w:rsidRDefault="00187115" w:rsidP="00187115">
      <w:pPr>
        <w:jc w:val="both"/>
      </w:pPr>
      <w:r>
        <w:t>Laukkasen, Ollikan ja Tammisen (2019) tulosten perusteella</w:t>
      </w:r>
      <w:r>
        <w:t xml:space="preserve"> teollisuuden</w:t>
      </w:r>
      <w:r>
        <w:t xml:space="preserve"> energiaverojen palautusten piiriin vuosina 2011-2012 tulleiden tuotantolaitosten energiatehokkuuden kehitys jäi tuen takia jälkeen samoilla toimialoilla toimivista verrokkilaitoksista. Tulosten perusteella näyttää mahdolliselta, että tuen ulkopuolelle jääneet eli täyden energiaveron maksaneet laitokset ovat kuroneet kustannuskilpailukykyä kiinni energiatehokkuusinvestointien kautta.</w:t>
      </w:r>
      <w:r w:rsidR="00C018E3">
        <w:rPr>
          <w:rStyle w:val="FootnoteReference"/>
        </w:rPr>
        <w:footnoteReference w:id="4"/>
      </w:r>
      <w:r>
        <w:t xml:space="preserve"> </w:t>
      </w:r>
    </w:p>
    <w:p w14:paraId="65691E72" w14:textId="2FC059A4" w:rsidR="0047285A" w:rsidRDefault="0047285A" w:rsidP="00187115">
      <w:pPr>
        <w:jc w:val="both"/>
      </w:pPr>
      <w:r>
        <w:t xml:space="preserve">Käytettävissä olevan tutkimusnäytön perusteella ei voi tehdä vahvoja johtopäätöksiä siitä, miten energiaverotusta pitäisi muuttaa uusien teknisten ratkaisujen käyttöönoton vauhdittamiseksi. Hallituksen </w:t>
      </w:r>
      <w:r>
        <w:lastRenderedPageBreak/>
        <w:t>kaavailema energiaverojen palautusten poisto yhdistettynä teollisuuden sähköveron alentamiseen saattaisi kuitenkin olla oikeansuuntainen ratkaisu ottaen huomioon tutkimusnäytön energiaverojen palautusten negatiivisesta vaikutuksesta teollisuuslaitosten energiatehokkuuskehitykseen. Sähköveron alentaminen samaan aikaan pitää teollisuuden kustannuskilpailukyvyn kokonaisuudessaan ennallaan tai parantaa sitä</w:t>
      </w:r>
      <w:r w:rsidR="009B7BA3">
        <w:t>, mikäli sähkövero lasketaan EU-minimiin</w:t>
      </w:r>
      <w:r>
        <w:t xml:space="preserve">. Teollisuuden oman lämmöntuotannon fossiilisten polttoaineiden verotuksen kiristäminen ja lämpöpumppujen siirtäminen sähkön veroluokkaan II olisivat toimia, jotka lisäisivät kannustimia hukkalämmön hyödyntämiseen joko omissa prosesseissa tai kaukolämpöverkoissa. </w:t>
      </w:r>
    </w:p>
    <w:p w14:paraId="7382B8BA" w14:textId="00CDDE28" w:rsidR="00187115" w:rsidRDefault="00187115" w:rsidP="005856A1">
      <w:pPr>
        <w:jc w:val="both"/>
      </w:pPr>
    </w:p>
    <w:p w14:paraId="74D05A2D" w14:textId="0C8C104C" w:rsidR="005D315D" w:rsidRDefault="005D315D" w:rsidP="00F03C7D">
      <w:pPr>
        <w:pStyle w:val="ListParagraph"/>
        <w:numPr>
          <w:ilvl w:val="0"/>
          <w:numId w:val="3"/>
        </w:numPr>
        <w:rPr>
          <w:b/>
          <w:bCs/>
        </w:rPr>
      </w:pPr>
      <w:r w:rsidRPr="005D315D">
        <w:rPr>
          <w:b/>
          <w:bCs/>
        </w:rPr>
        <w:t>Mitkä olisivat keskeisimmät toimet energiaverotuksen kehittämisessä tavoiteltaessa 2035 hiilineutraalisuutta? Mitkä niistä tulisi toteuttaa mahdollisimman nopeasti ja mitkä voitaisiin toteuttaa myöhemmin hiilineutraalisuutta tavoiteltaessa?</w:t>
      </w:r>
    </w:p>
    <w:p w14:paraId="7459FA44" w14:textId="77777777" w:rsidR="008631B6" w:rsidRDefault="008631B6" w:rsidP="008631B6">
      <w:pPr>
        <w:pStyle w:val="ListParagraph"/>
        <w:ind w:left="360"/>
        <w:jc w:val="both"/>
        <w:rPr>
          <w:b/>
          <w:bCs/>
        </w:rPr>
      </w:pPr>
    </w:p>
    <w:p w14:paraId="2D462FA4" w14:textId="58115541" w:rsidR="008631B6" w:rsidRDefault="008631B6" w:rsidP="008631B6">
      <w:pPr>
        <w:pStyle w:val="ListParagraph"/>
        <w:numPr>
          <w:ilvl w:val="0"/>
          <w:numId w:val="5"/>
        </w:numPr>
        <w:contextualSpacing w:val="0"/>
        <w:jc w:val="both"/>
      </w:pPr>
      <w:r>
        <w:t>Lakkautetaan energiaintensiivisen teollisuuden energiaverojen palautusjärjestelmä, josta noin neljäsosa kohdentuu fossiilisille polttoaineille. Energiaverojen palautusjärjestelmän laajennus vuonna 2012 ei tutkimustiedon perusteella ole keskimäärin lisännyt palautuksia saavien yritysten menestystä. Palautusten poisto tehostaisi ennen kaikkea kannustinta siirtyä teollisuuslaitosten omasta fossiilisiin perustuvasta energiantuotannosta Suomessa jo varsin vähäpäästöisen ostosähkön käyttöön</w:t>
      </w:r>
      <w:r>
        <w:t xml:space="preserve"> sekä mahdollisesti myös kannustinta hyödyntää hukkalämpöä. </w:t>
      </w:r>
      <w:r>
        <w:t xml:space="preserve"> </w:t>
      </w:r>
    </w:p>
    <w:p w14:paraId="4069513F" w14:textId="77777777" w:rsidR="00A05BFF" w:rsidRDefault="008631B6" w:rsidP="00175E3D">
      <w:pPr>
        <w:pStyle w:val="ListParagraph"/>
        <w:numPr>
          <w:ilvl w:val="0"/>
          <w:numId w:val="5"/>
        </w:numPr>
        <w:contextualSpacing w:val="0"/>
        <w:jc w:val="both"/>
      </w:pPr>
      <w:r>
        <w:t xml:space="preserve">Mikäli teollisuuden kustannuskilpailukyky halutaan pitää keskimäärin ennallaan, </w:t>
      </w:r>
      <w:r>
        <w:t xml:space="preserve">yhdistetään </w:t>
      </w:r>
      <w:r>
        <w:t xml:space="preserve">veronpalautusten poistoon teollisuuden sähköveron alentaminen. </w:t>
      </w:r>
    </w:p>
    <w:p w14:paraId="789E84C3" w14:textId="0948942E" w:rsidR="008631B6" w:rsidRDefault="008631B6" w:rsidP="00A05BFF">
      <w:pPr>
        <w:pStyle w:val="ListParagraph"/>
        <w:ind w:left="360"/>
        <w:contextualSpacing w:val="0"/>
        <w:jc w:val="both"/>
      </w:pPr>
      <w:r>
        <w:t>Kohtien (1) ja (2) yhdistäminen yhdenmukaistaisi teollisuuden energiaverotuksen rakenteen tärkeän kilpailijamaan Ruotsin kanssa.</w:t>
      </w:r>
      <w:r w:rsidR="00175E3D">
        <w:t xml:space="preserve"> </w:t>
      </w:r>
    </w:p>
    <w:p w14:paraId="71DF5D8B" w14:textId="7548A497" w:rsidR="008631B6" w:rsidRDefault="008631B6" w:rsidP="008631B6">
      <w:pPr>
        <w:pStyle w:val="ListParagraph"/>
        <w:numPr>
          <w:ilvl w:val="0"/>
          <w:numId w:val="5"/>
        </w:numPr>
        <w:contextualSpacing w:val="0"/>
        <w:jc w:val="both"/>
      </w:pPr>
      <w:r>
        <w:t xml:space="preserve">Yhdenmukaistetaan turpeen verotus muiden ilmastopäästöjä tuottavien polttoaineiden verotuksen kanssa, eli poistetaan turpeen verotuki. </w:t>
      </w:r>
    </w:p>
    <w:p w14:paraId="16D3BCE0" w14:textId="4396B4E0" w:rsidR="00A05BFF" w:rsidRDefault="008631B6" w:rsidP="00E46AEF">
      <w:pPr>
        <w:pStyle w:val="ListParagraph"/>
        <w:numPr>
          <w:ilvl w:val="0"/>
          <w:numId w:val="5"/>
        </w:numPr>
        <w:contextualSpacing w:val="0"/>
        <w:jc w:val="both"/>
      </w:pPr>
      <w:r>
        <w:t xml:space="preserve">Yhdenmukaistetaan yhdistetyn sähkön ja lämmön tuotannon (CHP) verotus normin mukaiseksi, eli sovelletaan yleisiä lämmityspolttoaineiden verotasoja myös yhdistetyn tuotannon lämmön tuotantoon. </w:t>
      </w:r>
    </w:p>
    <w:p w14:paraId="3D10EF41" w14:textId="74DD5F95" w:rsidR="00E46AEF" w:rsidRDefault="008631B6" w:rsidP="00A05BFF">
      <w:pPr>
        <w:pStyle w:val="ListParagraph"/>
        <w:spacing w:after="240"/>
        <w:ind w:left="357"/>
        <w:contextualSpacing w:val="0"/>
        <w:jc w:val="both"/>
      </w:pPr>
      <w:r>
        <w:t xml:space="preserve">Koljosen ym. (2019) energiajärjestelmän malliin perustuvissa laskennoissa toimet (1) - (4) yhdistettynä lisäksi maatalouden energiaverojen palautusten poistoon tuottaisi noin 2,7 miljoonan </w:t>
      </w:r>
      <w:r w:rsidRPr="00EC35DE">
        <w:t>hiilidioksidiekvivalenttitonn</w:t>
      </w:r>
      <w:r>
        <w:t xml:space="preserve">in vähenemän kasvihuonekaasupäästöissä vuonna 2030. Suomen energiantuotannon 95-prosenttisen päästöttömyystavoitteen saavuttaminen vuonna 2040 vaatisi lisäksi asteittaista polttoaineverojen korottamista tai muita päästöohjaustoimia, mikäli päästöoikeuden hinta jää korkeintaan tasoon 25 €/tCO2. </w:t>
      </w:r>
    </w:p>
    <w:p w14:paraId="6BA8BE3A" w14:textId="77777777" w:rsidR="00A05BFF" w:rsidRDefault="00A05BFF" w:rsidP="00A05BFF">
      <w:pPr>
        <w:pStyle w:val="ListParagraph"/>
        <w:spacing w:after="240"/>
        <w:ind w:left="357"/>
        <w:contextualSpacing w:val="0"/>
        <w:jc w:val="both"/>
      </w:pPr>
    </w:p>
    <w:p w14:paraId="4E72832D" w14:textId="22DF21F5" w:rsidR="007909E0" w:rsidRDefault="007909E0" w:rsidP="00F03C7D">
      <w:pPr>
        <w:pStyle w:val="ListParagraph"/>
        <w:numPr>
          <w:ilvl w:val="0"/>
          <w:numId w:val="5"/>
        </w:numPr>
        <w:rPr>
          <w:b/>
          <w:bCs/>
        </w:rPr>
      </w:pPr>
      <w:r w:rsidRPr="007909E0">
        <w:rPr>
          <w:b/>
          <w:bCs/>
        </w:rPr>
        <w:t>Näettekö, että esimerkiksi fossiilisten polttoaineiden tukien (CHP, maatalous ja turve) poistaminen ja/tai fossiilisten polttoaineiden veronkorotukset voisivat osaltaan auttaa päästövähennystavoitteiden saavuttamisessa. Mitä mahdollisesti haitallisia vaikutuksia tällä olisi?</w:t>
      </w:r>
    </w:p>
    <w:p w14:paraId="65266801" w14:textId="25B7A471" w:rsidR="007909E0" w:rsidRDefault="007909E0" w:rsidP="007909E0">
      <w:pPr>
        <w:jc w:val="both"/>
      </w:pPr>
      <w:r>
        <w:t>Kyllä. Tarkemmat perustelut yllä kohdassa 4.</w:t>
      </w:r>
    </w:p>
    <w:p w14:paraId="3C0A08CD" w14:textId="7EDF37D4" w:rsidR="007909E0" w:rsidRDefault="007909E0" w:rsidP="007909E0">
      <w:pPr>
        <w:jc w:val="both"/>
      </w:pPr>
      <w:r>
        <w:t>Mahdollisia haittavaikutuksia olisivat veronkorotusten vaikutus maatalouden kannattavuuteen. Maatalouden työkoneissa fossiilisia polttoaineita ei ole nykyisellään vielä helppo kor</w:t>
      </w:r>
      <w:r w:rsidR="00E46AEF">
        <w:t>v</w:t>
      </w:r>
      <w:r>
        <w:t xml:space="preserve">ata. Maataloudessa käytetään kuitenkin fossiilisia polttoaineita ja turvetta myös lämmitykseen, näistä olisi aika siirtyä sähköön. </w:t>
      </w:r>
    </w:p>
    <w:p w14:paraId="546DAD56" w14:textId="776D4D8D" w:rsidR="00A05BFF" w:rsidRDefault="00A05BFF" w:rsidP="007909E0">
      <w:pPr>
        <w:jc w:val="both"/>
      </w:pPr>
      <w:r w:rsidRPr="00A05BFF">
        <w:lastRenderedPageBreak/>
        <w:t xml:space="preserve">Turve on ennen kaikkea energiasektorin polttoaine. Teollisuudessa sen käyttö on vähäistä, lähinnä turve on verottoman, tuotannon sivuvirtana saatavan puupolttoaineen seospolttoaine. Energiasektorin osalta huoli alan kansainvälisestä kilpailukyvystä ei nouse esiin samalla tavoin kuin teollisuuden osalta, sillä kyse ei ole vientisektorista. </w:t>
      </w:r>
    </w:p>
    <w:p w14:paraId="70B867AC" w14:textId="6D9B6161" w:rsidR="00FC2A43" w:rsidRDefault="00A05BFF" w:rsidP="007909E0">
      <w:pPr>
        <w:jc w:val="both"/>
      </w:pPr>
      <w:r>
        <w:t>T</w:t>
      </w:r>
      <w:r w:rsidR="007909E0">
        <w:t xml:space="preserve">urve työllistää Bioenergia ry:n arvion mukaan noin 2 300 henkilötyövuoden verran. Veroratkaisujen hyväksyttävyyden näkökulmasta olisi hyvä puntaroida toimia, joilla voidaan tukea turpeen työllistämiä henkilöitä ja turveyrittäjiä siirtymään uusiin tehtäviin. Veroratkaisut eivät luultavasti kuitenkaan tarkoittaisi yhtäkkistä päätöstä turvetuotannolle vaan asteittaista siirtymää ja sopeutumisaikaa. </w:t>
      </w:r>
    </w:p>
    <w:p w14:paraId="688DC35F" w14:textId="02437CC7" w:rsidR="007909E0" w:rsidRDefault="00FC2A43" w:rsidP="007909E0">
      <w:pPr>
        <w:jc w:val="both"/>
      </w:pPr>
      <w:r>
        <w:t xml:space="preserve">Turpeen verotuksen kiristämisen yhteydessä nousee esiin huoli siitä, että turvetta korvattaisiin ainespuun polttamisella. </w:t>
      </w:r>
      <w:r w:rsidR="007909E0">
        <w:t xml:space="preserve"> </w:t>
      </w:r>
      <w:r w:rsidR="002B743A">
        <w:t>Kivihiilen käyttö on kielletty vuodesta 2029 alkaen, joten uusien investointien osalta huoli turpeen korvaamisesta kivihiilellä lienee turha.</w:t>
      </w:r>
    </w:p>
    <w:p w14:paraId="195774B8" w14:textId="56793437" w:rsidR="00FC2A43" w:rsidRDefault="00A05BFF" w:rsidP="007909E0">
      <w:pPr>
        <w:jc w:val="both"/>
      </w:pPr>
      <w:r w:rsidRPr="00A05BFF">
        <w:t>Myös yhdistetyn tuotannon rooli globaalin kilpailun kohtaavan teollisuuden omassa energiantuotannossa on jo nyt verrattain pieni.</w:t>
      </w:r>
    </w:p>
    <w:p w14:paraId="02D513E0" w14:textId="77777777" w:rsidR="00A05BFF" w:rsidRDefault="00A05BFF" w:rsidP="007909E0">
      <w:pPr>
        <w:jc w:val="both"/>
      </w:pPr>
    </w:p>
    <w:p w14:paraId="0D3B4926" w14:textId="1777CDEA" w:rsidR="00FC2A43" w:rsidRPr="00C77BE7" w:rsidRDefault="00FC2A43" w:rsidP="00F03C7D">
      <w:pPr>
        <w:pStyle w:val="ListParagraph"/>
        <w:numPr>
          <w:ilvl w:val="0"/>
          <w:numId w:val="5"/>
        </w:numPr>
        <w:rPr>
          <w:b/>
          <w:bCs/>
        </w:rPr>
      </w:pPr>
      <w:r w:rsidRPr="00C77BE7">
        <w:rPr>
          <w:b/>
          <w:bCs/>
        </w:rPr>
        <w:t>Miten arvioitte energiaverotuottojen kehittyvän 2030 mennessä verotuksen nykyrakenteella ja verotuksen päästöohjausta tehostettaessa?</w:t>
      </w:r>
    </w:p>
    <w:p w14:paraId="4B70B7D5" w14:textId="09790B75" w:rsidR="00BC3072" w:rsidRDefault="00BC3072" w:rsidP="007909E0">
      <w:pPr>
        <w:jc w:val="both"/>
      </w:pPr>
      <w:r>
        <w:t>Sähköveron lasku EU-minimiin vähentää lyhyellä aikavälillä valtion verotuloja noin 75 miljoonaa euroa enemmän kuin mitä energiaverojen palautusten poistolla säästetään.</w:t>
      </w:r>
    </w:p>
    <w:p w14:paraId="781E7E6B" w14:textId="28195913" w:rsidR="00FC2A43" w:rsidRPr="007909E0" w:rsidRDefault="00C77BE7" w:rsidP="007909E0">
      <w:pPr>
        <w:jc w:val="both"/>
      </w:pPr>
      <w:r>
        <w:t>Raportin Koljonen ym.</w:t>
      </w:r>
      <w:r w:rsidR="00E46AEF">
        <w:t xml:space="preserve"> (2019)</w:t>
      </w:r>
      <w:r>
        <w:t xml:space="preserve"> mallilaskelmien perusteella p</w:t>
      </w:r>
      <w:r w:rsidR="00FC2A43">
        <w:t>olttoaineverojen yhdenmukaistamisella ja energiaverojen palautusten poistolla o</w:t>
      </w:r>
      <w:r>
        <w:t>lisi</w:t>
      </w:r>
      <w:r w:rsidR="00FC2A43">
        <w:t xml:space="preserve"> positiivinen vaikutus valtion verotuottoihin nykytasoon verrattuna vuoteen 2030 asti. Tämän jälkeen verotuotot laskevat, kun fossiiliset polttoaineet korvautuvat muilla energialähteillä</w:t>
      </w:r>
      <w:r w:rsidR="009A2E3A">
        <w:t>.</w:t>
      </w:r>
      <w:bookmarkStart w:id="1" w:name="_GoBack"/>
      <w:bookmarkEnd w:id="1"/>
    </w:p>
    <w:p w14:paraId="498643CA" w14:textId="77777777" w:rsidR="008631B6" w:rsidRPr="008631B6" w:rsidRDefault="008631B6" w:rsidP="008631B6">
      <w:pPr>
        <w:jc w:val="both"/>
        <w:rPr>
          <w:b/>
          <w:bCs/>
        </w:rPr>
      </w:pPr>
    </w:p>
    <w:p w14:paraId="64A3FDE9" w14:textId="5321E599" w:rsidR="005856A1" w:rsidRDefault="00237440">
      <w:pPr>
        <w:jc w:val="both"/>
        <w:rPr>
          <w:b/>
          <w:bCs/>
        </w:rPr>
      </w:pPr>
      <w:r>
        <w:rPr>
          <w:b/>
          <w:bCs/>
        </w:rPr>
        <w:t>Viitteet</w:t>
      </w:r>
    </w:p>
    <w:p w14:paraId="6BD8A9FA" w14:textId="77777777" w:rsidR="00643BE9" w:rsidRPr="00E042AF" w:rsidRDefault="00643BE9" w:rsidP="00643BE9">
      <w:pPr>
        <w:jc w:val="both"/>
        <w:rPr>
          <w:lang w:val="en-US"/>
        </w:rPr>
      </w:pPr>
      <w:r w:rsidRPr="00E042AF">
        <w:rPr>
          <w:lang w:val="en-US"/>
        </w:rPr>
        <w:t xml:space="preserve">Alcott, H. </w:t>
      </w:r>
      <w:r>
        <w:rPr>
          <w:lang w:val="en-US"/>
        </w:rPr>
        <w:t>&amp;</w:t>
      </w:r>
      <w:r w:rsidRPr="00E042AF">
        <w:rPr>
          <w:lang w:val="en-US"/>
        </w:rPr>
        <w:t xml:space="preserve"> Greenstone, M. (2012). Is </w:t>
      </w:r>
      <w:r>
        <w:rPr>
          <w:lang w:val="en-US"/>
        </w:rPr>
        <w:t>t</w:t>
      </w:r>
      <w:r w:rsidRPr="00E042AF">
        <w:rPr>
          <w:lang w:val="en-US"/>
        </w:rPr>
        <w:t xml:space="preserve">here an </w:t>
      </w:r>
      <w:r>
        <w:rPr>
          <w:lang w:val="en-US"/>
        </w:rPr>
        <w:t>e</w:t>
      </w:r>
      <w:r w:rsidRPr="00E042AF">
        <w:rPr>
          <w:lang w:val="en-US"/>
        </w:rPr>
        <w:t xml:space="preserve">nergy </w:t>
      </w:r>
      <w:r>
        <w:rPr>
          <w:lang w:val="en-US"/>
        </w:rPr>
        <w:t>e</w:t>
      </w:r>
      <w:r w:rsidRPr="00E042AF">
        <w:rPr>
          <w:lang w:val="en-US"/>
        </w:rPr>
        <w:t xml:space="preserve">fficiency </w:t>
      </w:r>
      <w:r>
        <w:rPr>
          <w:lang w:val="en-US"/>
        </w:rPr>
        <w:t>g</w:t>
      </w:r>
      <w:r w:rsidRPr="00E042AF">
        <w:rPr>
          <w:lang w:val="en-US"/>
        </w:rPr>
        <w:t>ap?</w:t>
      </w:r>
      <w:r>
        <w:rPr>
          <w:lang w:val="en-US"/>
        </w:rPr>
        <w:t xml:space="preserve"> </w:t>
      </w:r>
      <w:r w:rsidRPr="002F5F96">
        <w:rPr>
          <w:lang w:val="en-US"/>
        </w:rPr>
        <w:t xml:space="preserve">Journal of Economic Perspectives 26(1), 3–28. </w:t>
      </w:r>
    </w:p>
    <w:p w14:paraId="71FDBC1A" w14:textId="77777777" w:rsidR="00643BE9" w:rsidRDefault="00643BE9" w:rsidP="00643BE9">
      <w:pPr>
        <w:jc w:val="both"/>
        <w:rPr>
          <w:lang w:val="en-US"/>
        </w:rPr>
      </w:pPr>
      <w:r w:rsidRPr="004744BA">
        <w:rPr>
          <w:lang w:val="en-US"/>
        </w:rPr>
        <w:t xml:space="preserve">Dechezleprêtre, A., Nachtigall, D. &amp; Venmans, F. (2018). </w:t>
      </w:r>
      <w:r w:rsidRPr="00F12D69">
        <w:rPr>
          <w:lang w:val="en-US"/>
        </w:rPr>
        <w:t>The joint impact of the European Union emissions trading system on carbon emissions and economic performance. OECD Economics Department Working Papers No. 1515.</w:t>
      </w:r>
    </w:p>
    <w:p w14:paraId="51C7B07F" w14:textId="77777777" w:rsidR="00643BE9" w:rsidRPr="00643BE9" w:rsidRDefault="00643BE9" w:rsidP="00643BE9">
      <w:pPr>
        <w:jc w:val="both"/>
        <w:rPr>
          <w:lang w:val="en-US"/>
        </w:rPr>
      </w:pPr>
      <w:r w:rsidRPr="00721626">
        <w:rPr>
          <w:lang w:val="en-US"/>
        </w:rPr>
        <w:t xml:space="preserve">Gillingham, K. </w:t>
      </w:r>
      <w:r>
        <w:rPr>
          <w:lang w:val="en-US"/>
        </w:rPr>
        <w:t>&amp;</w:t>
      </w:r>
      <w:r w:rsidRPr="00721626">
        <w:rPr>
          <w:lang w:val="en-US"/>
        </w:rPr>
        <w:t xml:space="preserve"> Palmer, K. (2014). </w:t>
      </w:r>
      <w:r w:rsidRPr="00C21162">
        <w:rPr>
          <w:lang w:val="en-US"/>
        </w:rPr>
        <w:t xml:space="preserve">Bridging the </w:t>
      </w:r>
      <w:r>
        <w:rPr>
          <w:lang w:val="en-US"/>
        </w:rPr>
        <w:t>e</w:t>
      </w:r>
      <w:r w:rsidRPr="00C21162">
        <w:rPr>
          <w:lang w:val="en-US"/>
        </w:rPr>
        <w:t xml:space="preserve">nergy </w:t>
      </w:r>
      <w:r>
        <w:rPr>
          <w:lang w:val="en-US"/>
        </w:rPr>
        <w:t>e</w:t>
      </w:r>
      <w:r w:rsidRPr="00C21162">
        <w:rPr>
          <w:lang w:val="en-US"/>
        </w:rPr>
        <w:t xml:space="preserve">fficiency </w:t>
      </w:r>
      <w:r>
        <w:rPr>
          <w:lang w:val="en-US"/>
        </w:rPr>
        <w:t>g</w:t>
      </w:r>
      <w:r w:rsidRPr="00C21162">
        <w:rPr>
          <w:lang w:val="en-US"/>
        </w:rPr>
        <w:t xml:space="preserve">ap: Policy </w:t>
      </w:r>
      <w:r>
        <w:rPr>
          <w:lang w:val="en-US"/>
        </w:rPr>
        <w:t>i</w:t>
      </w:r>
      <w:r w:rsidRPr="00C21162">
        <w:rPr>
          <w:lang w:val="en-US"/>
        </w:rPr>
        <w:t xml:space="preserve">nsights from </w:t>
      </w:r>
      <w:r>
        <w:rPr>
          <w:lang w:val="en-US"/>
        </w:rPr>
        <w:t>e</w:t>
      </w:r>
      <w:r w:rsidRPr="00C21162">
        <w:rPr>
          <w:lang w:val="en-US"/>
        </w:rPr>
        <w:t xml:space="preserve">conomic </w:t>
      </w:r>
      <w:r>
        <w:rPr>
          <w:lang w:val="en-US"/>
        </w:rPr>
        <w:t>t</w:t>
      </w:r>
      <w:r w:rsidRPr="00C21162">
        <w:rPr>
          <w:lang w:val="en-US"/>
        </w:rPr>
        <w:t xml:space="preserve">heory and </w:t>
      </w:r>
      <w:r>
        <w:rPr>
          <w:lang w:val="en-US"/>
        </w:rPr>
        <w:t>e</w:t>
      </w:r>
      <w:r w:rsidRPr="00C21162">
        <w:rPr>
          <w:lang w:val="en-US"/>
        </w:rPr>
        <w:t xml:space="preserve">mpirical </w:t>
      </w:r>
      <w:r>
        <w:rPr>
          <w:lang w:val="en-US"/>
        </w:rPr>
        <w:t>e</w:t>
      </w:r>
      <w:r w:rsidRPr="00C21162">
        <w:rPr>
          <w:lang w:val="en-US"/>
        </w:rPr>
        <w:t>vidence</w:t>
      </w:r>
      <w:r>
        <w:rPr>
          <w:lang w:val="en-US"/>
        </w:rPr>
        <w:t xml:space="preserve">. </w:t>
      </w:r>
      <w:r w:rsidRPr="00643BE9">
        <w:rPr>
          <w:lang w:val="en-US"/>
        </w:rPr>
        <w:t>Review of Environmental Economics and Policy 8(1), pp. 18–38.</w:t>
      </w:r>
    </w:p>
    <w:p w14:paraId="474D4B58" w14:textId="77777777" w:rsidR="00643BE9" w:rsidRPr="00643BE9" w:rsidRDefault="00643BE9" w:rsidP="00643BE9">
      <w:pPr>
        <w:jc w:val="both"/>
        <w:rPr>
          <w:lang w:val="en-US"/>
        </w:rPr>
      </w:pPr>
      <w:r w:rsidRPr="00BA6226">
        <w:rPr>
          <w:lang w:val="en-US"/>
        </w:rPr>
        <w:t xml:space="preserve">Hahn, R. W. </w:t>
      </w:r>
      <w:r>
        <w:rPr>
          <w:lang w:val="en-US"/>
        </w:rPr>
        <w:t>(</w:t>
      </w:r>
      <w:r w:rsidRPr="00BA6226">
        <w:rPr>
          <w:lang w:val="en-US"/>
        </w:rPr>
        <w:t>1984</w:t>
      </w:r>
      <w:r>
        <w:rPr>
          <w:lang w:val="en-US"/>
        </w:rPr>
        <w:t>)</w:t>
      </w:r>
      <w:r w:rsidRPr="00BA6226">
        <w:rPr>
          <w:lang w:val="en-US"/>
        </w:rPr>
        <w:t xml:space="preserve">. Market power and transferable property rights. </w:t>
      </w:r>
      <w:r w:rsidRPr="00643BE9">
        <w:rPr>
          <w:lang w:val="en-US"/>
        </w:rPr>
        <w:t>The Quarterly Journal of Economics, 99(4), 753-765.</w:t>
      </w:r>
    </w:p>
    <w:p w14:paraId="231004F4" w14:textId="77777777" w:rsidR="00643BE9" w:rsidRPr="00500BB1" w:rsidRDefault="00643BE9" w:rsidP="00643BE9">
      <w:pPr>
        <w:jc w:val="both"/>
      </w:pPr>
      <w:r w:rsidRPr="00643BE9">
        <w:rPr>
          <w:lang w:val="en-US"/>
        </w:rPr>
        <w:t xml:space="preserve">Jaraite, J. &amp; Di Maria, C. (2012). </w:t>
      </w:r>
      <w:r w:rsidRPr="00336E2E">
        <w:rPr>
          <w:lang w:val="en-US"/>
        </w:rPr>
        <w:t>Efficiency, productivity and environmental policy:</w:t>
      </w:r>
      <w:r>
        <w:rPr>
          <w:lang w:val="en-US"/>
        </w:rPr>
        <w:t xml:space="preserve"> </w:t>
      </w:r>
      <w:r w:rsidRPr="00336E2E">
        <w:rPr>
          <w:lang w:val="en-US"/>
        </w:rPr>
        <w:t xml:space="preserve">A case study of power generation in the EU. </w:t>
      </w:r>
      <w:r w:rsidRPr="00500BB1">
        <w:t>Energy Economics 34, 1557–1568.</w:t>
      </w:r>
    </w:p>
    <w:p w14:paraId="389ACEF8" w14:textId="77777777" w:rsidR="00643BE9" w:rsidRPr="005729B8" w:rsidRDefault="00643BE9" w:rsidP="00643BE9">
      <w:pPr>
        <w:jc w:val="both"/>
        <w:rPr>
          <w:rFonts w:cstheme="minorHAnsi"/>
          <w:color w:val="000000" w:themeColor="dark1"/>
          <w:kern w:val="24"/>
        </w:rPr>
      </w:pPr>
      <w:r w:rsidRPr="00E02EB4">
        <w:rPr>
          <w:rFonts w:ascii="Calibri" w:hAnsi="Calibri" w:cs="Calibri"/>
          <w:color w:val="000000" w:themeColor="dark1"/>
          <w:kern w:val="24"/>
        </w:rPr>
        <w:t>Koljonen, T., Laukkanen, M., O</w:t>
      </w:r>
      <w:r>
        <w:rPr>
          <w:rFonts w:ascii="Calibri" w:hAnsi="Calibri" w:cs="Calibri"/>
          <w:color w:val="000000" w:themeColor="dark1"/>
          <w:kern w:val="24"/>
        </w:rPr>
        <w:t xml:space="preserve">llikainen, M., </w:t>
      </w:r>
      <w:r w:rsidRPr="00E02EB4">
        <w:rPr>
          <w:rFonts w:ascii="Calibri" w:hAnsi="Calibri" w:cs="Calibri"/>
          <w:color w:val="000000" w:themeColor="dark1"/>
          <w:kern w:val="24"/>
        </w:rPr>
        <w:t>Lehtilä</w:t>
      </w:r>
      <w:r>
        <w:rPr>
          <w:rFonts w:ascii="Calibri" w:hAnsi="Calibri" w:cs="Calibri"/>
          <w:color w:val="000000" w:themeColor="dark1"/>
          <w:kern w:val="24"/>
        </w:rPr>
        <w:t xml:space="preserve">, A., </w:t>
      </w:r>
      <w:r w:rsidRPr="00E02EB4">
        <w:rPr>
          <w:rFonts w:ascii="Calibri" w:hAnsi="Calibri" w:cs="Calibri"/>
          <w:color w:val="000000" w:themeColor="dark1"/>
          <w:kern w:val="24"/>
        </w:rPr>
        <w:t>Eerola</w:t>
      </w:r>
      <w:r>
        <w:rPr>
          <w:rFonts w:ascii="Calibri" w:hAnsi="Calibri" w:cs="Calibri"/>
          <w:color w:val="000000" w:themeColor="dark1"/>
          <w:kern w:val="24"/>
        </w:rPr>
        <w:t xml:space="preserve">, E., </w:t>
      </w:r>
      <w:r w:rsidRPr="00E02EB4">
        <w:rPr>
          <w:rFonts w:ascii="Calibri" w:hAnsi="Calibri" w:cs="Calibri"/>
          <w:color w:val="000000" w:themeColor="dark1"/>
          <w:kern w:val="24"/>
        </w:rPr>
        <w:t>Koreneff</w:t>
      </w:r>
      <w:r>
        <w:rPr>
          <w:rFonts w:ascii="Calibri" w:hAnsi="Calibri" w:cs="Calibri"/>
          <w:color w:val="000000" w:themeColor="dark1"/>
          <w:kern w:val="24"/>
        </w:rPr>
        <w:t xml:space="preserve">, G., </w:t>
      </w:r>
      <w:r w:rsidRPr="00E02EB4">
        <w:rPr>
          <w:rFonts w:ascii="Calibri" w:hAnsi="Calibri" w:cs="Calibri"/>
          <w:color w:val="000000" w:themeColor="dark1"/>
          <w:kern w:val="24"/>
        </w:rPr>
        <w:t>Kyritsis</w:t>
      </w:r>
      <w:r>
        <w:rPr>
          <w:rFonts w:ascii="Calibri" w:hAnsi="Calibri" w:cs="Calibri"/>
          <w:color w:val="000000" w:themeColor="dark1"/>
          <w:kern w:val="24"/>
        </w:rPr>
        <w:t>, E., L</w:t>
      </w:r>
      <w:r w:rsidRPr="00E02EB4">
        <w:rPr>
          <w:rFonts w:ascii="Calibri" w:hAnsi="Calibri" w:cs="Calibri"/>
          <w:color w:val="000000" w:themeColor="dark1"/>
          <w:kern w:val="24"/>
        </w:rPr>
        <w:t>indroos</w:t>
      </w:r>
      <w:r>
        <w:rPr>
          <w:rFonts w:ascii="Calibri" w:hAnsi="Calibri" w:cs="Calibri"/>
          <w:color w:val="000000" w:themeColor="dark1"/>
          <w:kern w:val="24"/>
        </w:rPr>
        <w:t xml:space="preserve">, T. J., </w:t>
      </w:r>
      <w:r w:rsidRPr="00E02EB4">
        <w:rPr>
          <w:rFonts w:ascii="Calibri" w:hAnsi="Calibri" w:cs="Calibri"/>
          <w:color w:val="000000" w:themeColor="dark1"/>
          <w:kern w:val="24"/>
        </w:rPr>
        <w:t xml:space="preserve"> Ollikka</w:t>
      </w:r>
      <w:r>
        <w:rPr>
          <w:rFonts w:ascii="Calibri" w:hAnsi="Calibri" w:cs="Calibri"/>
          <w:color w:val="000000" w:themeColor="dark1"/>
          <w:kern w:val="24"/>
        </w:rPr>
        <w:t xml:space="preserve">,K., </w:t>
      </w:r>
      <w:r w:rsidRPr="00E02EB4">
        <w:rPr>
          <w:rFonts w:ascii="Calibri" w:hAnsi="Calibri" w:cs="Calibri"/>
          <w:color w:val="000000" w:themeColor="dark1"/>
          <w:kern w:val="24"/>
        </w:rPr>
        <w:t>Pursiheimo</w:t>
      </w:r>
      <w:r>
        <w:rPr>
          <w:rFonts w:ascii="Calibri" w:hAnsi="Calibri" w:cs="Calibri"/>
          <w:color w:val="000000" w:themeColor="dark1"/>
          <w:kern w:val="24"/>
        </w:rPr>
        <w:t xml:space="preserve">, E., </w:t>
      </w:r>
      <w:r w:rsidRPr="00E02EB4">
        <w:rPr>
          <w:rFonts w:ascii="Calibri" w:hAnsi="Calibri" w:cs="Calibri"/>
          <w:color w:val="000000" w:themeColor="dark1"/>
          <w:kern w:val="24"/>
        </w:rPr>
        <w:t>Rämä</w:t>
      </w:r>
      <w:r>
        <w:rPr>
          <w:rFonts w:ascii="Calibri" w:hAnsi="Calibri" w:cs="Calibri"/>
          <w:color w:val="000000" w:themeColor="dark1"/>
          <w:kern w:val="24"/>
        </w:rPr>
        <w:t xml:space="preserve">, M. &amp; </w:t>
      </w:r>
      <w:r w:rsidRPr="00E02EB4">
        <w:rPr>
          <w:rFonts w:ascii="Calibri" w:hAnsi="Calibri" w:cs="Calibri"/>
          <w:color w:val="000000" w:themeColor="dark1"/>
          <w:kern w:val="24"/>
        </w:rPr>
        <w:t>Siikavirta</w:t>
      </w:r>
      <w:r>
        <w:rPr>
          <w:rFonts w:ascii="Calibri" w:hAnsi="Calibri" w:cs="Calibri"/>
          <w:color w:val="000000" w:themeColor="dark1"/>
          <w:kern w:val="24"/>
        </w:rPr>
        <w:t xml:space="preserve">, H. (2019). </w:t>
      </w:r>
      <w:r w:rsidRPr="00E02EB4">
        <w:rPr>
          <w:rFonts w:ascii="Calibri" w:hAnsi="Calibri" w:cs="Calibri"/>
          <w:color w:val="000000" w:themeColor="dark1"/>
          <w:kern w:val="24"/>
        </w:rPr>
        <w:t>Energiantuotannon</w:t>
      </w:r>
      <w:r>
        <w:rPr>
          <w:rFonts w:ascii="Calibri" w:hAnsi="Calibri" w:cs="Calibri"/>
          <w:color w:val="000000" w:themeColor="dark1"/>
          <w:kern w:val="24"/>
        </w:rPr>
        <w:t xml:space="preserve"> </w:t>
      </w:r>
      <w:r w:rsidRPr="00E02EB4">
        <w:rPr>
          <w:rFonts w:ascii="Calibri" w:hAnsi="Calibri" w:cs="Calibri"/>
          <w:color w:val="000000" w:themeColor="dark1"/>
          <w:kern w:val="24"/>
        </w:rPr>
        <w:t>valmisteverotuksen</w:t>
      </w:r>
      <w:r>
        <w:rPr>
          <w:rFonts w:ascii="Calibri" w:hAnsi="Calibri" w:cs="Calibri"/>
          <w:color w:val="000000" w:themeColor="dark1"/>
          <w:kern w:val="24"/>
        </w:rPr>
        <w:t xml:space="preserve"> </w:t>
      </w:r>
      <w:r w:rsidRPr="00E02EB4">
        <w:rPr>
          <w:rFonts w:ascii="Calibri" w:hAnsi="Calibri" w:cs="Calibri"/>
          <w:color w:val="000000" w:themeColor="dark1"/>
          <w:kern w:val="24"/>
        </w:rPr>
        <w:t>kehittäminen Suomessa</w:t>
      </w:r>
      <w:r>
        <w:rPr>
          <w:rFonts w:ascii="Calibri" w:hAnsi="Calibri" w:cs="Calibri"/>
          <w:color w:val="000000" w:themeColor="dark1"/>
          <w:kern w:val="24"/>
        </w:rPr>
        <w:t xml:space="preserve">: </w:t>
      </w:r>
      <w:r w:rsidRPr="00E02EB4">
        <w:rPr>
          <w:rFonts w:ascii="Calibri" w:hAnsi="Calibri" w:cs="Calibri"/>
          <w:color w:val="000000" w:themeColor="dark1"/>
          <w:kern w:val="24"/>
        </w:rPr>
        <w:t>Vero-ohjauksen arviointia</w:t>
      </w:r>
      <w:r>
        <w:rPr>
          <w:rFonts w:ascii="Calibri" w:hAnsi="Calibri" w:cs="Calibri"/>
          <w:color w:val="000000" w:themeColor="dark1"/>
          <w:kern w:val="24"/>
        </w:rPr>
        <w:t xml:space="preserve"> </w:t>
      </w:r>
      <w:r w:rsidRPr="00E02EB4">
        <w:rPr>
          <w:rFonts w:ascii="Calibri" w:hAnsi="Calibri" w:cs="Calibri"/>
          <w:color w:val="000000" w:themeColor="dark1"/>
          <w:kern w:val="24"/>
        </w:rPr>
        <w:t>hiilineutraalisuustavoitteen näkökulmasta</w:t>
      </w:r>
      <w:r>
        <w:rPr>
          <w:rFonts w:ascii="Calibri" w:hAnsi="Calibri" w:cs="Calibri"/>
          <w:color w:val="000000" w:themeColor="dark1"/>
          <w:kern w:val="24"/>
        </w:rPr>
        <w:t xml:space="preserve">. </w:t>
      </w:r>
      <w:r w:rsidRPr="005729B8">
        <w:rPr>
          <w:rFonts w:cstheme="minorHAnsi"/>
        </w:rPr>
        <w:t>VTT Technology 359.</w:t>
      </w:r>
    </w:p>
    <w:p w14:paraId="5F1948BB" w14:textId="77777777" w:rsidR="00643BE9" w:rsidRDefault="00643BE9" w:rsidP="00643BE9">
      <w:pPr>
        <w:jc w:val="both"/>
        <w:rPr>
          <w:lang w:val="en-US"/>
        </w:rPr>
      </w:pPr>
      <w:r w:rsidRPr="004C0EAA">
        <w:lastRenderedPageBreak/>
        <w:t xml:space="preserve">Laukkanen, M., Ollikka, K. &amp; Tamminen, S., </w:t>
      </w:r>
      <w:r>
        <w:t>(</w:t>
      </w:r>
      <w:r w:rsidRPr="004C0EAA">
        <w:t>2019</w:t>
      </w:r>
      <w:r>
        <w:t>)</w:t>
      </w:r>
      <w:r w:rsidRPr="004C0EAA">
        <w:t xml:space="preserve">. </w:t>
      </w:r>
      <w:r w:rsidRPr="00F51AF4">
        <w:rPr>
          <w:lang w:val="en-US"/>
        </w:rPr>
        <w:t>The impact of energy tax refundson manufacturing firm performance: evidence from Finland’s 2011</w:t>
      </w:r>
      <w:r>
        <w:rPr>
          <w:lang w:val="en-US"/>
        </w:rPr>
        <w:t xml:space="preserve"> </w:t>
      </w:r>
      <w:r w:rsidRPr="00F51AF4">
        <w:rPr>
          <w:lang w:val="en-US"/>
        </w:rPr>
        <w:t>energy tax reform. Publications of the Government´s analysis, assessment</w:t>
      </w:r>
      <w:r>
        <w:rPr>
          <w:lang w:val="en-US"/>
        </w:rPr>
        <w:t xml:space="preserve"> </w:t>
      </w:r>
      <w:r w:rsidRPr="00F51AF4">
        <w:rPr>
          <w:lang w:val="en-US"/>
        </w:rPr>
        <w:t>and research activities 2019:32.</w:t>
      </w:r>
    </w:p>
    <w:p w14:paraId="68DA5403" w14:textId="77777777" w:rsidR="00643BE9" w:rsidRPr="00721626" w:rsidRDefault="00643BE9" w:rsidP="00643BE9">
      <w:pPr>
        <w:jc w:val="both"/>
      </w:pPr>
      <w:r w:rsidRPr="00E177E0">
        <w:rPr>
          <w:lang w:val="en-US"/>
        </w:rPr>
        <w:t xml:space="preserve">OECD </w:t>
      </w:r>
      <w:r>
        <w:rPr>
          <w:lang w:val="en-US"/>
        </w:rPr>
        <w:t>(</w:t>
      </w:r>
      <w:r w:rsidRPr="00E177E0">
        <w:rPr>
          <w:lang w:val="en-US"/>
        </w:rPr>
        <w:t>2018</w:t>
      </w:r>
      <w:r>
        <w:rPr>
          <w:lang w:val="en-US"/>
        </w:rPr>
        <w:t>)</w:t>
      </w:r>
      <w:r w:rsidRPr="00E177E0">
        <w:rPr>
          <w:lang w:val="en-US"/>
        </w:rPr>
        <w:t xml:space="preserve">. Effective Carbon Rates 2018: Pricing </w:t>
      </w:r>
      <w:r>
        <w:rPr>
          <w:lang w:val="en-US"/>
        </w:rPr>
        <w:t>c</w:t>
      </w:r>
      <w:r w:rsidRPr="00E177E0">
        <w:rPr>
          <w:lang w:val="en-US"/>
        </w:rPr>
        <w:t xml:space="preserve">arbon </w:t>
      </w:r>
      <w:r>
        <w:rPr>
          <w:lang w:val="en-US"/>
        </w:rPr>
        <w:t>e</w:t>
      </w:r>
      <w:r w:rsidRPr="00E177E0">
        <w:rPr>
          <w:lang w:val="en-US"/>
        </w:rPr>
        <w:t xml:space="preserve">missions </w:t>
      </w:r>
      <w:r>
        <w:rPr>
          <w:lang w:val="en-US"/>
        </w:rPr>
        <w:t>t</w:t>
      </w:r>
      <w:r w:rsidRPr="00E177E0">
        <w:rPr>
          <w:lang w:val="en-US"/>
        </w:rPr>
        <w:t>hrough</w:t>
      </w:r>
      <w:r>
        <w:rPr>
          <w:lang w:val="en-US"/>
        </w:rPr>
        <w:t xml:space="preserve"> t</w:t>
      </w:r>
      <w:r w:rsidRPr="00E177E0">
        <w:rPr>
          <w:lang w:val="en-US"/>
        </w:rPr>
        <w:t xml:space="preserve">axes and </w:t>
      </w:r>
      <w:r>
        <w:rPr>
          <w:lang w:val="en-US"/>
        </w:rPr>
        <w:t>e</w:t>
      </w:r>
      <w:r w:rsidRPr="00E177E0">
        <w:rPr>
          <w:lang w:val="en-US"/>
        </w:rPr>
        <w:t xml:space="preserve">missions </w:t>
      </w:r>
      <w:r>
        <w:rPr>
          <w:lang w:val="en-US"/>
        </w:rPr>
        <w:t>t</w:t>
      </w:r>
      <w:r w:rsidRPr="00E177E0">
        <w:rPr>
          <w:lang w:val="en-US"/>
        </w:rPr>
        <w:t xml:space="preserve">rading. </w:t>
      </w:r>
      <w:r w:rsidRPr="00721626">
        <w:t>OECD Publishing, Paris.</w:t>
      </w:r>
    </w:p>
    <w:p w14:paraId="1BB69E5B" w14:textId="77777777" w:rsidR="00643BE9" w:rsidRDefault="00643BE9" w:rsidP="00643BE9">
      <w:pPr>
        <w:jc w:val="both"/>
        <w:rPr>
          <w:lang w:val="en-US"/>
        </w:rPr>
      </w:pPr>
      <w:r w:rsidRPr="00721626">
        <w:t xml:space="preserve">Stavins, R. N. </w:t>
      </w:r>
      <w:r>
        <w:t>(</w:t>
      </w:r>
      <w:r w:rsidRPr="00721626">
        <w:t>1995</w:t>
      </w:r>
      <w:r>
        <w:t>)</w:t>
      </w:r>
      <w:r w:rsidRPr="00721626">
        <w:t xml:space="preserve">. Transaction costs and tradeable permits. </w:t>
      </w:r>
      <w:r w:rsidRPr="00BA6226">
        <w:rPr>
          <w:lang w:val="en-US"/>
        </w:rPr>
        <w:t>Journal of environmental</w:t>
      </w:r>
      <w:r>
        <w:rPr>
          <w:lang w:val="en-US"/>
        </w:rPr>
        <w:t xml:space="preserve"> </w:t>
      </w:r>
      <w:r w:rsidRPr="00BA6226">
        <w:rPr>
          <w:lang w:val="en-US"/>
        </w:rPr>
        <w:t>economics and management, 29(2), 133-148.</w:t>
      </w:r>
    </w:p>
    <w:p w14:paraId="66BB8479" w14:textId="1F1D73A1" w:rsidR="00E46AEF" w:rsidRPr="00237440" w:rsidRDefault="00E46AEF">
      <w:pPr>
        <w:jc w:val="both"/>
        <w:rPr>
          <w:b/>
          <w:bCs/>
        </w:rPr>
      </w:pPr>
      <w:r>
        <w:t xml:space="preserve"> </w:t>
      </w:r>
    </w:p>
    <w:sectPr w:rsidR="00E46AEF" w:rsidRPr="0023744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A05B1" w14:textId="77777777" w:rsidR="00DD0516" w:rsidRDefault="00DD0516" w:rsidP="00DD0516">
      <w:pPr>
        <w:spacing w:after="0" w:line="240" w:lineRule="auto"/>
      </w:pPr>
      <w:r>
        <w:separator/>
      </w:r>
    </w:p>
  </w:endnote>
  <w:endnote w:type="continuationSeparator" w:id="0">
    <w:p w14:paraId="7792A602" w14:textId="77777777" w:rsidR="00DD0516" w:rsidRDefault="00DD0516" w:rsidP="00DD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160E" w14:textId="77777777" w:rsidR="00DD0516" w:rsidRDefault="00DD0516" w:rsidP="00DD0516">
      <w:pPr>
        <w:spacing w:after="0" w:line="240" w:lineRule="auto"/>
      </w:pPr>
      <w:r>
        <w:separator/>
      </w:r>
    </w:p>
  </w:footnote>
  <w:footnote w:type="continuationSeparator" w:id="0">
    <w:p w14:paraId="41BE3148" w14:textId="77777777" w:rsidR="00DD0516" w:rsidRDefault="00DD0516" w:rsidP="00DD0516">
      <w:pPr>
        <w:spacing w:after="0" w:line="240" w:lineRule="auto"/>
      </w:pPr>
      <w:r>
        <w:continuationSeparator/>
      </w:r>
    </w:p>
  </w:footnote>
  <w:footnote w:id="1">
    <w:p w14:paraId="5570E191" w14:textId="69A7782C" w:rsidR="008A5086" w:rsidRDefault="008A5086">
      <w:pPr>
        <w:pStyle w:val="FootnoteText"/>
      </w:pPr>
      <w:r>
        <w:rPr>
          <w:rStyle w:val="FootnoteReference"/>
        </w:rPr>
        <w:footnoteRef/>
      </w:r>
      <w:r>
        <w:t xml:space="preserve"> </w:t>
      </w:r>
      <w:r>
        <w:t>Vuosina 2013-2018 suurin osuus energiatuista on maksettu luokkaan ”Muut toimialat” kuuluville yrityksille, joihin kuuluu esimerkiksi kuntien ja kaupunkien liikelaitoksia. Valitettavasti tarkempaa erittelyä tämän ryhmän yrityksistä ei ole Tilastokeskuksen tietojen pohjalta mahdollista tehdä.</w:t>
      </w:r>
    </w:p>
  </w:footnote>
  <w:footnote w:id="2">
    <w:p w14:paraId="58D9B890" w14:textId="5DDB29F0" w:rsidR="00237440" w:rsidRDefault="00237440">
      <w:pPr>
        <w:pStyle w:val="FootnoteText"/>
      </w:pPr>
      <w:r>
        <w:rPr>
          <w:rStyle w:val="FootnoteReference"/>
        </w:rPr>
        <w:footnoteRef/>
      </w:r>
      <w:r>
        <w:t xml:space="preserve"> </w:t>
      </w:r>
      <w:r w:rsidRPr="00237440">
        <w:t>Teorian perusteella selityksenä sille, että päästöoikeuksien alkujaon toteutustavalla olisi merkitystä, voisivat olla transaktiokustannukset tai epätäydellinen kilpailu (Hahn 1984, Stavins 1995).</w:t>
      </w:r>
    </w:p>
  </w:footnote>
  <w:footnote w:id="3">
    <w:p w14:paraId="4CD07C92" w14:textId="77777777" w:rsidR="00D5586B" w:rsidRPr="00E91101" w:rsidRDefault="00D5586B" w:rsidP="00D5586B">
      <w:pPr>
        <w:pStyle w:val="FootnoteText"/>
        <w:jc w:val="both"/>
        <w:rPr>
          <w:rFonts w:ascii="Calibri" w:hAnsi="Calibri" w:cs="Calibri"/>
        </w:rPr>
      </w:pPr>
      <w:r w:rsidRPr="00280117">
        <w:rPr>
          <w:rStyle w:val="FootnoteReference"/>
          <w:rFonts w:ascii="Arial Narrow" w:hAnsi="Arial Narrow"/>
        </w:rPr>
        <w:footnoteRef/>
      </w:r>
      <w:r w:rsidRPr="00280117">
        <w:rPr>
          <w:rFonts w:ascii="Arial Narrow" w:hAnsi="Arial Narrow"/>
        </w:rPr>
        <w:t xml:space="preserve"> </w:t>
      </w:r>
      <w:r w:rsidRPr="00E91101">
        <w:rPr>
          <w:rFonts w:ascii="Calibri" w:hAnsi="Calibri" w:cs="Calibri"/>
        </w:rPr>
        <w:t>Muun teollisuuden laitosten päästöt ja päästöoikeuksien ilmaisjako liittyvät merkittäviltä osin laitosten yhteydessä sijaitsevien teollisuuslämpöä tuottavien polttolaitosten päästöihin. Polttolaitokset ovat EU ETS:n rekisterissä oma sektorinsa sisältäen sekä sähköä että lämpöä tuottavat laitokset. Sähköä tuottavat laitokset eivät saa päästöoikeuksia ilmaiseksi, eikä EU ETS:n rekisteritiedoista laskettu polttolaitosten yhteenlaskettu ilmaisjaon osuus täten vastaa tässä taulukossa esitettyjen teollisuuslaitosten (rivi muut) ilmaisjakoa. Muilla toimialoilla Tilastokeskuksen ja EU ETS:n rekisteritiedot vastaavat paremmin toisiaan.</w:t>
      </w:r>
    </w:p>
  </w:footnote>
  <w:footnote w:id="4">
    <w:p w14:paraId="6C703433" w14:textId="3E9827AD" w:rsidR="00C018E3" w:rsidRDefault="00C018E3">
      <w:pPr>
        <w:pStyle w:val="FootnoteText"/>
      </w:pPr>
      <w:r>
        <w:rPr>
          <w:rStyle w:val="FootnoteReference"/>
        </w:rPr>
        <w:footnoteRef/>
      </w:r>
      <w:r>
        <w:t xml:space="preserve"> </w:t>
      </w:r>
      <w:r w:rsidRPr="00C018E3">
        <w:t>Taloustieteellisessä kirjallisuudessa on jo pitkään pohdittu, saattavatko yritysten energiatehokkuusinvestoinnit jäädä jälkeen siitä, mikä olisi taloudellisesti optimaalista (katsauksia aiheesta ”energy efficiency gap” ovat kirjoittaneet esim. Alcott ja Greenstone 2012 sekä Gillingham ja Palmer 2014). Kansainvälistä empiiristä tutkimusta aiheesta erityisesti teollisuuden osalta on kuitenkin varsin vähän.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FCE"/>
    <w:multiLevelType w:val="hybridMultilevel"/>
    <w:tmpl w:val="86585658"/>
    <w:lvl w:ilvl="0" w:tplc="49EC3C94">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23EF44D7"/>
    <w:multiLevelType w:val="hybridMultilevel"/>
    <w:tmpl w:val="0038DBA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5F0B7AE4"/>
    <w:multiLevelType w:val="hybridMultilevel"/>
    <w:tmpl w:val="0038DBA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628D147D"/>
    <w:multiLevelType w:val="hybridMultilevel"/>
    <w:tmpl w:val="9CF29858"/>
    <w:lvl w:ilvl="0" w:tplc="A190B0CA">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8B06533"/>
    <w:multiLevelType w:val="multilevel"/>
    <w:tmpl w:val="40CA03F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4C"/>
    <w:rsid w:val="00067107"/>
    <w:rsid w:val="000A0A14"/>
    <w:rsid w:val="00175E3D"/>
    <w:rsid w:val="00184A2A"/>
    <w:rsid w:val="00187115"/>
    <w:rsid w:val="00237440"/>
    <w:rsid w:val="00245A1C"/>
    <w:rsid w:val="0025779D"/>
    <w:rsid w:val="002B743A"/>
    <w:rsid w:val="0047285A"/>
    <w:rsid w:val="005856A1"/>
    <w:rsid w:val="005A35C0"/>
    <w:rsid w:val="005D154E"/>
    <w:rsid w:val="005D315D"/>
    <w:rsid w:val="00643BE9"/>
    <w:rsid w:val="0067434C"/>
    <w:rsid w:val="006F5253"/>
    <w:rsid w:val="00783E84"/>
    <w:rsid w:val="007909E0"/>
    <w:rsid w:val="00825330"/>
    <w:rsid w:val="008631B6"/>
    <w:rsid w:val="008A5086"/>
    <w:rsid w:val="008E08A2"/>
    <w:rsid w:val="009A2E3A"/>
    <w:rsid w:val="009B7BA3"/>
    <w:rsid w:val="00A05BFF"/>
    <w:rsid w:val="00B93E93"/>
    <w:rsid w:val="00B94307"/>
    <w:rsid w:val="00BB3D0E"/>
    <w:rsid w:val="00BC3072"/>
    <w:rsid w:val="00C018E3"/>
    <w:rsid w:val="00C77BE7"/>
    <w:rsid w:val="00D5586B"/>
    <w:rsid w:val="00DA77A0"/>
    <w:rsid w:val="00DD0516"/>
    <w:rsid w:val="00E46AEF"/>
    <w:rsid w:val="00F03C7D"/>
    <w:rsid w:val="00FC2A43"/>
    <w:rsid w:val="00FD5B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B667"/>
  <w15:chartTrackingRefBased/>
  <w15:docId w15:val="{0DDB2A1C-3837-4DD8-B7AD-39973B01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3E93"/>
    <w:pPr>
      <w:keepNext/>
      <w:keepLines/>
      <w:numPr>
        <w:numId w:val="2"/>
      </w:numPr>
      <w:suppressAutoHyphens/>
      <w:spacing w:before="300" w:after="240" w:line="240" w:lineRule="auto"/>
      <w:ind w:hanging="36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E93"/>
    <w:rPr>
      <w:rFonts w:ascii="Arial" w:eastAsiaTheme="majorEastAsia" w:hAnsi="Arial" w:cstheme="majorBidi"/>
      <w:b/>
      <w:bCs/>
      <w:szCs w:val="26"/>
    </w:rPr>
  </w:style>
  <w:style w:type="table" w:styleId="TableGrid">
    <w:name w:val="Table Grid"/>
    <w:basedOn w:val="TableNormal"/>
    <w:uiPriority w:val="39"/>
    <w:rsid w:val="0067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D0516"/>
    <w:pPr>
      <w:spacing w:after="0" w:line="240" w:lineRule="auto"/>
    </w:pPr>
    <w:rPr>
      <w:sz w:val="20"/>
      <w:szCs w:val="20"/>
    </w:rPr>
  </w:style>
  <w:style w:type="character" w:customStyle="1" w:styleId="FootnoteTextChar">
    <w:name w:val="Footnote Text Char"/>
    <w:basedOn w:val="DefaultParagraphFont"/>
    <w:link w:val="FootnoteText"/>
    <w:uiPriority w:val="99"/>
    <w:rsid w:val="00DD0516"/>
    <w:rPr>
      <w:sz w:val="20"/>
      <w:szCs w:val="20"/>
    </w:rPr>
  </w:style>
  <w:style w:type="character" w:styleId="FootnoteReference">
    <w:name w:val="footnote reference"/>
    <w:basedOn w:val="DefaultParagraphFont"/>
    <w:uiPriority w:val="99"/>
    <w:semiHidden/>
    <w:unhideWhenUsed/>
    <w:rsid w:val="00DD0516"/>
    <w:rPr>
      <w:vertAlign w:val="superscript"/>
    </w:rPr>
  </w:style>
  <w:style w:type="paragraph" w:styleId="ListParagraph">
    <w:name w:val="List Paragraph"/>
    <w:basedOn w:val="Normal"/>
    <w:uiPriority w:val="34"/>
    <w:qFormat/>
    <w:rsid w:val="00DD0516"/>
    <w:pPr>
      <w:ind w:left="720"/>
      <w:contextualSpacing/>
    </w:pPr>
  </w:style>
  <w:style w:type="character" w:styleId="Hyperlink">
    <w:name w:val="Hyperlink"/>
    <w:basedOn w:val="DefaultParagraphFont"/>
    <w:uiPriority w:val="99"/>
    <w:unhideWhenUsed/>
    <w:rsid w:val="00DD0516"/>
    <w:rPr>
      <w:color w:val="0000FF"/>
      <w:u w:val="single"/>
    </w:rPr>
  </w:style>
  <w:style w:type="table" w:styleId="ListTable2">
    <w:name w:val="List Table 2"/>
    <w:basedOn w:val="TableNormal"/>
    <w:uiPriority w:val="47"/>
    <w:rsid w:val="00D5586B"/>
    <w:pPr>
      <w:spacing w:after="0" w:line="240" w:lineRule="auto"/>
    </w:pPr>
    <w:rPr>
      <w:rFonts w:ascii="Arial Narrow" w:hAnsi="Arial Narrow"/>
      <w:sz w:val="1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color w:val="FFFFFF" w:themeColor="background1"/>
      </w:rPr>
      <w:tblPr/>
      <w:tcPr>
        <w:shd w:val="clear" w:color="auto" w:fill="165976"/>
      </w:tcPr>
    </w:tblStylePr>
    <w:tblStylePr w:type="lastRow">
      <w:rPr>
        <w:b/>
        <w:bCs/>
      </w:r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101A-32D4-42AA-97F1-EA85FADF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1928</Words>
  <Characters>15617</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Laukkanen Marita</dc:creator>
  <cp:keywords/>
  <dc:description/>
  <cp:lastModifiedBy>Laukkanen Marita</cp:lastModifiedBy>
  <cp:revision>21</cp:revision>
  <dcterms:created xsi:type="dcterms:W3CDTF">2020-02-28T06:44:00Z</dcterms:created>
  <dcterms:modified xsi:type="dcterms:W3CDTF">2020-02-28T09:39:00Z</dcterms:modified>
</cp:coreProperties>
</file>