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97B" w:rsidRDefault="0095397B" w:rsidP="0095397B">
      <w:pPr>
        <w:spacing w:after="160" w:line="259" w:lineRule="auto"/>
        <w:rPr>
          <w:rFonts w:ascii="Calibri" w:eastAsia="Calibri" w:hAnsi="Calibri" w:cs="Times New Roman"/>
        </w:rPr>
      </w:pPr>
    </w:p>
    <w:p w:rsidR="0095397B" w:rsidRDefault="0095397B" w:rsidP="0095397B">
      <w:pPr>
        <w:spacing w:after="160" w:line="259" w:lineRule="auto"/>
        <w:rPr>
          <w:rFonts w:ascii="Calibri" w:eastAsia="Calibri" w:hAnsi="Calibri" w:cs="Times New Roman"/>
        </w:rPr>
      </w:pPr>
    </w:p>
    <w:p w:rsidR="0095397B" w:rsidRDefault="0095397B" w:rsidP="0095397B">
      <w:pPr>
        <w:spacing w:after="160" w:line="259" w:lineRule="auto"/>
        <w:rPr>
          <w:rFonts w:ascii="Calibri" w:eastAsia="Calibri" w:hAnsi="Calibri" w:cs="Times New Roman"/>
        </w:rPr>
      </w:pP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Valtiovarainministeriö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Kuulemispyyntö energiaverotuksen uudistamisesta</w:t>
      </w:r>
      <w:r>
        <w:rPr>
          <w:rFonts w:ascii="Calibri" w:eastAsia="Calibri" w:hAnsi="Calibri" w:cs="Times New Roman"/>
        </w:rPr>
        <w:t xml:space="preserve"> 13.2.2020</w:t>
      </w:r>
    </w:p>
    <w:p w:rsidR="0095397B" w:rsidRPr="0095397B" w:rsidRDefault="0095397B" w:rsidP="0095397B">
      <w:pPr>
        <w:spacing w:after="160" w:line="259" w:lineRule="auto"/>
        <w:rPr>
          <w:rFonts w:ascii="Calibri" w:eastAsia="Calibri" w:hAnsi="Calibri" w:cs="Times New Roman"/>
        </w:rPr>
      </w:pPr>
    </w:p>
    <w:p w:rsidR="0095397B" w:rsidRPr="0095397B" w:rsidRDefault="0095397B" w:rsidP="0095397B">
      <w:pPr>
        <w:spacing w:after="160" w:line="259" w:lineRule="auto"/>
        <w:rPr>
          <w:rFonts w:ascii="Calibri" w:eastAsia="Calibri" w:hAnsi="Calibri" w:cs="Times New Roman"/>
        </w:rPr>
      </w:pP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Rinteen/</w:t>
      </w:r>
      <w:proofErr w:type="spellStart"/>
      <w:r w:rsidRPr="0095397B">
        <w:rPr>
          <w:rFonts w:ascii="Calibri" w:eastAsia="Calibri" w:hAnsi="Calibri" w:cs="Times New Roman"/>
        </w:rPr>
        <w:t>Marinin</w:t>
      </w:r>
      <w:proofErr w:type="spellEnd"/>
      <w:r w:rsidRPr="0095397B">
        <w:rPr>
          <w:rFonts w:ascii="Calibri" w:eastAsia="Calibri" w:hAnsi="Calibri" w:cs="Times New Roman"/>
        </w:rPr>
        <w:t xml:space="preserve"> hallitus on ohjelmassaan sitoutunut teollisuussähkön alentamiseen kohti EU:n minimiä ja sen lisäksi toteuttamaan datakeskusten yhdenmukaisen verotuksen.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02/2020 </w:t>
      </w:r>
      <w:proofErr w:type="spellStart"/>
      <w:r w:rsidRPr="0095397B">
        <w:rPr>
          <w:rFonts w:ascii="Calibri" w:eastAsia="Calibri" w:hAnsi="Calibri" w:cs="Times New Roman"/>
        </w:rPr>
        <w:t>Marinin</w:t>
      </w:r>
      <w:proofErr w:type="spellEnd"/>
      <w:r w:rsidRPr="0095397B">
        <w:rPr>
          <w:rFonts w:ascii="Calibri" w:eastAsia="Calibri" w:hAnsi="Calibri" w:cs="Times New Roman"/>
        </w:rPr>
        <w:t xml:space="preserve"> hallituksen ilmastokokouksen yhteydessä tarkennettiin, että teollisuussähkö alennetaan asteittain EU:n minimiin.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Sähköveron laskeminen EU:n minimiin on kannatettava ratkaisu, jolla vahvennetaan Suomen kilpailukykyä ja edistetään Suomen asemaa investointien kohteena. </w:t>
      </w:r>
    </w:p>
    <w:p w:rsidR="0095397B" w:rsidRPr="0095397B" w:rsidRDefault="0095397B" w:rsidP="0095397B">
      <w:pPr>
        <w:spacing w:after="160" w:line="259" w:lineRule="auto"/>
        <w:rPr>
          <w:rFonts w:ascii="Calibri" w:eastAsia="Calibri" w:hAnsi="Calibri" w:cs="Times New Roman"/>
        </w:rPr>
      </w:pPr>
      <w:r>
        <w:rPr>
          <w:rFonts w:ascii="Calibri" w:eastAsia="Calibri" w:hAnsi="Calibri" w:cs="Times New Roman"/>
        </w:rPr>
        <w:t>O</w:t>
      </w:r>
      <w:r w:rsidRPr="0095397B">
        <w:rPr>
          <w:rFonts w:ascii="Calibri" w:eastAsia="Calibri" w:hAnsi="Calibri" w:cs="Times New Roman"/>
        </w:rPr>
        <w:t>n erinomaista, että hallitus on huomioinut datakeskusten epätasa-arvoisen verokohtelun ja haluaa sen nyt yhdenmukaistaa. Kirjauksen mukaan alemman sähköveron piiriin pääsee, jos datakeskus luovuttaa muodostuvan hukkalämmön edelleen käytettäväksi kaukolämpöverkossa. Ilmaston kannalta on tärkeintä se, että muodostuva lämpö hyödynnetään. Kaukolämpöverkkoon luovuttaminen vaatii alueellisessa monopoliasemassa olevan kaukolämpöyhtiön halukkuutta ottaa lämpö vastaan. Lainsäädännön pitää mahdollistaa - vaatimus lämmön talteen ottamisesta riittää.</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Ruotsi alensi teollisuuden sähköveronsa vuonna 2017 EU:n minimitasolle.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Suomessa teollisuussähkön taso on 14 kertainen Ruotsiin verrattuna. Ruotsissa kaikkia yli 0,5 MW:n datakeskuksia kohdellaan tasavertaisesti, jolloin pienten datakeskusten osalta veroero Ruotsiin nähden on jopa 45-kertainen. Suomessa pieneksi datakeskukseksi määritellään &lt; 5 MW.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Suomella ja Ruotsilla on lähtökohtaisesti tasaveroiset vahvuudet palvelinkeskusten kohdemaana: vahva teknologiaosaaminen, luonnonolosuhteet, poliittinen vakaus. Poikkeuksen muodostaa sähkövero. Suomessa merkittävin datakeskusinvestointi on Googlen Haminan datakeskus. Sen sijoituspäätös nimenomaisesti Suomeen tehtiin aikana, jolloin Suomen sähkövero oli matalampi kuin Ruotsissa. Google </w:t>
      </w:r>
      <w:r>
        <w:rPr>
          <w:rFonts w:ascii="Calibri" w:eastAsia="Calibri" w:hAnsi="Calibri" w:cs="Times New Roman"/>
        </w:rPr>
        <w:t>ilmoitti viime syksynä</w:t>
      </w:r>
      <w:r w:rsidRPr="0095397B">
        <w:rPr>
          <w:rFonts w:ascii="Calibri" w:eastAsia="Calibri" w:hAnsi="Calibri" w:cs="Times New Roman"/>
        </w:rPr>
        <w:t xml:space="preserve"> mittavasta 1,2 miljardin euron lisäinvestoinnista.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On realismia, että energiaintensiiviset datakeskukset rakentuvat joka tapauksessa johonkin; pilvipalvelut ovat tulevaisuuden digitaalinen toimiala. Suomi joko on tai ei ole mukana kilpailemassa investointien kohdemaana.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Datakeskusten lisäksi on huomioitava myös datan siirron merkitys modernin yhteiskunnan toiminnassa. Parhaillaan rakennettava 5G-verkko ja datan käytön vuosittainen kasvu ovat tehneet teleyrityksistä varsin energiaintensiivisiä, vaikka energiatehokkuus on merkittävästi kasvanutkin.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Viiden kuluneen vuoden aikana mobiilidatan määrä on noussut 6-kertaiseksi. Samaan aikaan mobiilidatan siirron energiatehokkuus on parantunut merkittävästi. Vuoden 2018 ominaissähkön kulutus on laskenut vuoden 2014 tasosta yli 80%.</w:t>
      </w:r>
    </w:p>
    <w:p w:rsid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lastRenderedPageBreak/>
        <w:t xml:space="preserve">Suomen on digitalisaation edelläkävijämaa. Datakeskukset ja datan tehokas siirto ovat modernin datavetoisen yhteiskunnan kivijalka. Datakeskusliiketoiminta tukee palveluvientiä ja sen kasvua. </w:t>
      </w:r>
    </w:p>
    <w:p w:rsidR="0095397B" w:rsidRPr="0095397B" w:rsidRDefault="0095397B" w:rsidP="0095397B">
      <w:pPr>
        <w:spacing w:after="160" w:line="259" w:lineRule="auto"/>
        <w:rPr>
          <w:rFonts w:ascii="Calibri" w:eastAsia="Calibri" w:hAnsi="Calibri" w:cs="Times New Roman"/>
        </w:rPr>
      </w:pPr>
    </w:p>
    <w:p w:rsidR="0095397B" w:rsidRPr="0095397B" w:rsidRDefault="0095397B" w:rsidP="0095397B">
      <w:pPr>
        <w:spacing w:after="160" w:line="259" w:lineRule="auto"/>
        <w:rPr>
          <w:rFonts w:ascii="Calibri" w:eastAsia="Calibri" w:hAnsi="Calibri" w:cs="Times New Roman"/>
        </w:rPr>
      </w:pPr>
      <w:proofErr w:type="spellStart"/>
      <w:r w:rsidRPr="0095397B">
        <w:rPr>
          <w:rFonts w:ascii="Calibri" w:eastAsia="Calibri" w:hAnsi="Calibri" w:cs="Times New Roman"/>
        </w:rPr>
        <w:t>FiCom</w:t>
      </w:r>
      <w:proofErr w:type="spellEnd"/>
      <w:r w:rsidRPr="0095397B">
        <w:rPr>
          <w:rFonts w:ascii="Calibri" w:eastAsia="Calibri" w:hAnsi="Calibri" w:cs="Times New Roman"/>
        </w:rPr>
        <w:t xml:space="preserve"> kannattaa</w:t>
      </w:r>
      <w:r>
        <w:rPr>
          <w:rFonts w:ascii="Calibri" w:eastAsia="Calibri" w:hAnsi="Calibri" w:cs="Times New Roman"/>
        </w:rPr>
        <w:t>:</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 1) Teollisuuden sähköveron laskemista EU:n minimitasolle heti ensi vuoden alusta lukien.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2) Samassa yhteydessä on tehtävä hallitusohjelmaan kirjattu muutos datakeskusten verotuksen yhdenmukaistamiseksi siten, että hukkalämmön hyödyntämistä koskeva vaatimus laajennetaan koskemaan kaikkea lämmön talteenottoa.  (budjettivaikutus n -15 </w:t>
      </w:r>
      <w:proofErr w:type="spellStart"/>
      <w:r w:rsidRPr="0095397B">
        <w:rPr>
          <w:rFonts w:ascii="Calibri" w:eastAsia="Calibri" w:hAnsi="Calibri" w:cs="Times New Roman"/>
        </w:rPr>
        <w:t>milj</w:t>
      </w:r>
      <w:proofErr w:type="spellEnd"/>
      <w:r w:rsidRPr="0095397B">
        <w:rPr>
          <w:rFonts w:ascii="Calibri" w:eastAsia="Calibri" w:hAnsi="Calibri" w:cs="Times New Roman"/>
        </w:rPr>
        <w:t xml:space="preserve"> €)</w:t>
      </w:r>
    </w:p>
    <w:p w:rsidR="0095397B" w:rsidRPr="0095397B" w:rsidRDefault="0095397B" w:rsidP="0095397B">
      <w:pPr>
        <w:spacing w:after="160" w:line="259" w:lineRule="auto"/>
        <w:rPr>
          <w:rFonts w:ascii="Calibri" w:eastAsia="Calibri" w:hAnsi="Calibri" w:cs="Times New Roman"/>
        </w:rPr>
      </w:pPr>
      <w:r w:rsidRPr="0095397B">
        <w:rPr>
          <w:rFonts w:ascii="Calibri" w:eastAsia="Calibri" w:hAnsi="Calibri" w:cs="Times New Roman"/>
        </w:rPr>
        <w:t xml:space="preserve">3) Lisäksi vielä tukiasemat kiinteänä osana datan siirtoa tulee saada alemman sähköveron piiriin. </w:t>
      </w:r>
    </w:p>
    <w:p w:rsidR="0095397B" w:rsidRPr="0095397B" w:rsidRDefault="0095397B" w:rsidP="0095397B">
      <w:pPr>
        <w:spacing w:after="160" w:line="259" w:lineRule="auto"/>
        <w:rPr>
          <w:rFonts w:ascii="Calibri" w:eastAsia="Calibri" w:hAnsi="Calibri" w:cs="Times New Roman"/>
        </w:rPr>
      </w:pPr>
    </w:p>
    <w:p w:rsidR="0095397B" w:rsidRPr="0095397B" w:rsidRDefault="0095397B" w:rsidP="0095397B">
      <w:pPr>
        <w:spacing w:after="160" w:line="259" w:lineRule="auto"/>
        <w:rPr>
          <w:rFonts w:ascii="Calibri" w:eastAsia="Calibri" w:hAnsi="Calibri" w:cs="Times New Roman"/>
        </w:rPr>
      </w:pPr>
    </w:p>
    <w:p w:rsidR="00BD5F7E" w:rsidRDefault="0095397B" w:rsidP="00D649C4">
      <w:bookmarkStart w:id="0" w:name="_GoBack"/>
      <w:bookmarkEnd w:id="0"/>
      <w:r>
        <w:t>Elina Ussa</w:t>
      </w:r>
    </w:p>
    <w:p w:rsidR="0095397B" w:rsidRDefault="0095397B" w:rsidP="00D649C4">
      <w:r>
        <w:t>toimitusjohtaja</w:t>
      </w:r>
    </w:p>
    <w:p w:rsidR="0095397B" w:rsidRPr="00D649C4" w:rsidRDefault="0095397B" w:rsidP="00D649C4">
      <w:proofErr w:type="spellStart"/>
      <w:r>
        <w:t>FiCom</w:t>
      </w:r>
      <w:proofErr w:type="spellEnd"/>
      <w:r>
        <w:t xml:space="preserve"> ry</w:t>
      </w:r>
    </w:p>
    <w:sectPr w:rsidR="0095397B" w:rsidRPr="00D649C4" w:rsidSect="007547D7">
      <w:footerReference w:type="default" r:id="rId9"/>
      <w:headerReference w:type="first" r:id="rId10"/>
      <w:footerReference w:type="first" r:id="rId11"/>
      <w:pgSz w:w="11906" w:h="16838"/>
      <w:pgMar w:top="1985" w:right="1134" w:bottom="1417" w:left="1134" w:header="737"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7EF" w:rsidRDefault="00C967EF" w:rsidP="00CB1A6D">
      <w:pPr>
        <w:spacing w:line="240" w:lineRule="auto"/>
      </w:pPr>
      <w:r>
        <w:separator/>
      </w:r>
    </w:p>
  </w:endnote>
  <w:endnote w:type="continuationSeparator" w:id="0">
    <w:p w:rsidR="00C967EF" w:rsidRDefault="00C967EF"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A1" w:rsidRDefault="00DD2BA1" w:rsidP="00DD2BA1">
    <w:pPr>
      <w:pStyle w:val="Alatunniste"/>
      <w:jc w:val="center"/>
    </w:pPr>
  </w:p>
  <w:p w:rsidR="00DD2BA1" w:rsidRDefault="00DD2BA1" w:rsidP="00DD2BA1">
    <w:pPr>
      <w:pStyle w:val="Alatunniste"/>
      <w:jc w:val="center"/>
    </w:pPr>
    <w:r>
      <w:t xml:space="preserve">Tietoliikenteen ja tietotekniikan keskusliitto, FiCom ry | Eteläranta 10, 00130 Helsinki | </w:t>
    </w:r>
    <w:r w:rsidRPr="00936062">
      <w:t>www.ficom.fi</w:t>
    </w:r>
  </w:p>
  <w:p w:rsidR="00CB1A6D" w:rsidRDefault="00DD2BA1"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0B1BBE">
      <w:rPr>
        <w:noProof/>
        <w:sz w:val="20"/>
        <w:szCs w:val="20"/>
      </w:rPr>
      <w:t>4</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4823038" wp14:editId="2180C437">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DF02A"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rsidR="00C70747" w:rsidRDefault="00C7074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35D" w:rsidRPr="00C967EF" w:rsidRDefault="0099135D" w:rsidP="0099135D">
    <w:pPr>
      <w:pStyle w:val="Alatunniste"/>
      <w:jc w:val="center"/>
      <w:rPr>
        <w:i/>
        <w:sz w:val="18"/>
        <w:szCs w:val="18"/>
      </w:rPr>
    </w:pPr>
    <w:r w:rsidRPr="00C967EF">
      <w:rPr>
        <w:i/>
        <w:sz w:val="18"/>
        <w:szCs w:val="18"/>
      </w:rPr>
      <w:t>Tietoliikenteen ja tietotekniikan keskusliitto, FiCom ry | Eteläranta 10, 00130 Helsinki | www.ficom.fi</w:t>
    </w:r>
  </w:p>
  <w:p w:rsidR="0099135D" w:rsidRPr="00C967EF" w:rsidRDefault="0099135D" w:rsidP="0099135D">
    <w:pPr>
      <w:pStyle w:val="Alatunniste"/>
      <w:jc w:val="center"/>
      <w:rPr>
        <w:i/>
        <w:sz w:val="18"/>
        <w:szCs w:val="18"/>
      </w:rPr>
    </w:pPr>
    <w:r w:rsidRPr="00C967EF">
      <w:rPr>
        <w:i/>
        <w:sz w:val="18"/>
        <w:szCs w:val="18"/>
      </w:rPr>
      <w:fldChar w:fldCharType="begin"/>
    </w:r>
    <w:r w:rsidRPr="00C967EF">
      <w:rPr>
        <w:i/>
        <w:sz w:val="18"/>
        <w:szCs w:val="18"/>
      </w:rPr>
      <w:instrText>PAGE   \* MERGEFORMAT</w:instrText>
    </w:r>
    <w:r w:rsidRPr="00C967EF">
      <w:rPr>
        <w:i/>
        <w:sz w:val="18"/>
        <w:szCs w:val="18"/>
      </w:rPr>
      <w:fldChar w:fldCharType="separate"/>
    </w:r>
    <w:r w:rsidR="004F4665" w:rsidRPr="00C967EF">
      <w:rPr>
        <w:i/>
        <w:noProof/>
        <w:sz w:val="18"/>
        <w:szCs w:val="18"/>
      </w:rPr>
      <w:t>1</w:t>
    </w:r>
    <w:r w:rsidRPr="00C967EF">
      <w:rPr>
        <w:i/>
        <w:sz w:val="18"/>
        <w:szCs w:val="18"/>
      </w:rPr>
      <w:fldChar w:fldCharType="end"/>
    </w:r>
  </w:p>
  <w:p w:rsidR="0099135D" w:rsidRDefault="0099135D">
    <w:pPr>
      <w:pStyle w:val="Alatunniste"/>
    </w:pPr>
    <w:r>
      <w:rPr>
        <w:noProof/>
        <w:lang w:eastAsia="fi-FI"/>
      </w:rPr>
      <mc:AlternateContent>
        <mc:Choice Requires="wps">
          <w:drawing>
            <wp:anchor distT="0" distB="0" distL="114300" distR="114300" simplePos="0" relativeHeight="251663360" behindDoc="0" locked="0" layoutInCell="1" allowOverlap="1" wp14:anchorId="5CCF47DD" wp14:editId="1704DD80">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A53FB"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7EF" w:rsidRDefault="00C967EF" w:rsidP="00CB1A6D">
      <w:pPr>
        <w:spacing w:line="240" w:lineRule="auto"/>
      </w:pPr>
      <w:r>
        <w:separator/>
      </w:r>
    </w:p>
  </w:footnote>
  <w:footnote w:type="continuationSeparator" w:id="0">
    <w:p w:rsidR="00C967EF" w:rsidRDefault="00C967EF" w:rsidP="00CB1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9A" w:rsidRDefault="00DA1C9A" w:rsidP="00DA1C9A">
    <w:pPr>
      <w:pStyle w:val="Yltunniste"/>
    </w:pPr>
    <w:r>
      <w:rPr>
        <w:noProof/>
        <w:lang w:eastAsia="fi-FI"/>
      </w:rPr>
      <w:drawing>
        <wp:anchor distT="0" distB="0" distL="114300" distR="114300" simplePos="0" relativeHeight="251661312" behindDoc="0" locked="0" layoutInCell="1" allowOverlap="1" wp14:anchorId="1F5C4DF4" wp14:editId="33274E6D">
          <wp:simplePos x="0" y="0"/>
          <wp:positionH relativeFrom="column">
            <wp:posOffset>5001316</wp:posOffset>
          </wp:positionH>
          <wp:positionV relativeFrom="paragraph">
            <wp:posOffset>-373380</wp:posOffset>
          </wp:positionV>
          <wp:extent cx="1650237" cy="1285875"/>
          <wp:effectExtent l="0" t="0" r="762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655587" cy="1290043"/>
                  </a:xfrm>
                  <a:prstGeom prst="rect">
                    <a:avLst/>
                  </a:prstGeom>
                </pic:spPr>
              </pic:pic>
            </a:graphicData>
          </a:graphic>
          <wp14:sizeRelH relativeFrom="page">
            <wp14:pctWidth>0</wp14:pctWidth>
          </wp14:sizeRelH>
          <wp14:sizeRelV relativeFrom="page">
            <wp14:pctHeight>0</wp14:pctHeight>
          </wp14:sizeRelV>
        </wp:anchor>
      </w:drawing>
    </w:r>
    <w:proofErr w:type="spellStart"/>
    <w:r>
      <w:t>FiCom</w:t>
    </w:r>
    <w:proofErr w:type="spellEnd"/>
    <w:r>
      <w:t xml:space="preserve"> ry | </w:t>
    </w:r>
    <w:sdt>
      <w:sdtPr>
        <w:alias w:val="Tekijä"/>
        <w:tag w:val=""/>
        <w:id w:val="-1937041094"/>
        <w:dataBinding w:prefixMappings="xmlns:ns0='http://purl.org/dc/elements/1.1/' xmlns:ns1='http://schemas.openxmlformats.org/package/2006/metadata/core-properties' " w:xpath="/ns1:coreProperties[1]/ns0:creator[1]" w:storeItemID="{6C3C8BC8-F283-45AE-878A-BAB7291924A1}"/>
        <w:text/>
      </w:sdtPr>
      <w:sdtEndPr/>
      <w:sdtContent>
        <w:r w:rsidR="0095397B">
          <w:t>Elina Ussa</w:t>
        </w:r>
      </w:sdtContent>
    </w:sdt>
  </w:p>
  <w:sdt>
    <w:sdtPr>
      <w:alias w:val="Julkaisupäivämäärä"/>
      <w:tag w:val=""/>
      <w:id w:val="633601001"/>
      <w:dataBinding w:prefixMappings="xmlns:ns0='http://schemas.microsoft.com/office/2006/coverPageProps' " w:xpath="/ns0:CoverPageProperties[1]/ns0:PublishDate[1]" w:storeItemID="{55AF091B-3C7A-41E3-B477-F2FDAA23CFDA}"/>
      <w:date w:fullDate="2020-02-12T00:00:00Z">
        <w:dateFormat w:val="d.M.yyyy"/>
        <w:lid w:val="fi-FI"/>
        <w:storeMappedDataAs w:val="dateTime"/>
        <w:calendar w:val="gregorian"/>
      </w:date>
    </w:sdtPr>
    <w:sdtEndPr/>
    <w:sdtContent>
      <w:p w:rsidR="00DA1C9A" w:rsidRDefault="0095397B" w:rsidP="00DA1C9A">
        <w:pPr>
          <w:pStyle w:val="Yltunniste"/>
        </w:pPr>
        <w:r>
          <w:t>12.2.2020</w:t>
        </w:r>
      </w:p>
    </w:sdtContent>
  </w:sdt>
  <w:p w:rsidR="00DA1C9A" w:rsidRDefault="00DA1C9A" w:rsidP="00DA1C9A">
    <w:pPr>
      <w:pStyle w:val="Yltunniste"/>
    </w:pPr>
    <w:r>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429"/>
    <w:multiLevelType w:val="hybridMultilevel"/>
    <w:tmpl w:val="4376630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3892702"/>
    <w:multiLevelType w:val="hybridMultilevel"/>
    <w:tmpl w:val="54AE26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BF64C0"/>
    <w:multiLevelType w:val="hybridMultilevel"/>
    <w:tmpl w:val="B79C81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24A173D0"/>
    <w:multiLevelType w:val="hybridMultilevel"/>
    <w:tmpl w:val="4A32F864"/>
    <w:lvl w:ilvl="0" w:tplc="3D46224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4534A8"/>
    <w:multiLevelType w:val="hybridMultilevel"/>
    <w:tmpl w:val="44746264"/>
    <w:lvl w:ilvl="0" w:tplc="924A99EA">
      <w:start w:val="3"/>
      <w:numFmt w:val="bullet"/>
      <w:lvlText w:val="-"/>
      <w:lvlJc w:val="left"/>
      <w:pPr>
        <w:ind w:left="1660" w:hanging="360"/>
      </w:pPr>
      <w:rPr>
        <w:rFonts w:ascii="Calibri" w:eastAsiaTheme="minorHAnsi" w:hAnsi="Calibri" w:cs="Calibri" w:hint="default"/>
      </w:rPr>
    </w:lvl>
    <w:lvl w:ilvl="1" w:tplc="040B0003">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36CF63AB"/>
    <w:multiLevelType w:val="hybridMultilevel"/>
    <w:tmpl w:val="B7ACED7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06A654C"/>
    <w:multiLevelType w:val="hybridMultilevel"/>
    <w:tmpl w:val="373A24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AFB1F4D"/>
    <w:multiLevelType w:val="hybridMultilevel"/>
    <w:tmpl w:val="ED463A8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72916F75"/>
    <w:multiLevelType w:val="hybridMultilevel"/>
    <w:tmpl w:val="46024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955FBF"/>
    <w:multiLevelType w:val="hybridMultilevel"/>
    <w:tmpl w:val="19E244B4"/>
    <w:lvl w:ilvl="0" w:tplc="A6163D2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6"/>
  </w:num>
  <w:num w:numId="6">
    <w:abstractNumId w:val="2"/>
  </w:num>
  <w:num w:numId="7">
    <w:abstractNumId w:val="3"/>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F"/>
    <w:rsid w:val="000037C3"/>
    <w:rsid w:val="000044EE"/>
    <w:rsid w:val="00011CBB"/>
    <w:rsid w:val="00041CA3"/>
    <w:rsid w:val="000466ED"/>
    <w:rsid w:val="00047B8D"/>
    <w:rsid w:val="00081A89"/>
    <w:rsid w:val="000A7DAC"/>
    <w:rsid w:val="000B1BBE"/>
    <w:rsid w:val="000E316C"/>
    <w:rsid w:val="00102861"/>
    <w:rsid w:val="001047CD"/>
    <w:rsid w:val="001666B8"/>
    <w:rsid w:val="0017049C"/>
    <w:rsid w:val="001A0BD2"/>
    <w:rsid w:val="001B4B83"/>
    <w:rsid w:val="001C3F0A"/>
    <w:rsid w:val="001D0BDB"/>
    <w:rsid w:val="001F090A"/>
    <w:rsid w:val="001F43E2"/>
    <w:rsid w:val="002038C4"/>
    <w:rsid w:val="0020661D"/>
    <w:rsid w:val="00212BA4"/>
    <w:rsid w:val="0021620D"/>
    <w:rsid w:val="00256332"/>
    <w:rsid w:val="00272AC6"/>
    <w:rsid w:val="00292186"/>
    <w:rsid w:val="002948B4"/>
    <w:rsid w:val="002D0016"/>
    <w:rsid w:val="002D3C94"/>
    <w:rsid w:val="002E75B0"/>
    <w:rsid w:val="002F494E"/>
    <w:rsid w:val="00306D0D"/>
    <w:rsid w:val="003145DE"/>
    <w:rsid w:val="003311F5"/>
    <w:rsid w:val="003437F7"/>
    <w:rsid w:val="0036207B"/>
    <w:rsid w:val="00363FFB"/>
    <w:rsid w:val="00376167"/>
    <w:rsid w:val="00392480"/>
    <w:rsid w:val="003C140D"/>
    <w:rsid w:val="003C40B7"/>
    <w:rsid w:val="003E3E8B"/>
    <w:rsid w:val="003F0E5C"/>
    <w:rsid w:val="00412403"/>
    <w:rsid w:val="00423893"/>
    <w:rsid w:val="0044621A"/>
    <w:rsid w:val="00466F86"/>
    <w:rsid w:val="00473A07"/>
    <w:rsid w:val="00481CD7"/>
    <w:rsid w:val="004931C9"/>
    <w:rsid w:val="004A561A"/>
    <w:rsid w:val="004A5873"/>
    <w:rsid w:val="004B627D"/>
    <w:rsid w:val="004F4665"/>
    <w:rsid w:val="00521B44"/>
    <w:rsid w:val="0052788F"/>
    <w:rsid w:val="00541D96"/>
    <w:rsid w:val="0054433A"/>
    <w:rsid w:val="0055457A"/>
    <w:rsid w:val="00576FCB"/>
    <w:rsid w:val="00585BF5"/>
    <w:rsid w:val="00592178"/>
    <w:rsid w:val="005F247A"/>
    <w:rsid w:val="0060077D"/>
    <w:rsid w:val="006072BB"/>
    <w:rsid w:val="006246E5"/>
    <w:rsid w:val="0065709D"/>
    <w:rsid w:val="00672019"/>
    <w:rsid w:val="0067329E"/>
    <w:rsid w:val="006F6BAD"/>
    <w:rsid w:val="00734D02"/>
    <w:rsid w:val="007547D7"/>
    <w:rsid w:val="00756410"/>
    <w:rsid w:val="00772BF1"/>
    <w:rsid w:val="00791D80"/>
    <w:rsid w:val="007944B1"/>
    <w:rsid w:val="007F493A"/>
    <w:rsid w:val="008023BB"/>
    <w:rsid w:val="008025E3"/>
    <w:rsid w:val="0081162A"/>
    <w:rsid w:val="00885D2C"/>
    <w:rsid w:val="008A2B44"/>
    <w:rsid w:val="008B3D76"/>
    <w:rsid w:val="008F023A"/>
    <w:rsid w:val="00901C24"/>
    <w:rsid w:val="00907DCB"/>
    <w:rsid w:val="00910A9D"/>
    <w:rsid w:val="00931EAE"/>
    <w:rsid w:val="00936062"/>
    <w:rsid w:val="009429D8"/>
    <w:rsid w:val="00951C00"/>
    <w:rsid w:val="0095397B"/>
    <w:rsid w:val="00953C74"/>
    <w:rsid w:val="009830AD"/>
    <w:rsid w:val="0099135D"/>
    <w:rsid w:val="009B73EE"/>
    <w:rsid w:val="009E4739"/>
    <w:rsid w:val="009E5D42"/>
    <w:rsid w:val="009E7018"/>
    <w:rsid w:val="009F593D"/>
    <w:rsid w:val="00A10752"/>
    <w:rsid w:val="00A16964"/>
    <w:rsid w:val="00A51CEE"/>
    <w:rsid w:val="00A53A04"/>
    <w:rsid w:val="00AB7B50"/>
    <w:rsid w:val="00AE2067"/>
    <w:rsid w:val="00AF15A6"/>
    <w:rsid w:val="00B0098E"/>
    <w:rsid w:val="00B00D35"/>
    <w:rsid w:val="00B0645F"/>
    <w:rsid w:val="00B12AF6"/>
    <w:rsid w:val="00B22AF3"/>
    <w:rsid w:val="00B24936"/>
    <w:rsid w:val="00B40C1E"/>
    <w:rsid w:val="00B941DA"/>
    <w:rsid w:val="00BB79D2"/>
    <w:rsid w:val="00BC08EF"/>
    <w:rsid w:val="00BD5F7E"/>
    <w:rsid w:val="00C10284"/>
    <w:rsid w:val="00C105D0"/>
    <w:rsid w:val="00C3595A"/>
    <w:rsid w:val="00C643AE"/>
    <w:rsid w:val="00C70747"/>
    <w:rsid w:val="00C817FD"/>
    <w:rsid w:val="00C967EF"/>
    <w:rsid w:val="00CA5166"/>
    <w:rsid w:val="00CA7460"/>
    <w:rsid w:val="00CB1A6D"/>
    <w:rsid w:val="00CC3FBE"/>
    <w:rsid w:val="00CD163E"/>
    <w:rsid w:val="00CE5A9E"/>
    <w:rsid w:val="00CF1AC7"/>
    <w:rsid w:val="00D1324E"/>
    <w:rsid w:val="00D15D89"/>
    <w:rsid w:val="00D362A3"/>
    <w:rsid w:val="00D645DA"/>
    <w:rsid w:val="00D649C4"/>
    <w:rsid w:val="00D74580"/>
    <w:rsid w:val="00D831E6"/>
    <w:rsid w:val="00D87C0D"/>
    <w:rsid w:val="00D95277"/>
    <w:rsid w:val="00DA1C9A"/>
    <w:rsid w:val="00DC082B"/>
    <w:rsid w:val="00DD2A27"/>
    <w:rsid w:val="00DD2BA1"/>
    <w:rsid w:val="00DF26A3"/>
    <w:rsid w:val="00DF7FB1"/>
    <w:rsid w:val="00E12EAC"/>
    <w:rsid w:val="00E163C5"/>
    <w:rsid w:val="00E17956"/>
    <w:rsid w:val="00E406D0"/>
    <w:rsid w:val="00E47F3C"/>
    <w:rsid w:val="00E64262"/>
    <w:rsid w:val="00E6585F"/>
    <w:rsid w:val="00EB36C0"/>
    <w:rsid w:val="00EC4AAC"/>
    <w:rsid w:val="00EE2FFE"/>
    <w:rsid w:val="00EF0005"/>
    <w:rsid w:val="00EF2057"/>
    <w:rsid w:val="00EF5B6A"/>
    <w:rsid w:val="00F33A36"/>
    <w:rsid w:val="00F35571"/>
    <w:rsid w:val="00F4637C"/>
    <w:rsid w:val="00F73F98"/>
    <w:rsid w:val="00F90447"/>
    <w:rsid w:val="00FA3463"/>
    <w:rsid w:val="00FB0F90"/>
    <w:rsid w:val="00FD54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471C1"/>
  <w15:chartTrackingRefBased/>
  <w15:docId w15:val="{35F4B6A2-1F14-4DD6-AC29-D821B22D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F4665"/>
    <w:pPr>
      <w:spacing w:after="0" w:line="276" w:lineRule="auto"/>
    </w:p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Luettelokappale">
    <w:name w:val="List Paragraph"/>
    <w:basedOn w:val="Normaali"/>
    <w:uiPriority w:val="34"/>
    <w:qFormat/>
    <w:rsid w:val="002F494E"/>
    <w:pPr>
      <w:spacing w:after="160" w:line="259" w:lineRule="auto"/>
      <w:ind w:left="720"/>
      <w:contextualSpacing/>
    </w:pPr>
  </w:style>
  <w:style w:type="character" w:customStyle="1" w:styleId="Ratkaisematonmaininta1">
    <w:name w:val="Ratkaisematon maininta1"/>
    <w:basedOn w:val="Kappaleenoletusfontti"/>
    <w:uiPriority w:val="99"/>
    <w:semiHidden/>
    <w:unhideWhenUsed/>
    <w:rsid w:val="00EF0005"/>
    <w:rPr>
      <w:color w:val="808080"/>
      <w:shd w:val="clear" w:color="auto" w:fill="E6E6E6"/>
    </w:rPr>
  </w:style>
  <w:style w:type="character" w:styleId="Maininta">
    <w:name w:val="Mention"/>
    <w:basedOn w:val="Kappaleenoletusfontti"/>
    <w:uiPriority w:val="99"/>
    <w:semiHidden/>
    <w:unhideWhenUsed/>
    <w:rsid w:val="00FB0F90"/>
    <w:rPr>
      <w:color w:val="2B579A"/>
      <w:shd w:val="clear" w:color="auto" w:fill="E6E6E6"/>
    </w:rPr>
  </w:style>
  <w:style w:type="character" w:styleId="Ratkaisematonmaininta">
    <w:name w:val="Unresolved Mention"/>
    <w:basedOn w:val="Kappaleenoletusfontti"/>
    <w:uiPriority w:val="99"/>
    <w:semiHidden/>
    <w:unhideWhenUsed/>
    <w:rsid w:val="009830AD"/>
    <w:rPr>
      <w:color w:val="808080"/>
      <w:shd w:val="clear" w:color="auto" w:fill="E6E6E6"/>
    </w:rPr>
  </w:style>
  <w:style w:type="character" w:styleId="AvattuHyperlinkki">
    <w:name w:val="FollowedHyperlink"/>
    <w:basedOn w:val="Kappaleenoletusfontti"/>
    <w:uiPriority w:val="99"/>
    <w:semiHidden/>
    <w:unhideWhenUsed/>
    <w:rsid w:val="00B00D35"/>
    <w:rPr>
      <w:color w:val="954F72" w:themeColor="followedHyperlink"/>
      <w:u w:val="single"/>
    </w:rPr>
  </w:style>
  <w:style w:type="paragraph" w:styleId="NormaaliWWW">
    <w:name w:val="Normal (Web)"/>
    <w:basedOn w:val="Normaali"/>
    <w:uiPriority w:val="99"/>
    <w:semiHidden/>
    <w:unhideWhenUsed/>
    <w:rsid w:val="00AF15A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437">
      <w:bodyDiv w:val="1"/>
      <w:marLeft w:val="0"/>
      <w:marRight w:val="0"/>
      <w:marTop w:val="0"/>
      <w:marBottom w:val="0"/>
      <w:divBdr>
        <w:top w:val="none" w:sz="0" w:space="0" w:color="auto"/>
        <w:left w:val="none" w:sz="0" w:space="0" w:color="auto"/>
        <w:bottom w:val="none" w:sz="0" w:space="0" w:color="auto"/>
        <w:right w:val="none" w:sz="0" w:space="0" w:color="auto"/>
      </w:divBdr>
    </w:div>
    <w:div w:id="130292256">
      <w:bodyDiv w:val="1"/>
      <w:marLeft w:val="0"/>
      <w:marRight w:val="0"/>
      <w:marTop w:val="0"/>
      <w:marBottom w:val="0"/>
      <w:divBdr>
        <w:top w:val="none" w:sz="0" w:space="0" w:color="auto"/>
        <w:left w:val="none" w:sz="0" w:space="0" w:color="auto"/>
        <w:bottom w:val="none" w:sz="0" w:space="0" w:color="auto"/>
        <w:right w:val="none" w:sz="0" w:space="0" w:color="auto"/>
      </w:divBdr>
    </w:div>
    <w:div w:id="848714401">
      <w:bodyDiv w:val="1"/>
      <w:marLeft w:val="0"/>
      <w:marRight w:val="0"/>
      <w:marTop w:val="0"/>
      <w:marBottom w:val="0"/>
      <w:divBdr>
        <w:top w:val="none" w:sz="0" w:space="0" w:color="auto"/>
        <w:left w:val="none" w:sz="0" w:space="0" w:color="auto"/>
        <w:bottom w:val="none" w:sz="0" w:space="0" w:color="auto"/>
        <w:right w:val="none" w:sz="0" w:space="0" w:color="auto"/>
      </w:divBdr>
    </w:div>
    <w:div w:id="1032807621">
      <w:bodyDiv w:val="1"/>
      <w:marLeft w:val="0"/>
      <w:marRight w:val="0"/>
      <w:marTop w:val="0"/>
      <w:marBottom w:val="0"/>
      <w:divBdr>
        <w:top w:val="none" w:sz="0" w:space="0" w:color="auto"/>
        <w:left w:val="none" w:sz="0" w:space="0" w:color="auto"/>
        <w:bottom w:val="none" w:sz="0" w:space="0" w:color="auto"/>
        <w:right w:val="none" w:sz="0" w:space="0" w:color="auto"/>
      </w:divBdr>
    </w:div>
    <w:div w:id="1683242551">
      <w:bodyDiv w:val="1"/>
      <w:marLeft w:val="0"/>
      <w:marRight w:val="0"/>
      <w:marTop w:val="0"/>
      <w:marBottom w:val="0"/>
      <w:divBdr>
        <w:top w:val="none" w:sz="0" w:space="0" w:color="auto"/>
        <w:left w:val="none" w:sz="0" w:space="0" w:color="auto"/>
        <w:bottom w:val="none" w:sz="0" w:space="0" w:color="auto"/>
        <w:right w:val="none" w:sz="0" w:space="0" w:color="auto"/>
      </w:divBdr>
    </w:div>
    <w:div w:id="19890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47D81-62AE-4FCA-B406-9E5FCF96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2965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Ussa</dc:creator>
  <cp:keywords/>
  <dc:description/>
  <cp:lastModifiedBy>Elina Ussa</cp:lastModifiedBy>
  <cp:revision>3</cp:revision>
  <dcterms:created xsi:type="dcterms:W3CDTF">2020-02-12T13:36:00Z</dcterms:created>
  <dcterms:modified xsi:type="dcterms:W3CDTF">2020-02-12T13:37:00Z</dcterms:modified>
</cp:coreProperties>
</file>