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  <w:bookmarkStart w:id="0" w:name="_GoBack"/>
      <w:bookmarkEnd w:id="0"/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6A604A">
        <w:rPr>
          <w:rFonts w:ascii="Times New Roman" w:hAnsi="Times New Roman"/>
          <w:b/>
          <w:noProof/>
          <w:color w:val="000000"/>
          <w:sz w:val="24"/>
        </w:rPr>
        <w:t>ARIITALAUTAKUNNAN KOKOONPANO 1</w:t>
      </w:r>
      <w:r w:rsidR="004645D3">
        <w:rPr>
          <w:rFonts w:ascii="Times New Roman" w:hAnsi="Times New Roman"/>
          <w:b/>
          <w:noProof/>
          <w:color w:val="000000"/>
          <w:sz w:val="24"/>
        </w:rPr>
        <w:t>6</w:t>
      </w:r>
      <w:r w:rsidR="006A604A">
        <w:rPr>
          <w:rFonts w:ascii="Times New Roman" w:hAnsi="Times New Roman"/>
          <w:b/>
          <w:noProof/>
          <w:color w:val="000000"/>
          <w:sz w:val="24"/>
        </w:rPr>
        <w:t>.</w:t>
      </w:r>
      <w:r w:rsidR="004645D3">
        <w:rPr>
          <w:rFonts w:ascii="Times New Roman" w:hAnsi="Times New Roman"/>
          <w:b/>
          <w:noProof/>
          <w:color w:val="000000"/>
          <w:sz w:val="24"/>
        </w:rPr>
        <w:t>11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C93DBC">
        <w:rPr>
          <w:rFonts w:ascii="Times New Roman" w:hAnsi="Times New Roman"/>
          <w:b/>
          <w:noProof/>
          <w:color w:val="000000"/>
          <w:sz w:val="24"/>
        </w:rPr>
        <w:t>5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 xml:space="preserve">Ville </w:t>
      </w:r>
      <w:proofErr w:type="spellStart"/>
      <w:r w:rsidR="00A76B3E">
        <w:rPr>
          <w:rFonts w:ascii="Times New Roman" w:hAnsi="Times New Roman"/>
          <w:sz w:val="24"/>
        </w:rPr>
        <w:t>Pönkä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A76B3E" w:rsidP="00311EC7">
      <w:pPr>
        <w:ind w:left="2608"/>
        <w:rPr>
          <w:rFonts w:ascii="Times New Roman" w:hAnsi="Times New Roman"/>
          <w:sz w:val="24"/>
        </w:rPr>
      </w:pPr>
      <w:r w:rsidRPr="00A76B3E">
        <w:rPr>
          <w:rFonts w:ascii="Times New Roman" w:hAnsi="Times New Roman"/>
          <w:sz w:val="24"/>
        </w:rPr>
        <w:t xml:space="preserve">Siviili- ja kauppaoikeuden yliopistonlehtori, OTT Ville </w:t>
      </w:r>
      <w:proofErr w:type="spellStart"/>
      <w:r w:rsidRPr="00A76B3E">
        <w:rPr>
          <w:rFonts w:ascii="Times New Roman" w:hAnsi="Times New Roman"/>
          <w:sz w:val="24"/>
        </w:rPr>
        <w:t>Pönkä</w:t>
      </w:r>
      <w:proofErr w:type="spellEnd"/>
      <w:r w:rsidRPr="00A76B3E">
        <w:rPr>
          <w:rFonts w:ascii="Times New Roman" w:hAnsi="Times New Roman"/>
          <w:sz w:val="24"/>
        </w:rPr>
        <w:t>, Helsingin yliopisto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4645D3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4645D3">
        <w:rPr>
          <w:rFonts w:ascii="Times New Roman" w:hAnsi="Times New Roman"/>
          <w:sz w:val="24"/>
          <w:szCs w:val="24"/>
        </w:rPr>
        <w:t>Eläinlääkäri</w:t>
      </w:r>
      <w:r w:rsidR="004645D3" w:rsidRPr="004645D3">
        <w:rPr>
          <w:rFonts w:ascii="Times New Roman" w:hAnsi="Times New Roman"/>
          <w:sz w:val="24"/>
          <w:szCs w:val="24"/>
        </w:rPr>
        <w:t>, toimitusjohtaja Sinikka Sarpanen, Kuopion Eläinlääkärike</w:t>
      </w:r>
      <w:r w:rsidR="004645D3" w:rsidRPr="004645D3">
        <w:rPr>
          <w:rFonts w:ascii="Times New Roman" w:hAnsi="Times New Roman"/>
          <w:sz w:val="24"/>
          <w:szCs w:val="24"/>
        </w:rPr>
        <w:t>s</w:t>
      </w:r>
      <w:r w:rsidR="004645D3" w:rsidRPr="004645D3">
        <w:rPr>
          <w:rFonts w:ascii="Times New Roman" w:hAnsi="Times New Roman"/>
          <w:sz w:val="24"/>
          <w:szCs w:val="24"/>
        </w:rPr>
        <w:t>kus Oy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425C2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425C2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D425C2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4645D3" w:rsidP="004645D3">
          <w:pPr>
            <w:pStyle w:val="akpylatunniste"/>
          </w:pPr>
          <w:r>
            <w:rPr>
              <w:rStyle w:val="akppaivays"/>
            </w:rPr>
            <w:t>3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11</w:t>
          </w:r>
          <w:r w:rsidR="00311EC7">
            <w:rPr>
              <w:rStyle w:val="akppaivays"/>
            </w:rPr>
            <w:t>.201</w:t>
          </w:r>
          <w:r w:rsidR="00D81538"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645D3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25C2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4063-9F4D-4691-9990-4417F20D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1438</Words>
  <Characters>11655</Characters>
  <Application>Microsoft Office Word</Application>
  <DocSecurity>0</DocSecurity>
  <Lines>97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3</cp:revision>
  <cp:lastPrinted>2015-11-03T12:04:00Z</cp:lastPrinted>
  <dcterms:created xsi:type="dcterms:W3CDTF">2015-11-03T08:18:00Z</dcterms:created>
  <dcterms:modified xsi:type="dcterms:W3CDTF">2015-11-03T12:04:00Z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