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966B06" w:rsidTr="005C7446">
        <w:trPr>
          <w:cantSplit/>
          <w:trHeight w:hRule="exact" w:val="255"/>
        </w:trPr>
        <w:tc>
          <w:tcPr>
            <w:tcW w:w="5166" w:type="dxa"/>
            <w:tcBorders>
              <w:top w:val="nil"/>
              <w:left w:val="nil"/>
              <w:bottom w:val="nil"/>
              <w:right w:val="nil"/>
            </w:tcBorders>
          </w:tcPr>
          <w:p w:rsidR="00916620" w:rsidRPr="00966B06" w:rsidRDefault="00916620" w:rsidP="002D334D">
            <w:pPr>
              <w:pStyle w:val="Normaali9pt"/>
            </w:pPr>
          </w:p>
        </w:tc>
        <w:tc>
          <w:tcPr>
            <w:tcW w:w="2617" w:type="dxa"/>
            <w:tcBorders>
              <w:top w:val="nil"/>
              <w:left w:val="nil"/>
              <w:bottom w:val="nil"/>
              <w:right w:val="nil"/>
            </w:tcBorders>
          </w:tcPr>
          <w:p w:rsidR="00916620" w:rsidRPr="00966B06" w:rsidRDefault="007267B8" w:rsidP="007A598C">
            <w:pPr>
              <w:pStyle w:val="Normaali9pt"/>
              <w:rPr>
                <w:b/>
              </w:rPr>
            </w:pPr>
            <w:r>
              <w:rPr>
                <w:b/>
              </w:rPr>
              <w:t>Muistio</w:t>
            </w:r>
          </w:p>
        </w:tc>
        <w:tc>
          <w:tcPr>
            <w:tcW w:w="2565" w:type="dxa"/>
            <w:tcBorders>
              <w:top w:val="nil"/>
              <w:left w:val="nil"/>
              <w:bottom w:val="nil"/>
              <w:right w:val="nil"/>
            </w:tcBorders>
          </w:tcPr>
          <w:p w:rsidR="00916620" w:rsidRPr="00966B06" w:rsidRDefault="00AB2369" w:rsidP="002D334D">
            <w:pPr>
              <w:pStyle w:val="Normaali9pt"/>
            </w:pPr>
            <w:r w:rsidRPr="00AB2369">
              <w:t>LVM/145/03/2018</w:t>
            </w: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FE355C" w:rsidP="002D334D">
            <w:pPr>
              <w:pStyle w:val="Normaali9pt"/>
            </w:pPr>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7267B8" w:rsidP="007267B8">
            <w:pPr>
              <w:pStyle w:val="Normaali9pt"/>
            </w:pPr>
            <w:r>
              <w:t>PAO / PMA</w:t>
            </w: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D63177" w:rsidP="00AB2369">
            <w:pPr>
              <w:pStyle w:val="Normaali9pt"/>
            </w:pPr>
            <w:fldSimple w:instr=" DOCPROPERTY  tweb_doc_identifier  \* MERGEFORMAT ">
              <w:r w:rsidR="00E079D7">
                <w:t>LVM/145/03/2018</w:t>
              </w:r>
            </w:fldSimple>
          </w:p>
        </w:tc>
      </w:tr>
      <w:tr w:rsidR="00FE355C" w:rsidRPr="00966B06" w:rsidTr="005C7446">
        <w:trPr>
          <w:cantSplit/>
          <w:trHeight w:hRule="exact" w:val="255"/>
        </w:trPr>
        <w:tc>
          <w:tcPr>
            <w:tcW w:w="5166" w:type="dxa"/>
            <w:tcBorders>
              <w:top w:val="nil"/>
              <w:left w:val="nil"/>
              <w:bottom w:val="nil"/>
              <w:right w:val="nil"/>
            </w:tcBorders>
          </w:tcPr>
          <w:p w:rsidR="00FE355C" w:rsidRPr="00966B06" w:rsidRDefault="007267B8" w:rsidP="002D334D">
            <w:pPr>
              <w:pStyle w:val="Normaali9pt"/>
            </w:pPr>
            <w:r>
              <w:t>Still</w:t>
            </w:r>
          </w:p>
        </w:tc>
        <w:tc>
          <w:tcPr>
            <w:tcW w:w="2617" w:type="dxa"/>
            <w:tcBorders>
              <w:top w:val="nil"/>
              <w:left w:val="nil"/>
              <w:bottom w:val="nil"/>
              <w:right w:val="nil"/>
            </w:tcBorders>
          </w:tcPr>
          <w:p w:rsidR="00FE355C" w:rsidRPr="00966B06" w:rsidRDefault="00D63177" w:rsidP="002D334D">
            <w:pPr>
              <w:pStyle w:val="Normaali9pt"/>
            </w:pPr>
            <w:r>
              <w:t>27.6.2018</w:t>
            </w:r>
          </w:p>
        </w:tc>
        <w:tc>
          <w:tcPr>
            <w:tcW w:w="2565" w:type="dxa"/>
            <w:tcBorders>
              <w:top w:val="nil"/>
              <w:left w:val="nil"/>
              <w:bottom w:val="nil"/>
              <w:right w:val="nil"/>
            </w:tcBorders>
          </w:tcPr>
          <w:p w:rsidR="00FE355C" w:rsidRPr="00966B06" w:rsidRDefault="00D63177" w:rsidP="007267B8">
            <w:pPr>
              <w:pStyle w:val="Normaali9pt"/>
            </w:pPr>
            <w:r>
              <w:fldChar w:fldCharType="begin"/>
            </w:r>
            <w:r>
              <w:instrText xml:space="preserve"> DOCPROPERTY  tweb_doc_publicityclass  \* MERGEFORMAT </w:instrText>
            </w:r>
            <w:r>
              <w:fldChar w:fldCharType="end"/>
            </w:r>
          </w:p>
        </w:tc>
      </w:tr>
      <w:tr w:rsidR="00FE355C" w:rsidRPr="00966B06" w:rsidTr="005C7446">
        <w:trPr>
          <w:cantSplit/>
          <w:trHeight w:hRule="exact" w:val="624"/>
        </w:trPr>
        <w:tc>
          <w:tcPr>
            <w:tcW w:w="5166" w:type="dxa"/>
            <w:tcBorders>
              <w:top w:val="nil"/>
              <w:left w:val="nil"/>
              <w:bottom w:val="nil"/>
              <w:right w:val="nil"/>
            </w:tcBorders>
          </w:tcPr>
          <w:p w:rsidR="00FE355C" w:rsidRPr="00966B06" w:rsidRDefault="00FE355C" w:rsidP="002D334D">
            <w:pPr>
              <w:pStyle w:val="Normaali9pt"/>
            </w:pPr>
          </w:p>
        </w:tc>
        <w:tc>
          <w:tcPr>
            <w:tcW w:w="2617" w:type="dxa"/>
            <w:tcBorders>
              <w:top w:val="nil"/>
              <w:left w:val="nil"/>
              <w:bottom w:val="nil"/>
              <w:right w:val="nil"/>
            </w:tcBorders>
          </w:tcPr>
          <w:p w:rsidR="00FE355C" w:rsidRPr="00966B06" w:rsidRDefault="00FE355C" w:rsidP="002D334D">
            <w:pPr>
              <w:pStyle w:val="Normaali9pt"/>
            </w:pPr>
          </w:p>
        </w:tc>
        <w:tc>
          <w:tcPr>
            <w:tcW w:w="2565" w:type="dxa"/>
            <w:tcBorders>
              <w:top w:val="nil"/>
              <w:left w:val="nil"/>
              <w:bottom w:val="nil"/>
              <w:right w:val="nil"/>
            </w:tcBorders>
          </w:tcPr>
          <w:p w:rsidR="00FE355C" w:rsidRPr="00966B06" w:rsidRDefault="00D63177" w:rsidP="007267B8">
            <w:pPr>
              <w:pStyle w:val="Normaali9pt"/>
            </w:pPr>
            <w:r>
              <w:fldChar w:fldCharType="begin"/>
            </w:r>
            <w:r>
              <w:instrText xml:space="preserve"> DOCPROPERTY  tweb_doc_securityreason  \* MERGEFORMAT </w:instrText>
            </w:r>
            <w:r>
              <w:fldChar w:fldCharType="end"/>
            </w:r>
          </w:p>
        </w:tc>
      </w:tr>
    </w:tbl>
    <w:p w:rsidR="000E60B6" w:rsidRPr="00966B06" w:rsidRDefault="000E60B6" w:rsidP="009F18EF">
      <w:pPr>
        <w:sectPr w:rsidR="000E60B6" w:rsidRPr="00966B06" w:rsidSect="00F916C2">
          <w:headerReference w:type="default" r:id="rId7"/>
          <w:footerReference w:type="default" r:id="rId8"/>
          <w:headerReference w:type="first" r:id="rId9"/>
          <w:footerReference w:type="first" r:id="rId10"/>
          <w:pgSz w:w="11906" w:h="16838" w:code="9"/>
          <w:pgMar w:top="1134" w:right="567" w:bottom="1616" w:left="1134" w:header="612" w:footer="284" w:gutter="0"/>
          <w:cols w:space="720"/>
          <w:titlePg/>
          <w:docGrid w:linePitch="360"/>
        </w:sectPr>
      </w:pPr>
    </w:p>
    <w:p w:rsidR="009F18EF" w:rsidRDefault="007267B8" w:rsidP="005C7446">
      <w:pPr>
        <w:pStyle w:val="Otsikko"/>
      </w:pPr>
      <w:r w:rsidRPr="007267B8">
        <w:t>Lausuntoyhteenveto luonnoksesta valtioneuvoston asetukseksi ajoneuvojen käytöstä tiellä annetun asetuksen muuttamisesta</w:t>
      </w:r>
    </w:p>
    <w:p w:rsidR="007267B8" w:rsidRPr="007267B8" w:rsidRDefault="007267B8" w:rsidP="007267B8">
      <w:pPr>
        <w:pStyle w:val="Leipteksti"/>
      </w:pPr>
    </w:p>
    <w:p w:rsidR="007267B8" w:rsidRDefault="007267B8" w:rsidP="007267B8">
      <w:pPr>
        <w:pStyle w:val="Leipteksti"/>
      </w:pPr>
      <w:r>
        <w:t>Asetusehdotuksesta saatiin 45 lausuntoa. Lausunnonantajista Tulli ilmoitti, että sillä ei ole lausuttavaa.</w:t>
      </w:r>
    </w:p>
    <w:p w:rsidR="007267B8" w:rsidRDefault="007267B8" w:rsidP="007267B8">
      <w:pPr>
        <w:pStyle w:val="Leipteksti"/>
        <w:ind w:left="3912"/>
      </w:pPr>
    </w:p>
    <w:p w:rsidR="007267B8" w:rsidRDefault="007267B8" w:rsidP="007267B8">
      <w:pPr>
        <w:pStyle w:val="Leipteksti"/>
      </w:pPr>
      <w:r>
        <w:t>Valtaosa lausunnon antajista kannatti ajoneuvojen pituuden kasvattamista sekä uudentyyppisten ajoneuvoyhdistelmien sallimista tiellä käytettäväksi. Esityksen todettiin parantavan kuljetustehokkuutta ja vähentävän ympäristöpäästöjä, mutta todettiin, että korottamalla lisäksi suurimpia tiellä yleisesti sallitt</w:t>
      </w:r>
      <w:r w:rsidR="004F5F88">
        <w:t>uja massoja voitaisiin kuljetus</w:t>
      </w:r>
      <w:r>
        <w:t>tehokkuutta lisätä ja ympäristöpäästöjä vähentää vielä enemmän.</w:t>
      </w:r>
      <w:r w:rsidR="000A60EF">
        <w:t xml:space="preserve"> </w:t>
      </w:r>
      <w:r w:rsidR="004F5F88">
        <w:t xml:space="preserve"> </w:t>
      </w:r>
      <w:r>
        <w:t xml:space="preserve"> </w:t>
      </w:r>
    </w:p>
    <w:p w:rsidR="007267B8" w:rsidRDefault="007267B8" w:rsidP="007267B8">
      <w:pPr>
        <w:pStyle w:val="Leipteksti"/>
      </w:pPr>
    </w:p>
    <w:p w:rsidR="007267B8" w:rsidRDefault="007267B8" w:rsidP="007267B8">
      <w:pPr>
        <w:pStyle w:val="Leipteksti"/>
      </w:pPr>
      <w:r>
        <w:t xml:space="preserve">Muutamassa lausunnossa todettiin, että nykyistä pitempiä yhdistelmiä ei tulisi sallia yleisesti liikenteeseen vaan niiden käyttö liikenteessä tulisi olla luvanvaraista, jolloin voitaisiin varmistua ajoneuvojen tekniikan ja kuljettajien osaamisen riittävyydestä sekä reiteistä, joilla näitä yhdistelmiä pystytään kuljettamaan tiestön kuntoa ja liikenneturvallisuutta vaarantamatta. </w:t>
      </w:r>
    </w:p>
    <w:p w:rsidR="007267B8" w:rsidRDefault="007267B8" w:rsidP="007267B8">
      <w:pPr>
        <w:pStyle w:val="Leipteksti"/>
      </w:pPr>
    </w:p>
    <w:p w:rsidR="007267B8" w:rsidRDefault="007267B8" w:rsidP="007267B8">
      <w:pPr>
        <w:pStyle w:val="Leipteksti"/>
      </w:pPr>
      <w:r>
        <w:t xml:space="preserve">Aalto yliopisto piti koko asetuksen antamista ongelmallisena liikenneturvallisuussyistä. Aalto yliopiston lausunnon mukaan suuremmat ympäristövaikutukset olisi saavutettavissa muilla keinoin eikä esityksessä ole arvioitu riittävästi ehdotusten liikenneturvallisuusvaikutuksia. </w:t>
      </w:r>
    </w:p>
    <w:p w:rsidR="007267B8" w:rsidRDefault="007267B8" w:rsidP="007267B8">
      <w:pPr>
        <w:pStyle w:val="Leipteksti"/>
      </w:pPr>
    </w:p>
    <w:p w:rsidR="007267B8" w:rsidRDefault="007267B8" w:rsidP="007267B8">
      <w:pPr>
        <w:pStyle w:val="Leipteksti"/>
      </w:pPr>
      <w:r>
        <w:t xml:space="preserve">Lausunnossa kyseenalaistettiin esityksessä ehdotettavien pitkiltä ajoneuvoyhdistelmiltä vaadittavien turvajärjestelmien tarpeellisuus tai vaatimuksia ei pidetty järjestelmien ominaisuuksia koskevien vaatimusten osalta riittävinä. </w:t>
      </w:r>
    </w:p>
    <w:p w:rsidR="007267B8" w:rsidRDefault="007267B8" w:rsidP="007267B8">
      <w:pPr>
        <w:pStyle w:val="Leipteksti"/>
      </w:pPr>
    </w:p>
    <w:p w:rsidR="007267B8" w:rsidRDefault="007267B8" w:rsidP="007267B8">
      <w:pPr>
        <w:pStyle w:val="Leipteksti"/>
      </w:pPr>
      <w:r>
        <w:t xml:space="preserve">Suomen tieyhdistys, Suomen kuntaliitto, Helsingin kaupunki, keskuskauppakamari, Auto- ja kuljetusalan työntekijäliitto (AKT) toivat esiin sen, ettei etenkään kaupunkialueella risteykset, rampit, pysäköintialueet ja kiertoliittymät ole suunniteltu ehdotuksen mukaisille pidemmille yhdistelmille. Myös levähdysalueet, huoltoasemien pihat, lastaus- ja purkupaikat on mitoitettu lyhyemmille ajoneuvoille ja yhdistelmille. </w:t>
      </w:r>
    </w:p>
    <w:p w:rsidR="007267B8" w:rsidRDefault="007267B8" w:rsidP="007267B8">
      <w:pPr>
        <w:pStyle w:val="Leipteksti"/>
      </w:pPr>
    </w:p>
    <w:p w:rsidR="007267B8" w:rsidRDefault="007267B8" w:rsidP="007267B8">
      <w:pPr>
        <w:pStyle w:val="Leipteksti"/>
      </w:pPr>
      <w:r>
        <w:t>Lausunnoissa tuotiin esiin pidempien yhdistelmien liikennöinnin sallimisen edellyttävän muutoksia liittymien ja ohitusnäkemien mitoitukseen sekä teillä sallittavien pituuksien rajoittamista etenkin kaupunkialueilla. Esitetty</w:t>
      </w:r>
      <w:r w:rsidR="00CC7298">
        <w:t>jen</w:t>
      </w:r>
      <w:r>
        <w:t xml:space="preserve"> muutosten voimaantulo koettiin ongelmalliseksi pitkille yhdistelmille soveltuvan ja soveltumattoman tieverkoston kartoittamiselle ja muutosten toteuttamiselle. Lisäksi lausunnoissa tuotiin esiin tarve osoittaa lisämäärärahaa muutoksen edellyttämien liikennejärjestelmämuutosten tekemiselle.</w:t>
      </w:r>
    </w:p>
    <w:p w:rsidR="0013622C" w:rsidRDefault="0013622C" w:rsidP="007267B8">
      <w:pPr>
        <w:pStyle w:val="Leipteksti"/>
      </w:pPr>
    </w:p>
    <w:p w:rsidR="007267B8" w:rsidRDefault="007267B8" w:rsidP="007267B8">
      <w:pPr>
        <w:pStyle w:val="Leipteksti"/>
      </w:pPr>
      <w:r>
        <w:lastRenderedPageBreak/>
        <w:t>Yhteinen Toimialaliitto ry:n Logistiikka-asiakkaiden ne</w:t>
      </w:r>
      <w:r w:rsidR="00CC7298">
        <w:t xml:space="preserve">uvottelukunnan, ELY-keskusten, </w:t>
      </w:r>
      <w:r>
        <w:t xml:space="preserve">Liikenneviraston, AKT:n ja Logistiikkayritysten Liitto ry:n lausunnoissa tuotiin esiin, että pitempien ajoneuvojen kuljettaminen vaatii tarkkuutta ja uusien tekniikoiden hallintaa (kamerat jne.), mikä tulisi huomioida kuljettajien koulutuksessa. </w:t>
      </w:r>
    </w:p>
    <w:p w:rsidR="007267B8" w:rsidRDefault="007267B8" w:rsidP="007267B8">
      <w:pPr>
        <w:pStyle w:val="Leipteksti"/>
      </w:pPr>
    </w:p>
    <w:p w:rsidR="007267B8" w:rsidRDefault="007267B8" w:rsidP="007267B8">
      <w:pPr>
        <w:pStyle w:val="Leipteksti"/>
      </w:pPr>
      <w:r>
        <w:t>Lausunnoissa esitetyt yksityiskohtaiset muutosehdotukset koskivat erityisesti ehdotuksen 17 §:n liukuesteiden käyttö auton ja siihen kytketyn hinattavan ajoneuvon renkaissa, 22 §:n perävaunun niin sanottua siltasääntöä, 23 §:n auton ja perävaunun yhdistelmän massaa, 24 §:n auton, perävaunun ja niiden yhdistelmän pituutta, 26 §:n yhdistelmän vaihtoehtoista kääntyvyyttä sekä 33 §:n auton ja perävaunun kytkemisen ehtoja koskevia säännöksiä.</w:t>
      </w:r>
    </w:p>
    <w:p w:rsidR="007267B8" w:rsidRDefault="007267B8" w:rsidP="007267B8">
      <w:pPr>
        <w:pStyle w:val="Leipteksti"/>
      </w:pPr>
    </w:p>
    <w:p w:rsidR="007267B8" w:rsidRDefault="007267B8" w:rsidP="007267B8">
      <w:pPr>
        <w:pStyle w:val="Leipteksti"/>
      </w:pPr>
      <w:r>
        <w:t xml:space="preserve">Infra ry, SKAL ja Oulun autokuljetus Oy eivät pitäneet ehdotuksen 17 §:n mukaisia nastarenkaita riittävänä vaatimuksena pitkien ajoneuvoyhdistelmien liikkeellelähtökyvyn varmistamiseksi liukkaalla kelillä. </w:t>
      </w:r>
    </w:p>
    <w:p w:rsidR="007267B8" w:rsidRDefault="007267B8" w:rsidP="007267B8">
      <w:pPr>
        <w:pStyle w:val="Leipteksti"/>
      </w:pPr>
    </w:p>
    <w:p w:rsidR="007267B8" w:rsidRDefault="007267B8" w:rsidP="007267B8">
      <w:pPr>
        <w:pStyle w:val="Leipteksti"/>
      </w:pPr>
      <w:r>
        <w:t>Muutamassa lausunnossa epäiltiin ehdotetun muun auton kuin linja-auton pituuden kasvattamisen 12 metristä 13 metriin aiheuttavan viivästyksiä koko muutoksen voimaan tulolle mahdollisena EU-lainsäädännön kannalta ongelmallisena ehdotuksena, minkä johdosta ehdotuksesta esitettiin luovuttavan, j</w:t>
      </w:r>
      <w:r w:rsidR="00CC7298">
        <w:t>oskin ehdotuksen arvioitiin ole</w:t>
      </w:r>
      <w:r>
        <w:t xml:space="preserve">van hyödyllinen etenkin puun kuljetuksessa. </w:t>
      </w:r>
    </w:p>
    <w:p w:rsidR="004F5F88" w:rsidRDefault="004F5F88" w:rsidP="007267B8">
      <w:pPr>
        <w:pStyle w:val="Leipteksti"/>
      </w:pPr>
    </w:p>
    <w:p w:rsidR="007267B8" w:rsidRDefault="007267B8" w:rsidP="007267B8">
      <w:pPr>
        <w:pStyle w:val="Leipteksti"/>
      </w:pPr>
      <w:r>
        <w:t>Esitettyjen suurimpien yleisesti sallittujen pituuksien osalta Vähä</w:t>
      </w:r>
      <w:r w:rsidR="00CC7298">
        <w:t>lä</w:t>
      </w:r>
      <w:r>
        <w:t xml:space="preserve"> yhtiöiden ja Logistiikkayritysten Liiton lausunnoissa esitettiin puoliperävaunuyhdistelmän kokonaispituuden jatkamista 23 metriin ja puoliperävaunun mitaksi perävaunun vetotapin pystyakselista perävaunun takimmaiseen osaan 18 metriin.</w:t>
      </w:r>
    </w:p>
    <w:p w:rsidR="007267B8" w:rsidRDefault="007267B8" w:rsidP="007267B8">
      <w:pPr>
        <w:pStyle w:val="Leipteksti"/>
      </w:pPr>
    </w:p>
    <w:p w:rsidR="004F5F88" w:rsidRDefault="007267B8" w:rsidP="007267B8">
      <w:pPr>
        <w:pStyle w:val="Leipteksti"/>
      </w:pPr>
      <w:r>
        <w:t xml:space="preserve">MTK:n, Vapo Oy:n, Bioenergia ry:n ja Koneyrittäjien Liiton lausunnossa esitettiin myös traktorin ja keskiakseliperävaunun yhdistelmän enimmäispituuden kasvattamista 16,5 metristä 20,75 metriin. </w:t>
      </w:r>
    </w:p>
    <w:p w:rsidR="00CC7298" w:rsidRDefault="00CC7298" w:rsidP="007267B8">
      <w:pPr>
        <w:pStyle w:val="Leipteksti"/>
      </w:pPr>
    </w:p>
    <w:p w:rsidR="00F060F9" w:rsidRDefault="007267B8" w:rsidP="00F060F9">
      <w:pPr>
        <w:pStyle w:val="Leipteksti"/>
      </w:pPr>
      <w:r>
        <w:t xml:space="preserve">Veljekset Hannonen Oy, UPM Metsä, </w:t>
      </w:r>
      <w:proofErr w:type="spellStart"/>
      <w:r>
        <w:t>Vemosim</w:t>
      </w:r>
      <w:proofErr w:type="spellEnd"/>
      <w:r>
        <w:t xml:space="preserve"> Oy, Infra ry, SKAL ja Logistiikkayritysten Liitto totesivat ehdotetun pitkille yhdistelmille esitetyn vaihtoehtoisen kääntyvyysvaatimuksen olevan tarpeettoman tiukka. Erityisesti ehdotettua </w:t>
      </w:r>
      <w:r w:rsidR="004F5F88">
        <w:t>käännöksen si</w:t>
      </w:r>
      <w:r>
        <w:t>säsädettä koskevaa 4 metrin mittavaatimusta, enin</w:t>
      </w:r>
      <w:r w:rsidR="004F5F88">
        <w:t>tään 0,8 metrin sivusiirtymävaa</w:t>
      </w:r>
      <w:r>
        <w:t>timusta ja kääntyvyyden tarkastelemista 120 asteen käännöksen mukaan pidettiin tarpeettomina vaatimuksina. Sallituksi sisäsäteeksi esitettiin 3,7-3,8 metriä, siv</w:t>
      </w:r>
      <w:r w:rsidR="00CC7298">
        <w:t>ut</w:t>
      </w:r>
      <w:r>
        <w:t>taissiir</w:t>
      </w:r>
      <w:r w:rsidR="004F5F88">
        <w:t xml:space="preserve">tymäksi ehdotettiin 1,0 metriä </w:t>
      </w:r>
      <w:r>
        <w:t>ja kääntyvyyden testaamista Ruotsissa käytössä olevaa vastaava</w:t>
      </w:r>
      <w:r w:rsidR="004F5F88">
        <w:t>sti 90 asteen käännöksen mukaan</w:t>
      </w:r>
      <w:r>
        <w:t xml:space="preserve">. </w:t>
      </w:r>
      <w:r w:rsidR="00F060F9">
        <w:t xml:space="preserve">Lausuntopalautteessa kääntyvyysvaatimusta esitettiin muutettavaksi muun muassa siksi, että nykyisten HCT-kokeilussa käytössä olleiden lausuntoversion mukaista kääntyvyysvaatimusta hieman heikommin kääntyvien ajoneuvojen osalta ei ole ollut ongelmaa kääntyvyydessä. Lausuntopalautteessa esitettiin myös kääntyvyysvaatimuksen määrittelyssä otettavaksi huomioon mahdollisuudet käyttää nykyisin käytössä olevia perävaunuja osana uusia HCT yhdistelmiä, mikä vaikuttaa merkittävästi muutoksen taloudellisiin vaikutuksiin. </w:t>
      </w:r>
    </w:p>
    <w:p w:rsidR="007267B8" w:rsidRDefault="007267B8" w:rsidP="004F5F88">
      <w:pPr>
        <w:pStyle w:val="Leipteksti"/>
      </w:pPr>
    </w:p>
    <w:p w:rsidR="004F5F88" w:rsidRDefault="004F5F88" w:rsidP="007267B8">
      <w:pPr>
        <w:pStyle w:val="Leipteksti"/>
      </w:pPr>
    </w:p>
    <w:p w:rsidR="007267B8" w:rsidRDefault="007267B8" w:rsidP="007267B8">
      <w:pPr>
        <w:pStyle w:val="Leipteksti"/>
      </w:pPr>
      <w:r>
        <w:t xml:space="preserve">Ehdotuksen 22 ja 23 </w:t>
      </w:r>
      <w:proofErr w:type="gramStart"/>
      <w:r>
        <w:t>§:iin</w:t>
      </w:r>
      <w:proofErr w:type="gramEnd"/>
      <w:r>
        <w:t xml:space="preserve"> esitettyjen niin sanottujen</w:t>
      </w:r>
      <w:r w:rsidR="00B613D4">
        <w:t xml:space="preserve"> siltasääntöjen osalta </w:t>
      </w:r>
      <w:proofErr w:type="spellStart"/>
      <w:r w:rsidR="00B613D4">
        <w:t>P</w:t>
      </w:r>
      <w:r>
        <w:t>owder-trans</w:t>
      </w:r>
      <w:proofErr w:type="spellEnd"/>
      <w:r>
        <w:t xml:space="preserve"> AB Oy:n, Infra ry:n, </w:t>
      </w:r>
      <w:proofErr w:type="spellStart"/>
      <w:r>
        <w:t>Jyki</w:t>
      </w:r>
      <w:proofErr w:type="spellEnd"/>
      <w:r>
        <w:t xml:space="preserve"> Oy:n, </w:t>
      </w:r>
      <w:proofErr w:type="spellStart"/>
      <w:r>
        <w:t>SKAL:n</w:t>
      </w:r>
      <w:proofErr w:type="spellEnd"/>
      <w:r>
        <w:t xml:space="preserve">, Autotuojat ja –teollisuus ry:n, </w:t>
      </w:r>
      <w:proofErr w:type="spellStart"/>
      <w:r>
        <w:t>Toplift</w:t>
      </w:r>
      <w:proofErr w:type="spellEnd"/>
      <w:r>
        <w:t xml:space="preserve"> Finland Oy:n lausunnoissa todettiin, ettei vaatimust</w:t>
      </w:r>
      <w:r w:rsidR="004F5F88">
        <w:t>en pitäisi koskea asetuksen voi</w:t>
      </w:r>
      <w:r>
        <w:t>maan tullessa liikenteessä olevaa kalustoa. Lisäksi</w:t>
      </w:r>
      <w:r w:rsidR="00CC7298">
        <w:t xml:space="preserve"> Infra ry:n ja </w:t>
      </w:r>
      <w:proofErr w:type="spellStart"/>
      <w:r w:rsidR="00CC7298">
        <w:t>Jyki</w:t>
      </w:r>
      <w:proofErr w:type="spellEnd"/>
      <w:r w:rsidR="00CC7298">
        <w:t xml:space="preserve"> Oy:n lausun</w:t>
      </w:r>
      <w:r>
        <w:t>noissa toivottiin, että 5-akselisen auton siltasääntöä (350kg) sovellettaisiin myös 5-akselisen perä</w:t>
      </w:r>
      <w:r w:rsidR="004F5F88">
        <w:t>vaunun kohdalla 320 kg:n sijaan</w:t>
      </w:r>
      <w:r>
        <w:t>.</w:t>
      </w:r>
    </w:p>
    <w:p w:rsidR="007267B8" w:rsidRDefault="007267B8" w:rsidP="007267B8">
      <w:pPr>
        <w:pStyle w:val="Leipteksti"/>
      </w:pPr>
    </w:p>
    <w:p w:rsidR="007267B8" w:rsidRDefault="007267B8" w:rsidP="007267B8">
      <w:pPr>
        <w:pStyle w:val="Leipteksti"/>
      </w:pPr>
      <w:r>
        <w:t>Myös auton ja keskiakseliperävaunun ma</w:t>
      </w:r>
      <w:r w:rsidR="007450F2">
        <w:t xml:space="preserve">ssaa ehdotettiin korotettavaksi Poliisihallituksen, Infra ry:n ja </w:t>
      </w:r>
      <w:proofErr w:type="spellStart"/>
      <w:r w:rsidR="007450F2">
        <w:t>Tyllis</w:t>
      </w:r>
      <w:proofErr w:type="spellEnd"/>
      <w:r w:rsidR="007450F2">
        <w:t xml:space="preserve"> Oy:n lausunnoissa. </w:t>
      </w:r>
      <w:r>
        <w:t xml:space="preserve">  </w:t>
      </w:r>
    </w:p>
    <w:p w:rsidR="007267B8" w:rsidRDefault="007267B8" w:rsidP="007267B8">
      <w:pPr>
        <w:pStyle w:val="Leipteksti"/>
      </w:pPr>
    </w:p>
    <w:p w:rsidR="007267B8" w:rsidRDefault="007267B8" w:rsidP="007267B8">
      <w:pPr>
        <w:pStyle w:val="Leipteksti"/>
      </w:pPr>
      <w:r>
        <w:t>Ehdotuksen 33 §:n 2 momentin auton ja perävaunun kytkemistä koskevia pitkiltä yhdistelmiltä vaadittavia teknisiä lisävaatimuksia pidettiin pääasiassa hyvinä, mutta vaatimuksia toivottiin jaoteltavan eripituisiin yhdis</w:t>
      </w:r>
      <w:r w:rsidR="007450F2">
        <w:t>telmiin sekä rajaamaan vaatimuk</w:t>
      </w:r>
      <w:r>
        <w:t xml:space="preserve">sia vain sellaisiin varusteisiin, jotka parantavat nimenomaan pidempien yhdistelmien turvallisuutta. Veho Oy, Autotuojat ja -teollisuus ja Yhteisen Toimialaliiton Logistiikka-asiakkaiden neuvottelukunta pitivät vaatimusta kehittyneestä </w:t>
      </w:r>
      <w:proofErr w:type="spellStart"/>
      <w:r>
        <w:t>hätäjarrutusjärjestel-mästä</w:t>
      </w:r>
      <w:proofErr w:type="spellEnd"/>
      <w:r>
        <w:t xml:space="preserve">, kaistavahtijärjestelmästä ja </w:t>
      </w:r>
      <w:proofErr w:type="gramStart"/>
      <w:r>
        <w:t>elektronisesta</w:t>
      </w:r>
      <w:proofErr w:type="gramEnd"/>
      <w:r>
        <w:t xml:space="preserve"> </w:t>
      </w:r>
      <w:r w:rsidR="007450F2">
        <w:t>ajonvakautusjärjestelmä kohtuut</w:t>
      </w:r>
      <w:r>
        <w:t xml:space="preserve">tomina. Volvo Finland AB, Poliisihallitus sekä Autotuojat ja –teollisuus katsoivat muun muassa epäsuoran näkemisen laitteita ja massatietojen näyttämistä koskevien vaatimusten edellyttävän tarkentamista. Lisäksi lausunnoissa </w:t>
      </w:r>
      <w:r w:rsidR="007450F2">
        <w:t>toivottiin näiden jär</w:t>
      </w:r>
      <w:r>
        <w:t xml:space="preserve">jestelmien olemassa olemisen merkitsemistä ajoneuvon rekisteritietoihin valvonnan helpottamiseksi. Infra ry, SKAL ja Logistiikkayritysten </w:t>
      </w:r>
      <w:r w:rsidR="00CC7298">
        <w:t>liitto esittivät kehittyneen hä</w:t>
      </w:r>
      <w:r>
        <w:t>täjarrutusjärjestel</w:t>
      </w:r>
      <w:r w:rsidR="007450F2">
        <w:t xml:space="preserve">män ja kaistavahtijärjestelmän </w:t>
      </w:r>
      <w:r>
        <w:t xml:space="preserve">vaatimuksen asettamista vain asetuksen voimaantulon jälkeen käyttöön otettaville ajoneuvoille. Edelleen vaatimus yksittäiselle akselille ja telille kohdistuvan massatiedon vaatimus tulisi asettaa vain uusille yli 68 tonnin painoisille yhdistelmille. </w:t>
      </w:r>
    </w:p>
    <w:p w:rsidR="007267B8" w:rsidRDefault="007267B8" w:rsidP="007267B8">
      <w:pPr>
        <w:pStyle w:val="Leipteksti"/>
      </w:pPr>
    </w:p>
    <w:p w:rsidR="007267B8" w:rsidRDefault="007267B8" w:rsidP="007267B8">
      <w:pPr>
        <w:pStyle w:val="Leipteksti"/>
      </w:pPr>
      <w:r>
        <w:t>Poliisihallitus ja tienpitäjää edustavat lausunnonantajat esittivät huolensa siitä, riittääkö pitkän yhdistelmän takana ol</w:t>
      </w:r>
      <w:r w:rsidR="007450F2">
        <w:t>eva taulu, jossa lukee sana pit</w:t>
      </w:r>
      <w:r>
        <w:t xml:space="preserve">kä, varoittamaan muulle liikenteelle pidemmästä ohitusmatkasta ja –ajasta. </w:t>
      </w:r>
      <w:proofErr w:type="spellStart"/>
      <w:r>
        <w:t>Jyki</w:t>
      </w:r>
      <w:proofErr w:type="spellEnd"/>
      <w:r>
        <w:t xml:space="preserve"> Oy totesi kyltin jälkiasennuksen olevan mahdotonta, koska perävaunut on rakennettu mahdollisimman tiiviiksi kokonaisuuksiksi, mikä tarkoittaa sitä, että jälkiasennettavaa pitkä kuljetus -kylttiä ei ole mahdollista asentaa. L</w:t>
      </w:r>
      <w:r w:rsidR="007450F2">
        <w:t xml:space="preserve">isäksi </w:t>
      </w:r>
      <w:proofErr w:type="spellStart"/>
      <w:r w:rsidR="007450F2">
        <w:t>Jyki</w:t>
      </w:r>
      <w:proofErr w:type="spellEnd"/>
      <w:r w:rsidR="007450F2">
        <w:t xml:space="preserve"> Oy:n mukaan myös uu</w:t>
      </w:r>
      <w:r>
        <w:t>siin perävaunuihin asennettava kyltti aiheuttaisi sen,</w:t>
      </w:r>
      <w:r w:rsidR="007450F2">
        <w:t xml:space="preserve"> että perävaunun teknisistä rat</w:t>
      </w:r>
      <w:r>
        <w:t>kaisuista jouduttaisiin muutoin tinkimään muun mu</w:t>
      </w:r>
      <w:r w:rsidR="007450F2">
        <w:t>assa perän lastauskulman suuren</w:t>
      </w:r>
      <w:r>
        <w:t>tumisena tai kuorman korkeuden madaltumisena.</w:t>
      </w:r>
    </w:p>
    <w:p w:rsidR="007450F2" w:rsidRDefault="007450F2" w:rsidP="007267B8">
      <w:pPr>
        <w:pStyle w:val="Leipteksti"/>
      </w:pPr>
    </w:p>
    <w:p w:rsidR="007267B8" w:rsidRDefault="007267B8" w:rsidP="007267B8">
      <w:pPr>
        <w:pStyle w:val="Leipteksti"/>
      </w:pPr>
      <w:r>
        <w:t xml:space="preserve">Kytkentälaitteiden vaatimusten tarkentamista nykyistä pidemmissä yhdistelmissä vaadittiin muun muassa Oy </w:t>
      </w:r>
      <w:proofErr w:type="spellStart"/>
      <w:r>
        <w:t>Närko</w:t>
      </w:r>
      <w:proofErr w:type="spellEnd"/>
      <w:r>
        <w:t xml:space="preserve"> Fin</w:t>
      </w:r>
      <w:r w:rsidR="00C27EF6">
        <w:t>land</w:t>
      </w:r>
      <w:bookmarkStart w:id="0" w:name="_GoBack"/>
      <w:bookmarkEnd w:id="0"/>
      <w:r>
        <w:t xml:space="preserve"> AB:n, AKT ry:n ja </w:t>
      </w:r>
      <w:proofErr w:type="spellStart"/>
      <w:r>
        <w:t>OTI:n</w:t>
      </w:r>
      <w:proofErr w:type="spellEnd"/>
      <w:r>
        <w:t xml:space="preserve"> lausunnoissa.</w:t>
      </w:r>
    </w:p>
    <w:p w:rsidR="007267B8" w:rsidRDefault="007267B8" w:rsidP="007267B8">
      <w:pPr>
        <w:pStyle w:val="Leipteksti"/>
      </w:pPr>
    </w:p>
    <w:p w:rsidR="007267B8" w:rsidRDefault="007267B8" w:rsidP="007267B8">
      <w:pPr>
        <w:pStyle w:val="Leipteksti"/>
      </w:pPr>
      <w:r>
        <w:t>Kemianteollisuus ry:n ja Liikenteen turvallisuusviraston lausunnoissa esitettiin jatko-valmistelussa arvioitavaksi uudentyyppisten yhdistelmien sallimista myös vaarallisten aineiden kuljetuk</w:t>
      </w:r>
      <w:r w:rsidR="00AB2369">
        <w:t>sissa</w:t>
      </w:r>
      <w:r w:rsidR="007450F2">
        <w:t xml:space="preserve">. </w:t>
      </w:r>
      <w:proofErr w:type="spellStart"/>
      <w:r>
        <w:t>Kiitosimeon</w:t>
      </w:r>
      <w:proofErr w:type="spellEnd"/>
      <w:r>
        <w:t xml:space="preserve"> Oy esitti myös massan korottamista 68 tonniin VAK/ADR –kuljetuksissa </w:t>
      </w:r>
      <w:r>
        <w:lastRenderedPageBreak/>
        <w:t>Onnettomuustietoins</w:t>
      </w:r>
      <w:r w:rsidR="007450F2">
        <w:t xml:space="preserve">tituutti </w:t>
      </w:r>
      <w:proofErr w:type="spellStart"/>
      <w:r w:rsidR="007450F2">
        <w:t>OTI:n</w:t>
      </w:r>
      <w:proofErr w:type="spellEnd"/>
      <w:r w:rsidR="007450F2">
        <w:t xml:space="preserve"> mukaan vaarallis</w:t>
      </w:r>
      <w:r>
        <w:t>ten aineiden kuljetuksien osalta kuljetuserien kokoa</w:t>
      </w:r>
      <w:r w:rsidR="00AB2369">
        <w:t xml:space="preserve"> tulisi rajata</w:t>
      </w:r>
      <w:r w:rsidR="007450F2">
        <w:t xml:space="preserve"> niihin onnetto</w:t>
      </w:r>
      <w:r>
        <w:t>muustilanteessa liittyvien vaaratekijöiden vuoksi ja kuljetusmääriä arvioitaessa tulisi huomioida myös aineiden vaarallisuusluokat.</w:t>
      </w:r>
    </w:p>
    <w:p w:rsidR="007267B8" w:rsidRDefault="007267B8" w:rsidP="007267B8">
      <w:pPr>
        <w:pStyle w:val="Leipteksti"/>
      </w:pPr>
    </w:p>
    <w:p w:rsidR="007267B8" w:rsidRDefault="007267B8" w:rsidP="007267B8">
      <w:pPr>
        <w:pStyle w:val="Otsikko2"/>
      </w:pPr>
      <w:r>
        <w:t>Lausuntopalautteen huomioiminen</w:t>
      </w:r>
    </w:p>
    <w:p w:rsidR="007267B8" w:rsidRDefault="007267B8" w:rsidP="007267B8">
      <w:pPr>
        <w:pStyle w:val="Leipteksti"/>
      </w:pPr>
      <w:r>
        <w:t>Lausuntopalautt</w:t>
      </w:r>
      <w:r w:rsidR="00B20F00">
        <w:t xml:space="preserve">een perusteella asetusehdotuksen </w:t>
      </w:r>
      <w:r w:rsidR="00B902A9">
        <w:t xml:space="preserve">17 §:n säännöstä on muutettu </w:t>
      </w:r>
      <w:r>
        <w:t>siten, että yli 28 metriä pitkässä ajoneuvoyhdi</w:t>
      </w:r>
      <w:r w:rsidR="0013622C">
        <w:t>stelmässä, jossa vetäville akse</w:t>
      </w:r>
      <w:r>
        <w:t>leille yhteensä kohdistuva massa on alle 25 prosen</w:t>
      </w:r>
      <w:r w:rsidR="0013622C">
        <w:t>ttia ajoneuvoyhdistelmän massas</w:t>
      </w:r>
      <w:r>
        <w:t>ta</w:t>
      </w:r>
      <w:r w:rsidR="00AB2369">
        <w:t>,</w:t>
      </w:r>
      <w:r>
        <w:t xml:space="preserve"> vaaditaan liukkaalla kelillä aina hiekoitin tai ketjuhei</w:t>
      </w:r>
      <w:r w:rsidR="0013622C">
        <w:t>tin ajoneuvon liikkeellelähtöky</w:t>
      </w:r>
      <w:r>
        <w:t>vyn para</w:t>
      </w:r>
      <w:r w:rsidR="00B20F00">
        <w:t>ntamiseksi eikä vaatimusta voitaisi</w:t>
      </w:r>
      <w:r>
        <w:t xml:space="preserve"> korvata </w:t>
      </w:r>
      <w:r w:rsidR="0013622C">
        <w:t xml:space="preserve">vetävien akseleiden </w:t>
      </w:r>
      <w:r>
        <w:t>nastarenkain. Sen sijaan hiekoitinta tai ketjuheitintä</w:t>
      </w:r>
      <w:r w:rsidR="0013622C">
        <w:t xml:space="preserve"> ei vaadittaisi, jos vetoajoneu</w:t>
      </w:r>
      <w:r>
        <w:t xml:space="preserve">vossa olisi niin sanottu hydraulinen etuveto liikkeellelähtökyvyn parantamiseksi. </w:t>
      </w:r>
    </w:p>
    <w:p w:rsidR="007D3166" w:rsidRDefault="007D3166" w:rsidP="007267B8">
      <w:pPr>
        <w:pStyle w:val="Leipteksti"/>
      </w:pPr>
    </w:p>
    <w:p w:rsidR="007D3166" w:rsidRDefault="007D3166" w:rsidP="007267B8">
      <w:pPr>
        <w:pStyle w:val="Leipteksti"/>
      </w:pPr>
      <w:r>
        <w:t xml:space="preserve">Lausuntopalautteen perusteella kuorma-auton ja </w:t>
      </w:r>
      <w:r w:rsidRPr="007D3166">
        <w:t>puoliperäv</w:t>
      </w:r>
      <w:r>
        <w:t xml:space="preserve">aunuyhdistelmän kokonaispituutta on </w:t>
      </w:r>
      <w:r w:rsidR="00B20F00">
        <w:t xml:space="preserve">jatkovalmistelussa </w:t>
      </w:r>
      <w:r w:rsidR="00B902A9">
        <w:t xml:space="preserve">muutettu </w:t>
      </w:r>
      <w:r w:rsidR="009E41B4">
        <w:t>23 metriin ja puoliperävau</w:t>
      </w:r>
      <w:r w:rsidRPr="007D3166">
        <w:t xml:space="preserve">nun </w:t>
      </w:r>
      <w:r w:rsidR="009E41B4">
        <w:t xml:space="preserve">suurimmaksi sallituksi </w:t>
      </w:r>
      <w:r w:rsidRPr="007D3166">
        <w:t>mitaksi perävaunun vetotapin pystyakselista perävaunu</w:t>
      </w:r>
      <w:r w:rsidR="009E41B4">
        <w:t>n takimmaiseen osaan 18 metriin</w:t>
      </w:r>
      <w:r w:rsidRPr="007D3166">
        <w:t>.</w:t>
      </w:r>
      <w:r w:rsidR="009E41B4">
        <w:t xml:space="preserve"> </w:t>
      </w:r>
      <w:r w:rsidR="00B902A9">
        <w:t>L</w:t>
      </w:r>
      <w:r w:rsidR="009E41B4">
        <w:t>ausuntopalautteen perusteella my</w:t>
      </w:r>
      <w:r w:rsidR="009E41B4" w:rsidRPr="009E41B4">
        <w:t>ös auton ja keskiakse</w:t>
      </w:r>
      <w:r w:rsidR="009E41B4">
        <w:t xml:space="preserve">liperävaunun </w:t>
      </w:r>
      <w:r w:rsidR="00E079D7">
        <w:t xml:space="preserve">yhdistelmän </w:t>
      </w:r>
      <w:r w:rsidR="009E41B4">
        <w:t xml:space="preserve">massaa </w:t>
      </w:r>
      <w:r w:rsidR="00E079D7">
        <w:t>on</w:t>
      </w:r>
      <w:r w:rsidR="00D1341D">
        <w:t xml:space="preserve"> </w:t>
      </w:r>
      <w:r w:rsidR="00E079D7">
        <w:t xml:space="preserve">muutettu 44 tonnista 50 tonniin, joka on myös Ruotsissa ja Norjassa yleisesti käytössä oleva auton ja keskiakseliperävaunun massa. </w:t>
      </w:r>
    </w:p>
    <w:p w:rsidR="00CC7298" w:rsidRDefault="00CC7298" w:rsidP="007267B8">
      <w:pPr>
        <w:pStyle w:val="Leipteksti"/>
      </w:pPr>
    </w:p>
    <w:p w:rsidR="00CC7298" w:rsidRDefault="00B902A9" w:rsidP="007267B8">
      <w:pPr>
        <w:pStyle w:val="Leipteksti"/>
      </w:pPr>
      <w:r>
        <w:t>E</w:t>
      </w:r>
      <w:r w:rsidR="00CC7298">
        <w:t xml:space="preserve">räissä lausunnoissa esitettyä </w:t>
      </w:r>
      <w:r w:rsidR="00CC7298" w:rsidRPr="00CC7298">
        <w:t>traktorin ja keskiakseliperävaunun yhdistelmän</w:t>
      </w:r>
      <w:r w:rsidR="00CC7298">
        <w:t xml:space="preserve"> pituuden</w:t>
      </w:r>
      <w:r w:rsidR="00CC7298" w:rsidRPr="00CC7298">
        <w:t xml:space="preserve"> </w:t>
      </w:r>
      <w:r w:rsidR="00406B3E">
        <w:t>muutosta ei ole otettu esitykseen</w:t>
      </w:r>
      <w:r w:rsidR="00CC7298" w:rsidRPr="00CC7298">
        <w:t xml:space="preserve">. Lausunnoissa esitetty näkemys, jonka mukaan ehdotettu muutos perävaunun pituuden kasvattamisesta olisi peruste myös traktorin ja keskiakseliperävaunun pituuden muuttamiselle, ei ole aiheellinen, koska esityksessä ei ole esitetty muutettavaksi keskiakseliperävaunun pituutta.  </w:t>
      </w:r>
    </w:p>
    <w:p w:rsidR="00EB4493" w:rsidRDefault="00EB4493" w:rsidP="007267B8">
      <w:pPr>
        <w:pStyle w:val="Leipteksti"/>
      </w:pPr>
    </w:p>
    <w:p w:rsidR="00EB4493" w:rsidRPr="00EB4493" w:rsidRDefault="00EB4493" w:rsidP="00EB4493">
      <w:pPr>
        <w:pStyle w:val="Leipteksti"/>
      </w:pPr>
      <w:r>
        <w:t xml:space="preserve">Lausuntopalautteen perusteella </w:t>
      </w:r>
      <w:r w:rsidR="00EF06CD">
        <w:t xml:space="preserve">perävaunun </w:t>
      </w:r>
      <w:r w:rsidR="004D0DAD">
        <w:t>niin sanottua</w:t>
      </w:r>
      <w:r w:rsidR="00EF06CD">
        <w:t xml:space="preserve"> </w:t>
      </w:r>
      <w:r w:rsidRPr="00EB4493">
        <w:t xml:space="preserve">siltasääntöä </w:t>
      </w:r>
      <w:r w:rsidR="00B902A9">
        <w:t xml:space="preserve">on päätetty muuttaa </w:t>
      </w:r>
      <w:r w:rsidR="00B66905">
        <w:t>vastaamaan viisi</w:t>
      </w:r>
      <w:r w:rsidRPr="00EB4493">
        <w:t>akselisen auton siltasääntöä.</w:t>
      </w:r>
      <w:r w:rsidR="004D0DAD">
        <w:t xml:space="preserve"> Ennen vuotta 2019 käyttöönotetuille perävaunuille annettaisiin kuitenkin siltasäännön osalta viiden vuoden siirtymäaika.</w:t>
      </w:r>
    </w:p>
    <w:p w:rsidR="00FB7A2A" w:rsidRDefault="00FB7A2A" w:rsidP="00F060F9">
      <w:pPr>
        <w:pStyle w:val="Leipteksti"/>
        <w:ind w:left="0"/>
      </w:pPr>
    </w:p>
    <w:p w:rsidR="00EB4493" w:rsidRDefault="00FB7A2A" w:rsidP="00406B3E">
      <w:pPr>
        <w:pStyle w:val="Leipteksti"/>
      </w:pPr>
      <w:r>
        <w:t>J</w:t>
      </w:r>
      <w:r w:rsidR="0013622C">
        <w:t xml:space="preserve">atkovalmistelussa on </w:t>
      </w:r>
      <w:r w:rsidR="004D0DAD">
        <w:t>päädytty muuttamaan</w:t>
      </w:r>
      <w:r w:rsidR="0013622C">
        <w:t xml:space="preserve"> </w:t>
      </w:r>
      <w:r w:rsidR="0013622C" w:rsidRPr="0013622C">
        <w:t>auton ja yhden tai useamman perävaunun yli 18,75 metriä pitkä</w:t>
      </w:r>
      <w:r w:rsidR="0013622C">
        <w:t>n</w:t>
      </w:r>
      <w:r w:rsidR="0013622C" w:rsidRPr="0013622C">
        <w:t xml:space="preserve"> yhdistelmä</w:t>
      </w:r>
      <w:r w:rsidR="0013622C">
        <w:t>n ja</w:t>
      </w:r>
      <w:r w:rsidR="0013622C" w:rsidRPr="0013622C">
        <w:t xml:space="preserve"> yli 16,50 metriä pitkä auton ja puoliperävaunun yhdistelmä</w:t>
      </w:r>
      <w:r w:rsidR="0013622C">
        <w:t>n</w:t>
      </w:r>
      <w:r w:rsidR="0013622C" w:rsidRPr="0013622C">
        <w:t xml:space="preserve"> </w:t>
      </w:r>
      <w:r w:rsidR="0013622C">
        <w:t>kääntyvyysva</w:t>
      </w:r>
      <w:r w:rsidR="004D0DAD">
        <w:t xml:space="preserve">atimusta </w:t>
      </w:r>
      <w:r w:rsidR="0013622C">
        <w:t xml:space="preserve">siten, että </w:t>
      </w:r>
      <w:r w:rsidR="0013622C" w:rsidRPr="0013622C">
        <w:t xml:space="preserve">takakulman sivusiirtymän ollessa </w:t>
      </w:r>
      <w:r w:rsidR="0013622C">
        <w:t>alle 0,8 metriä sallittaisiin yhdistelmältä 4,00 metriä suurempi oikaisu kääntöympyrän keskipisteestä. Y</w:t>
      </w:r>
      <w:r w:rsidR="0013622C" w:rsidRPr="0013622C">
        <w:t>hdistelmän sisäsivu</w:t>
      </w:r>
      <w:r w:rsidR="0013622C">
        <w:t xml:space="preserve"> saisi kulkea </w:t>
      </w:r>
      <w:r w:rsidR="0092176F">
        <w:t xml:space="preserve">sen verran 4 metriä </w:t>
      </w:r>
      <w:r w:rsidR="0013622C" w:rsidRPr="0013622C">
        <w:t>lähempänä</w:t>
      </w:r>
      <w:r w:rsidR="0092176F">
        <w:t xml:space="preserve"> kääntöympyrän keskipistettä, kuin minkä verran perävaunun takakulman sivusiirtymä alittaa 0,8 metriä. Yhdistelmän </w:t>
      </w:r>
      <w:r w:rsidR="0092176F" w:rsidRPr="0092176F">
        <w:t>sisäsivu</w:t>
      </w:r>
      <w:r w:rsidR="0092176F">
        <w:t>n tulisi kuitenkin kulkea tällöin vähintään 3,7</w:t>
      </w:r>
      <w:r w:rsidR="0092176F" w:rsidRPr="0092176F">
        <w:t xml:space="preserve"> metrin säteellä ympyrän keskipisteestä</w:t>
      </w:r>
      <w:r w:rsidR="0092176F">
        <w:t xml:space="preserve">. </w:t>
      </w:r>
      <w:r w:rsidR="00534386">
        <w:t>Kääntyvyysvaatimus on pyritty määrittelemään sellaiseksi, että sen puitteissa voidaan rakentaa monipuolisesti yhdistelmiä, joissa painojakauma, stabiliteetti ja kääntyvyys ovat tasapainossa.</w:t>
      </w:r>
      <w:r w:rsidR="00F060F9">
        <w:t xml:space="preserve"> Kääntyvyysvaatimusta ei ole voitu määritellä kokeilussa mukana olleiden ajoneuvojen mukaiseksi, koska</w:t>
      </w:r>
      <w:r w:rsidR="00F060F9">
        <w:t xml:space="preserve"> kokeilussa käytössä olleet ajoneuvot ovat pääsääntöisesti saaneet kulkea vain erikseen määritellyillä </w:t>
      </w:r>
      <w:r w:rsidR="00F060F9">
        <w:lastRenderedPageBreak/>
        <w:t>reiteillä, jolloin esimerkiksi liittymien mitoitus on voitu ottaa huomioon luvan mukaista liikennöintireittiä määriteltäessä.</w:t>
      </w:r>
      <w:r w:rsidR="00406B3E">
        <w:t xml:space="preserve"> </w:t>
      </w:r>
      <w:r w:rsidR="00406B3E">
        <w:t>Liikenneturvallisuusnäkökulma on pyritty huomioimaan edellyttämällä kuljetuksen suorittajaa ja kuljettajaa varmistumaan etukäteen siitä, että yhdistelmä mahtuu kulkemaan turvallisesti reitillä olevissa liittymissä ja risteyksissä.  Tienpitäjällä olevaa tietoa pitkille ajoneuvoyhdistelmille ahtaista liittymistä ja risteyksistä voidaan jakaa digitaalisissa liikennetiedon palveluissa.</w:t>
      </w:r>
    </w:p>
    <w:p w:rsidR="00EB4493" w:rsidRDefault="00EB4493" w:rsidP="007267B8">
      <w:pPr>
        <w:pStyle w:val="Leipteksti"/>
      </w:pPr>
    </w:p>
    <w:p w:rsidR="009F18EF" w:rsidRPr="00EB4493" w:rsidRDefault="00EB4493" w:rsidP="00AB2369">
      <w:pPr>
        <w:pStyle w:val="Leipteksti"/>
      </w:pPr>
      <w:r>
        <w:t xml:space="preserve">Lausuntopalautteen perusteella </w:t>
      </w:r>
      <w:r w:rsidRPr="00EB4493">
        <w:t>auton ja perävaunun kytkemistä koskevia pitkiltä yhdist</w:t>
      </w:r>
      <w:r>
        <w:t>elmiltä vaadittavia teknisiä li</w:t>
      </w:r>
      <w:r w:rsidRPr="00EB4493">
        <w:t>sävaatimuksia</w:t>
      </w:r>
      <w:r>
        <w:t xml:space="preserve"> on </w:t>
      </w:r>
      <w:r w:rsidR="00B902A9">
        <w:t>muutettu</w:t>
      </w:r>
      <w:r>
        <w:t xml:space="preserve"> siten, että </w:t>
      </w:r>
      <w:r w:rsidR="00AB2369">
        <w:t xml:space="preserve">vain yli </w:t>
      </w:r>
      <w:r w:rsidR="00AB2369" w:rsidRPr="00AB2369">
        <w:t xml:space="preserve">20,00 metriä pitkässä kuorma-auton ja puoliperävaunun </w:t>
      </w:r>
      <w:r w:rsidR="00D95D85">
        <w:t>yhdistelmässä sekä muussa yli 28</w:t>
      </w:r>
      <w:r w:rsidR="00AB2369" w:rsidRPr="00AB2369">
        <w:t>,00 metriä pitkässä ajoneuvoyhdistelmässä</w:t>
      </w:r>
      <w:r w:rsidR="00AB2369">
        <w:t xml:space="preserve"> tulisi olla </w:t>
      </w:r>
      <w:r w:rsidR="00AB2369" w:rsidRPr="00AB2369">
        <w:t>epäsuoran näkemisen laitteet yhdistelmän sivujen</w:t>
      </w:r>
      <w:r w:rsidR="00AB2369">
        <w:t xml:space="preserve"> näkemiseen tiukassa käännökses</w:t>
      </w:r>
      <w:r w:rsidR="00AB2369" w:rsidRPr="00AB2369">
        <w:t xml:space="preserve">sä, vetoauton kehittynyt hätäjarrutusjärjestelmä ja </w:t>
      </w:r>
      <w:r w:rsidR="00AB2369">
        <w:t>kaistavahtijärjestelmä, elektro</w:t>
      </w:r>
      <w:r w:rsidR="00AB2369" w:rsidRPr="00AB2369">
        <w:t>ninen ajonvakautusjärjestelmä ja sähköohjatut jar</w:t>
      </w:r>
      <w:r w:rsidR="00AB2369">
        <w:t>rut kaikissa yhdistelmän ajoneu</w:t>
      </w:r>
      <w:r w:rsidR="00AB2369" w:rsidRPr="00AB2369">
        <w:t>voissa.  Lisäksi kuljettajalla tulisi olla käytössä tieto kullekin yksittäiselle akselille ja telille kohdistuvasta massasta, mikä tulisi ensisijaisesti</w:t>
      </w:r>
      <w:r w:rsidR="00AB2369">
        <w:t xml:space="preserve"> toteuttaa ilmajousitietojen pe</w:t>
      </w:r>
      <w:r w:rsidR="00AB2369" w:rsidRPr="00AB2369">
        <w:t>rusteella. Vetoajoneuvon etuakselin osalta tieto sille k</w:t>
      </w:r>
      <w:r w:rsidR="00AB2369">
        <w:t>ohdistuvasta massasta tulisi ol</w:t>
      </w:r>
      <w:r w:rsidR="00AB2369" w:rsidRPr="00AB2369">
        <w:t>la kuitenkin vain, jos akseli on ilmajousitettu.</w:t>
      </w:r>
      <w:r w:rsidR="00AB2369">
        <w:t xml:space="preserve"> K</w:t>
      </w:r>
      <w:r w:rsidRPr="00EB4493">
        <w:t>ehittynyttä hätäjarrutusjärjestelmää, kaistavahtijä</w:t>
      </w:r>
      <w:r w:rsidR="00592141">
        <w:t>rjestelmää ja</w:t>
      </w:r>
      <w:r>
        <w:t xml:space="preserve"> elektronista ajonva</w:t>
      </w:r>
      <w:r w:rsidRPr="00EB4493">
        <w:t>kautusjärjestelmää ei edelly</w:t>
      </w:r>
      <w:r w:rsidR="00CC7298">
        <w:t>tettäisi</w:t>
      </w:r>
      <w:r>
        <w:t xml:space="preserve"> neli- tai useampiaskelisel</w:t>
      </w:r>
      <w:r w:rsidRPr="00EB4493">
        <w:t>ta autolta eikä N3G –luokan ajoneuvolta.</w:t>
      </w:r>
    </w:p>
    <w:p w:rsidR="000E60B6" w:rsidRPr="00966B06" w:rsidRDefault="000E60B6" w:rsidP="00FC3B1A">
      <w:pPr>
        <w:pStyle w:val="Leipteksti"/>
      </w:pPr>
    </w:p>
    <w:p w:rsidR="00DB3905" w:rsidRPr="00966B06" w:rsidRDefault="0013622C" w:rsidP="00FC3B1A">
      <w:pPr>
        <w:pStyle w:val="Leipteksti"/>
      </w:pPr>
      <w:r>
        <w:t>Eräissä lausunnoissa esitetty</w:t>
      </w:r>
      <w:r w:rsidR="00592141">
        <w:t>ä</w:t>
      </w:r>
      <w:r>
        <w:t xml:space="preserve"> t</w:t>
      </w:r>
      <w:r w:rsidRPr="0013622C">
        <w:t xml:space="preserve">iellä sallitun suurimman yhdistelmämassan </w:t>
      </w:r>
      <w:r w:rsidR="009E41B4">
        <w:t xml:space="preserve">(76 tonnia) </w:t>
      </w:r>
      <w:r w:rsidR="00B20F00">
        <w:t xml:space="preserve">korottamista ei </w:t>
      </w:r>
      <w:r w:rsidRPr="0013622C">
        <w:t>ole</w:t>
      </w:r>
      <w:r w:rsidR="00B20F00">
        <w:t xml:space="preserve"> arvioitu mahdolliseksi</w:t>
      </w:r>
      <w:r w:rsidR="00592141">
        <w:t xml:space="preserve"> koko tieverkolle eikä</w:t>
      </w:r>
      <w:r w:rsidRPr="0013622C">
        <w:t xml:space="preserve"> samassa aikataulussa mittojen kasvattamisen kanssa</w:t>
      </w:r>
      <w:r w:rsidR="00A878F7">
        <w:t>. N</w:t>
      </w:r>
      <w:r w:rsidRPr="0013622C">
        <w:t xml:space="preserve">ykyisen tieverkon rakenteiden alustava tarkastelu on osoittanut, että nykyistä suurinta sallittua yhdistelmämassaa </w:t>
      </w:r>
      <w:r w:rsidR="00A878F7">
        <w:t>olisi</w:t>
      </w:r>
      <w:r w:rsidR="009E41B4">
        <w:t xml:space="preserve"> mahdollista korottaa</w:t>
      </w:r>
      <w:r w:rsidRPr="0013622C">
        <w:t xml:space="preserve"> vain </w:t>
      </w:r>
      <w:r w:rsidR="00A878F7">
        <w:t xml:space="preserve">harvoilla tieosuuksilla, jotka eivät ilman parannustoimia muodostaisi </w:t>
      </w:r>
      <w:r w:rsidR="00AE17FD">
        <w:t xml:space="preserve">kattavaa </w:t>
      </w:r>
      <w:r w:rsidR="00A878F7">
        <w:t xml:space="preserve">elinkeinoelämän tarpeita vastaavaa raskaille yhdistelmille soveltuvaa verkostoa. </w:t>
      </w:r>
      <w:r w:rsidRPr="0013622C">
        <w:t>Rajatun verkon käyttöönotto olisi tarkoituksenmukaista järjestää siten, että suuremman massan tieverkosta olisi luotettavaa ja ajantasaista tietoa saatavilla ajon aikana, mikä edellyttää paitsi lain muutoksia myös muita aikaa vieviä täytäntöönpanotoimia muun muassa tietojärjestelmämuutoksia ja suuremmille massoille soveltuvan</w:t>
      </w:r>
      <w:r w:rsidR="00E079D7">
        <w:t xml:space="preserve"> ja tarkoituksenmukaisen</w:t>
      </w:r>
      <w:r w:rsidRPr="0013622C">
        <w:t xml:space="preserve"> tieverkon kartoittamista.</w:t>
      </w:r>
    </w:p>
    <w:p w:rsidR="00E56509" w:rsidRDefault="00E56509" w:rsidP="00FC3B1A">
      <w:pPr>
        <w:pStyle w:val="Leipteksti"/>
      </w:pPr>
    </w:p>
    <w:p w:rsidR="00B20F00" w:rsidRDefault="00B20F00" w:rsidP="00FC3B1A">
      <w:pPr>
        <w:pStyle w:val="Leipteksti"/>
      </w:pPr>
      <w:r>
        <w:t xml:space="preserve">Lausuntokierroksen jälkeen on vielä </w:t>
      </w:r>
      <w:r w:rsidR="002828E1">
        <w:t>muutettu</w:t>
      </w:r>
      <w:r>
        <w:t xml:space="preserve"> vähintään neliakselisen </w:t>
      </w:r>
      <w:r w:rsidR="002C3B5A">
        <w:t xml:space="preserve">enintään </w:t>
      </w:r>
      <w:r>
        <w:t>30 tonnin</w:t>
      </w:r>
      <w:r w:rsidR="002C3B5A">
        <w:t xml:space="preserve"> massaisen</w:t>
      </w:r>
      <w:r>
        <w:t xml:space="preserve"> perävaunun </w:t>
      </w:r>
      <w:r w:rsidR="00AE17FD">
        <w:t xml:space="preserve">ääriakselivälin vähimmäismittavaatimusta 4,7 metriin </w:t>
      </w:r>
      <w:r>
        <w:t xml:space="preserve">ja vähintään viisiakselisen </w:t>
      </w:r>
      <w:r w:rsidR="002C3B5A">
        <w:t xml:space="preserve">enintään </w:t>
      </w:r>
      <w:r>
        <w:t xml:space="preserve">36 tonnin </w:t>
      </w:r>
      <w:r w:rsidR="002C3B5A">
        <w:t xml:space="preserve">massaisen </w:t>
      </w:r>
      <w:r w:rsidR="00D57341">
        <w:t>perävaunun ääriakseliväl</w:t>
      </w:r>
      <w:r>
        <w:t>in vähimmä</w:t>
      </w:r>
      <w:r w:rsidR="002828E1">
        <w:t>ismittavaatimus</w:t>
      </w:r>
      <w:r w:rsidR="00AE17FD">
        <w:t>ta 6,7 metriin</w:t>
      </w:r>
      <w:r>
        <w:t xml:space="preserve">, koska lyhyempi teli </w:t>
      </w:r>
      <w:r w:rsidR="00E079D7">
        <w:t>helpottaa</w:t>
      </w:r>
      <w:r>
        <w:t xml:space="preserve"> aj</w:t>
      </w:r>
      <w:r w:rsidR="00E079D7">
        <w:t xml:space="preserve">oneuvon kääntymistä </w:t>
      </w:r>
      <w:r w:rsidR="002C3B5A">
        <w:t>erityisesti</w:t>
      </w:r>
      <w:r>
        <w:t xml:space="preserve"> epätasaisessa maastossa</w:t>
      </w:r>
      <w:r w:rsidR="00AE17FD">
        <w:t xml:space="preserve"> ja ahtailla lastaus- ja purkupaikoilla</w:t>
      </w:r>
      <w:r>
        <w:t xml:space="preserve">. </w:t>
      </w:r>
    </w:p>
    <w:p w:rsidR="002C3B5A" w:rsidRDefault="002C3B5A" w:rsidP="00FC3B1A">
      <w:pPr>
        <w:pStyle w:val="Leipteksti"/>
      </w:pPr>
    </w:p>
    <w:p w:rsidR="002C3B5A" w:rsidRDefault="002C3B5A" w:rsidP="00FC3B1A">
      <w:pPr>
        <w:pStyle w:val="Leipteksti"/>
      </w:pPr>
      <w:r>
        <w:t xml:space="preserve">Lisäksi uusien pidempien yhdistelmien </w:t>
      </w:r>
      <w:r w:rsidR="002828E1">
        <w:t>tavarankuljetusta on päätetty rajata</w:t>
      </w:r>
      <w:r>
        <w:t xml:space="preserve"> siten, että kuorma saisi </w:t>
      </w:r>
      <w:r w:rsidRPr="002C3B5A">
        <w:t xml:space="preserve">ulottua ajoneuvon takana enintään yhden metrin ajoneuvon uloimman osan ulkopuolelle.  </w:t>
      </w:r>
    </w:p>
    <w:p w:rsidR="00D1341D" w:rsidRDefault="00D1341D" w:rsidP="00FC3B1A">
      <w:pPr>
        <w:pStyle w:val="Leipteksti"/>
      </w:pPr>
    </w:p>
    <w:p w:rsidR="00E56509" w:rsidRPr="00966B06" w:rsidRDefault="00D1341D" w:rsidP="00FC3B1A">
      <w:pPr>
        <w:pStyle w:val="Leipteksti"/>
      </w:pPr>
      <w:r>
        <w:lastRenderedPageBreak/>
        <w:t xml:space="preserve">Lausuntokierroksen jälkeen asetusehdotukseen on vielä päätetty muuttaa ajoneuvoyhdistelmien suurimpia sallittuja massoja siten, että </w:t>
      </w:r>
      <w:r w:rsidR="00C14CDE">
        <w:t>v</w:t>
      </w:r>
      <w:r w:rsidR="00C14CDE" w:rsidRPr="00C14CDE">
        <w:t>aihto</w:t>
      </w:r>
      <w:r w:rsidR="00C14CDE">
        <w:t>ehtoisia käyttövoimia käyttävässä yhdistelmässä massa saisi</w:t>
      </w:r>
      <w:r w:rsidR="00C14CDE" w:rsidRPr="00C14CDE">
        <w:t xml:space="preserve"> olla säädettyä suurinta sallittua arvoa suurempi siltä osin kuin valmistaja osoittaa, että massan kasvu johtuu vaihtoehtoisen käyttövoim</w:t>
      </w:r>
      <w:r w:rsidR="00C14CDE">
        <w:t xml:space="preserve">an edellyttämästä lisäpainosta, kuitenkin </w:t>
      </w:r>
      <w:r w:rsidR="00C14CDE" w:rsidRPr="00C14CDE">
        <w:t>enintään yksi tonni.</w:t>
      </w:r>
      <w:r w:rsidR="00C14CDE" w:rsidRPr="00966B06">
        <w:t xml:space="preserve"> </w:t>
      </w:r>
    </w:p>
    <w:p w:rsidR="00E56509" w:rsidRPr="00966B06" w:rsidRDefault="00E56509" w:rsidP="00FC3B1A">
      <w:pPr>
        <w:pStyle w:val="Leipteksti"/>
      </w:pPr>
    </w:p>
    <w:p w:rsidR="009F18EF" w:rsidRPr="00966B06" w:rsidRDefault="009F18EF" w:rsidP="00FC3B1A">
      <w:pPr>
        <w:pStyle w:val="Leipteksti"/>
      </w:pPr>
    </w:p>
    <w:p w:rsidR="009F18EF" w:rsidRPr="00966B06" w:rsidRDefault="009F18EF" w:rsidP="00FC3B1A">
      <w:pPr>
        <w:pStyle w:val="Leipteksti"/>
      </w:pPr>
    </w:p>
    <w:p w:rsidR="009F18EF" w:rsidRPr="00966B06" w:rsidRDefault="009F18EF" w:rsidP="00234E3B"/>
    <w:sectPr w:rsidR="009F18EF" w:rsidRPr="00966B06" w:rsidSect="00F916C2">
      <w:headerReference w:type="default" r:id="rId11"/>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861" w:rsidRDefault="00195861">
      <w:r>
        <w:separator/>
      </w:r>
    </w:p>
  </w:endnote>
  <w:endnote w:type="continuationSeparator" w:id="0">
    <w:p w:rsidR="00195861" w:rsidRDefault="0019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C2" w:rsidRDefault="00F916C2" w:rsidP="00F916C2"/>
  <w:p w:rsidR="00F916C2" w:rsidRDefault="00195861" w:rsidP="00F916C2">
    <w:pPr>
      <w:pStyle w:val="LVMAsiakirjanidver"/>
    </w:pPr>
    <w:r>
      <w:fldChar w:fldCharType="begin"/>
    </w:r>
    <w:r>
      <w:instrText xml:space="preserve"> DOCPROPERTY  tweb_doc_id  \* MERGEFORMAT </w:instrText>
    </w:r>
    <w:r>
      <w:fldChar w:fldCharType="separate"/>
    </w:r>
    <w:r w:rsidR="00E079D7">
      <w:t>273561</w:t>
    </w:r>
    <w:r>
      <w:fldChar w:fldCharType="end"/>
    </w:r>
    <w:r w:rsidR="00F916C2">
      <w:t xml:space="preserve">  </w:t>
    </w:r>
    <w:r>
      <w:fldChar w:fldCharType="begin"/>
    </w:r>
    <w:r>
      <w:instrText xml:space="preserve"> DOCPROPERTY  tweb_doc_mamiversion  \* MERGEFORMAT </w:instrText>
    </w:r>
    <w:r>
      <w:fldChar w:fldCharType="separate"/>
    </w:r>
    <w:r w:rsidR="00E079D7">
      <w:t>0.2</w:t>
    </w:r>
    <w:r>
      <w:fldChar w:fldCharType="end"/>
    </w:r>
  </w:p>
  <w:p w:rsidR="00F916C2" w:rsidRPr="00653640" w:rsidRDefault="00F916C2" w:rsidP="00F916C2">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F916C2" w:rsidTr="001E775F">
      <w:trPr>
        <w:cantSplit/>
        <w:trHeight w:hRule="exact" w:val="113"/>
      </w:trPr>
      <w:tc>
        <w:tcPr>
          <w:tcW w:w="2628" w:type="dxa"/>
          <w:tcBorders>
            <w:top w:val="single" w:sz="4" w:space="0" w:color="auto"/>
          </w:tcBorders>
          <w:noWrap/>
        </w:tcPr>
        <w:p w:rsidR="00F916C2" w:rsidRDefault="00F916C2" w:rsidP="001E775F">
          <w:pPr>
            <w:pStyle w:val="Alatunniste"/>
          </w:pPr>
        </w:p>
      </w:tc>
      <w:tc>
        <w:tcPr>
          <w:tcW w:w="1796" w:type="dxa"/>
          <w:tcBorders>
            <w:top w:val="single" w:sz="4" w:space="0" w:color="auto"/>
          </w:tcBorders>
          <w:noWrap/>
        </w:tcPr>
        <w:p w:rsidR="00F916C2" w:rsidRDefault="00F916C2" w:rsidP="001E775F">
          <w:pPr>
            <w:pStyle w:val="Alatunniste"/>
          </w:pPr>
        </w:p>
      </w:tc>
      <w:tc>
        <w:tcPr>
          <w:tcW w:w="2057" w:type="dxa"/>
          <w:tcBorders>
            <w:top w:val="single" w:sz="4" w:space="0" w:color="auto"/>
          </w:tcBorders>
          <w:noWrap/>
        </w:tcPr>
        <w:p w:rsidR="00F916C2" w:rsidRDefault="00F916C2" w:rsidP="001E775F">
          <w:pPr>
            <w:pStyle w:val="Alatunniste"/>
          </w:pPr>
        </w:p>
      </w:tc>
      <w:tc>
        <w:tcPr>
          <w:tcW w:w="1316" w:type="dxa"/>
          <w:tcBorders>
            <w:top w:val="single" w:sz="4" w:space="0" w:color="auto"/>
          </w:tcBorders>
          <w:noWrap/>
        </w:tcPr>
        <w:p w:rsidR="00F916C2" w:rsidRDefault="00F916C2" w:rsidP="001E775F">
          <w:pPr>
            <w:pStyle w:val="Alatunniste"/>
          </w:pPr>
        </w:p>
      </w:tc>
      <w:tc>
        <w:tcPr>
          <w:tcW w:w="2551" w:type="dxa"/>
          <w:tcBorders>
            <w:top w:val="single" w:sz="4" w:space="0" w:color="auto"/>
          </w:tcBorders>
          <w:noWrap/>
        </w:tcPr>
        <w:p w:rsidR="00F916C2" w:rsidRDefault="00F916C2" w:rsidP="001E775F">
          <w:pPr>
            <w:pStyle w:val="Alatunniste"/>
          </w:pPr>
        </w:p>
      </w:tc>
    </w:tr>
    <w:tr w:rsidR="00F916C2" w:rsidTr="001E775F">
      <w:trPr>
        <w:cantSplit/>
        <w:trHeight w:hRule="exact" w:val="227"/>
      </w:trPr>
      <w:tc>
        <w:tcPr>
          <w:tcW w:w="2628" w:type="dxa"/>
          <w:noWrap/>
        </w:tcPr>
        <w:p w:rsidR="00F916C2" w:rsidRDefault="00F916C2" w:rsidP="001E775F">
          <w:pPr>
            <w:pStyle w:val="Alatunniste"/>
          </w:pPr>
          <w:r>
            <w:t>Liikenne- ja viestintäministeriö</w:t>
          </w:r>
        </w:p>
      </w:tc>
      <w:tc>
        <w:tcPr>
          <w:tcW w:w="1796" w:type="dxa"/>
          <w:noWrap/>
        </w:tcPr>
        <w:p w:rsidR="00F916C2" w:rsidRDefault="00F916C2" w:rsidP="001E775F">
          <w:pPr>
            <w:pStyle w:val="Alatunniste"/>
          </w:pPr>
          <w:r>
            <w:t>Käyntiosoite</w:t>
          </w:r>
        </w:p>
      </w:tc>
      <w:tc>
        <w:tcPr>
          <w:tcW w:w="2057" w:type="dxa"/>
          <w:noWrap/>
        </w:tcPr>
        <w:p w:rsidR="00F916C2" w:rsidRDefault="00F916C2" w:rsidP="001E775F">
          <w:pPr>
            <w:pStyle w:val="Alatunniste"/>
          </w:pPr>
          <w:r>
            <w:t>Postiosoite</w:t>
          </w:r>
        </w:p>
      </w:tc>
      <w:tc>
        <w:tcPr>
          <w:tcW w:w="1316" w:type="dxa"/>
          <w:noWrap/>
        </w:tcPr>
        <w:p w:rsidR="00F916C2" w:rsidRDefault="00F916C2" w:rsidP="001E775F">
          <w:pPr>
            <w:pStyle w:val="Alatunniste"/>
          </w:pPr>
          <w:r>
            <w:t>Puhelin</w:t>
          </w:r>
        </w:p>
      </w:tc>
      <w:tc>
        <w:tcPr>
          <w:tcW w:w="2551" w:type="dxa"/>
          <w:noWrap/>
        </w:tcPr>
        <w:p w:rsidR="00F916C2" w:rsidRDefault="00F916C2" w:rsidP="001E775F">
          <w:pPr>
            <w:pStyle w:val="Alatunniste"/>
          </w:pPr>
          <w:r>
            <w:t>www.lvm.fi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1E775F">
          <w:pPr>
            <w:pStyle w:val="Alatunniste"/>
          </w:pPr>
          <w:r>
            <w:t xml:space="preserve">Eteläesplanadi 16 </w:t>
          </w:r>
        </w:p>
      </w:tc>
      <w:tc>
        <w:tcPr>
          <w:tcW w:w="2057" w:type="dxa"/>
        </w:tcPr>
        <w:p w:rsidR="00F916C2" w:rsidRDefault="00F916C2" w:rsidP="001E775F">
          <w:pPr>
            <w:pStyle w:val="Alatunniste"/>
          </w:pPr>
          <w:r>
            <w:t>PL 31</w:t>
          </w:r>
        </w:p>
      </w:tc>
      <w:tc>
        <w:tcPr>
          <w:tcW w:w="1316" w:type="dxa"/>
        </w:tcPr>
        <w:p w:rsidR="00F916C2" w:rsidRDefault="00F916C2" w:rsidP="001E775F">
          <w:pPr>
            <w:pStyle w:val="Alatunniste"/>
          </w:pPr>
          <w:r>
            <w:t>029516001</w:t>
          </w:r>
        </w:p>
      </w:tc>
      <w:tc>
        <w:tcPr>
          <w:tcW w:w="2551" w:type="dxa"/>
        </w:tcPr>
        <w:p w:rsidR="00F916C2" w:rsidRDefault="00F916C2" w:rsidP="001E775F">
          <w:pPr>
            <w:pStyle w:val="Alatunniste"/>
          </w:pPr>
          <w:r>
            <w:t>etunimi.sukunimi@lvm.fi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234E3B" w:rsidP="001E775F">
          <w:pPr>
            <w:pStyle w:val="Alatunniste"/>
          </w:pPr>
          <w:r>
            <w:t>Helsinki</w:t>
          </w:r>
        </w:p>
      </w:tc>
      <w:tc>
        <w:tcPr>
          <w:tcW w:w="2057" w:type="dxa"/>
        </w:tcPr>
        <w:p w:rsidR="00F916C2" w:rsidRDefault="00F916C2" w:rsidP="001E775F">
          <w:pPr>
            <w:pStyle w:val="Alatunniste"/>
          </w:pPr>
          <w:r>
            <w:t>00023 Valtioneuvosto</w:t>
          </w:r>
        </w:p>
      </w:tc>
      <w:tc>
        <w:tcPr>
          <w:tcW w:w="1316" w:type="dxa"/>
        </w:tcPr>
        <w:p w:rsidR="00F916C2" w:rsidRDefault="00F916C2" w:rsidP="001E775F">
          <w:pPr>
            <w:pStyle w:val="Alatunniste"/>
          </w:pPr>
        </w:p>
      </w:tc>
      <w:tc>
        <w:tcPr>
          <w:tcW w:w="2551" w:type="dxa"/>
        </w:tcPr>
        <w:p w:rsidR="00F916C2" w:rsidRDefault="00F916C2" w:rsidP="001E775F">
          <w:pPr>
            <w:pStyle w:val="Alatunniste"/>
          </w:pPr>
          <w:r>
            <w:t>kirjaamo@lvm.fi</w:t>
          </w:r>
        </w:p>
      </w:tc>
    </w:tr>
    <w:tr w:rsidR="00F916C2" w:rsidTr="001E775F">
      <w:trPr>
        <w:cantSplit/>
        <w:trHeight w:hRule="exact" w:val="227"/>
      </w:trPr>
      <w:tc>
        <w:tcPr>
          <w:tcW w:w="2628" w:type="dxa"/>
        </w:tcPr>
        <w:p w:rsidR="00F916C2" w:rsidRDefault="00F916C2" w:rsidP="001E775F">
          <w:pPr>
            <w:pStyle w:val="Alatunniste"/>
          </w:pPr>
        </w:p>
      </w:tc>
      <w:tc>
        <w:tcPr>
          <w:tcW w:w="1796" w:type="dxa"/>
        </w:tcPr>
        <w:p w:rsidR="00F916C2" w:rsidRDefault="00F916C2" w:rsidP="001E775F">
          <w:pPr>
            <w:pStyle w:val="Alatunniste"/>
          </w:pPr>
        </w:p>
      </w:tc>
      <w:tc>
        <w:tcPr>
          <w:tcW w:w="2057" w:type="dxa"/>
        </w:tcPr>
        <w:p w:rsidR="00F916C2" w:rsidRDefault="00F916C2" w:rsidP="001E775F">
          <w:pPr>
            <w:pStyle w:val="Alatunniste"/>
          </w:pPr>
        </w:p>
      </w:tc>
      <w:tc>
        <w:tcPr>
          <w:tcW w:w="1316" w:type="dxa"/>
        </w:tcPr>
        <w:p w:rsidR="00F916C2" w:rsidRDefault="00F916C2" w:rsidP="001E775F">
          <w:pPr>
            <w:pStyle w:val="Alatunniste"/>
          </w:pPr>
        </w:p>
      </w:tc>
      <w:tc>
        <w:tcPr>
          <w:tcW w:w="2551" w:type="dxa"/>
        </w:tcPr>
        <w:p w:rsidR="00F916C2" w:rsidRDefault="00F916C2" w:rsidP="001E775F">
          <w:pPr>
            <w:pStyle w:val="Alatunniste"/>
          </w:pPr>
        </w:p>
      </w:tc>
    </w:tr>
  </w:tbl>
  <w:p w:rsidR="009F18EF" w:rsidRPr="00F916C2" w:rsidRDefault="009F18EF" w:rsidP="00F916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40" w:rsidRDefault="00653640" w:rsidP="00037954"/>
  <w:p w:rsidR="00037954" w:rsidRDefault="00D57341" w:rsidP="00150D84">
    <w:pPr>
      <w:pStyle w:val="LVMAsiakirjanidver"/>
    </w:pPr>
    <w:fldSimple w:instr=" DOCPROPERTY  tweb_doc_id  \* MERGEFORMAT ">
      <w:r w:rsidR="00E079D7">
        <w:t>273561</w:t>
      </w:r>
    </w:fldSimple>
    <w:r w:rsidR="00037954">
      <w:t xml:space="preserve">  </w:t>
    </w:r>
    <w:fldSimple w:instr=" DOCPROPERTY  tweb_doc_mamiversion  \* MERGEFORMAT ">
      <w:r w:rsidR="00E079D7">
        <w:t>0.2</w:t>
      </w:r>
    </w:fldSimple>
  </w:p>
  <w:p w:rsidR="00037954" w:rsidRPr="00653640" w:rsidRDefault="00037954"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653640" w:rsidTr="00F916C2">
      <w:trPr>
        <w:cantSplit/>
        <w:trHeight w:hRule="exact" w:val="113"/>
      </w:trPr>
      <w:tc>
        <w:tcPr>
          <w:tcW w:w="2628" w:type="dxa"/>
          <w:tcBorders>
            <w:top w:val="single" w:sz="4" w:space="0" w:color="auto"/>
          </w:tcBorders>
          <w:noWrap/>
        </w:tcPr>
        <w:p w:rsidR="00653640" w:rsidRDefault="00653640" w:rsidP="00653640">
          <w:pPr>
            <w:pStyle w:val="Alatunniste"/>
          </w:pPr>
        </w:p>
      </w:tc>
      <w:tc>
        <w:tcPr>
          <w:tcW w:w="1796" w:type="dxa"/>
          <w:tcBorders>
            <w:top w:val="single" w:sz="4" w:space="0" w:color="auto"/>
          </w:tcBorders>
          <w:noWrap/>
        </w:tcPr>
        <w:p w:rsidR="00653640" w:rsidRDefault="00653640" w:rsidP="00653640">
          <w:pPr>
            <w:pStyle w:val="Alatunniste"/>
          </w:pPr>
        </w:p>
      </w:tc>
      <w:tc>
        <w:tcPr>
          <w:tcW w:w="2057" w:type="dxa"/>
          <w:tcBorders>
            <w:top w:val="single" w:sz="4" w:space="0" w:color="auto"/>
          </w:tcBorders>
          <w:noWrap/>
        </w:tcPr>
        <w:p w:rsidR="00653640" w:rsidRDefault="00653640" w:rsidP="00653640">
          <w:pPr>
            <w:pStyle w:val="Alatunniste"/>
          </w:pPr>
        </w:p>
      </w:tc>
      <w:tc>
        <w:tcPr>
          <w:tcW w:w="1316" w:type="dxa"/>
          <w:tcBorders>
            <w:top w:val="single" w:sz="4" w:space="0" w:color="auto"/>
          </w:tcBorders>
          <w:noWrap/>
        </w:tcPr>
        <w:p w:rsidR="00653640" w:rsidRDefault="00653640" w:rsidP="00653640">
          <w:pPr>
            <w:pStyle w:val="Alatunniste"/>
          </w:pPr>
        </w:p>
      </w:tc>
      <w:tc>
        <w:tcPr>
          <w:tcW w:w="2551" w:type="dxa"/>
          <w:tcBorders>
            <w:top w:val="single" w:sz="4" w:space="0" w:color="auto"/>
          </w:tcBorders>
          <w:noWrap/>
        </w:tcPr>
        <w:p w:rsidR="00653640" w:rsidRDefault="00653640" w:rsidP="00653640">
          <w:pPr>
            <w:pStyle w:val="Alatunniste"/>
          </w:pPr>
        </w:p>
      </w:tc>
    </w:tr>
    <w:tr w:rsidR="00037954" w:rsidTr="00653640">
      <w:trPr>
        <w:cantSplit/>
        <w:trHeight w:hRule="exact" w:val="227"/>
      </w:trPr>
      <w:tc>
        <w:tcPr>
          <w:tcW w:w="2628" w:type="dxa"/>
          <w:noWrap/>
        </w:tcPr>
        <w:p w:rsidR="00037954" w:rsidRDefault="00037954" w:rsidP="00653640">
          <w:pPr>
            <w:pStyle w:val="Alatunniste"/>
          </w:pPr>
          <w:r>
            <w:t>Liikenne- ja viestintäministeriö</w:t>
          </w:r>
        </w:p>
      </w:tc>
      <w:tc>
        <w:tcPr>
          <w:tcW w:w="1796" w:type="dxa"/>
          <w:noWrap/>
        </w:tcPr>
        <w:p w:rsidR="00037954" w:rsidRDefault="00037954" w:rsidP="00653640">
          <w:pPr>
            <w:pStyle w:val="Alatunniste"/>
          </w:pPr>
          <w:r>
            <w:t>Käyntiosoite</w:t>
          </w:r>
        </w:p>
      </w:tc>
      <w:tc>
        <w:tcPr>
          <w:tcW w:w="2057" w:type="dxa"/>
          <w:noWrap/>
        </w:tcPr>
        <w:p w:rsidR="00037954" w:rsidRDefault="00037954" w:rsidP="00653640">
          <w:pPr>
            <w:pStyle w:val="Alatunniste"/>
          </w:pPr>
          <w:r>
            <w:t>Postiosoite</w:t>
          </w:r>
        </w:p>
      </w:tc>
      <w:tc>
        <w:tcPr>
          <w:tcW w:w="1316" w:type="dxa"/>
          <w:noWrap/>
        </w:tcPr>
        <w:p w:rsidR="00037954" w:rsidRDefault="00037954" w:rsidP="00653640">
          <w:pPr>
            <w:pStyle w:val="Alatunniste"/>
          </w:pPr>
          <w:r>
            <w:t>Puhelin</w:t>
          </w:r>
        </w:p>
      </w:tc>
      <w:tc>
        <w:tcPr>
          <w:tcW w:w="2551" w:type="dxa"/>
          <w:noWrap/>
        </w:tcPr>
        <w:p w:rsidR="00037954" w:rsidRDefault="00037954" w:rsidP="00653640">
          <w:pPr>
            <w:pStyle w:val="Alatunniste"/>
          </w:pPr>
          <w:r>
            <w:t>www.lvm.fi</w:t>
          </w:r>
        </w:p>
      </w:tc>
    </w:tr>
    <w:tr w:rsidR="00037954" w:rsidTr="00653640">
      <w:trPr>
        <w:cantSplit/>
        <w:trHeight w:hRule="exact" w:val="227"/>
      </w:trPr>
      <w:tc>
        <w:tcPr>
          <w:tcW w:w="2628" w:type="dxa"/>
        </w:tcPr>
        <w:p w:rsidR="00037954" w:rsidRDefault="00037954" w:rsidP="00653640">
          <w:pPr>
            <w:pStyle w:val="Alatunniste"/>
          </w:pPr>
        </w:p>
      </w:tc>
      <w:tc>
        <w:tcPr>
          <w:tcW w:w="1796" w:type="dxa"/>
        </w:tcPr>
        <w:p w:rsidR="00037954" w:rsidRDefault="004E5453" w:rsidP="00653640">
          <w:pPr>
            <w:pStyle w:val="Alatunniste"/>
          </w:pPr>
          <w:r>
            <w:t>Eteläesplanadi 16</w:t>
          </w:r>
          <w:r w:rsidR="00037954">
            <w:t xml:space="preserve"> </w:t>
          </w:r>
        </w:p>
      </w:tc>
      <w:tc>
        <w:tcPr>
          <w:tcW w:w="2057" w:type="dxa"/>
        </w:tcPr>
        <w:p w:rsidR="00037954" w:rsidRDefault="00037954" w:rsidP="00653640">
          <w:pPr>
            <w:pStyle w:val="Alatunniste"/>
          </w:pPr>
          <w:r>
            <w:t>PL 31</w:t>
          </w:r>
        </w:p>
      </w:tc>
      <w:tc>
        <w:tcPr>
          <w:tcW w:w="1316" w:type="dxa"/>
        </w:tcPr>
        <w:p w:rsidR="00037954" w:rsidRDefault="00CF779F" w:rsidP="00653640">
          <w:pPr>
            <w:pStyle w:val="Alatunniste"/>
          </w:pPr>
          <w:r>
            <w:t>029516001</w:t>
          </w:r>
        </w:p>
      </w:tc>
      <w:tc>
        <w:tcPr>
          <w:tcW w:w="2551" w:type="dxa"/>
        </w:tcPr>
        <w:p w:rsidR="00037954" w:rsidRDefault="00037954" w:rsidP="00653640">
          <w:pPr>
            <w:pStyle w:val="Alatunniste"/>
          </w:pPr>
          <w:r>
            <w:t>etunimi.sukunimi@lvm.fi</w:t>
          </w:r>
        </w:p>
      </w:tc>
    </w:tr>
    <w:tr w:rsidR="00653640" w:rsidTr="00653640">
      <w:trPr>
        <w:cantSplit/>
        <w:trHeight w:hRule="exact" w:val="227"/>
      </w:trPr>
      <w:tc>
        <w:tcPr>
          <w:tcW w:w="2628" w:type="dxa"/>
        </w:tcPr>
        <w:p w:rsidR="00653640" w:rsidRDefault="00653640" w:rsidP="00653640">
          <w:pPr>
            <w:pStyle w:val="Alatunniste"/>
          </w:pPr>
        </w:p>
      </w:tc>
      <w:tc>
        <w:tcPr>
          <w:tcW w:w="1796" w:type="dxa"/>
        </w:tcPr>
        <w:p w:rsidR="00653640" w:rsidRDefault="00C310E8" w:rsidP="00653640">
          <w:pPr>
            <w:pStyle w:val="Alatunniste"/>
          </w:pPr>
          <w:r>
            <w:t>Helsinki</w:t>
          </w:r>
        </w:p>
      </w:tc>
      <w:tc>
        <w:tcPr>
          <w:tcW w:w="2057" w:type="dxa"/>
        </w:tcPr>
        <w:p w:rsidR="00653640" w:rsidRDefault="00653640" w:rsidP="001E775F">
          <w:pPr>
            <w:pStyle w:val="Alatunniste"/>
          </w:pPr>
          <w:r>
            <w:t>00023 Valtioneuvosto</w:t>
          </w:r>
        </w:p>
      </w:tc>
      <w:tc>
        <w:tcPr>
          <w:tcW w:w="1316" w:type="dxa"/>
        </w:tcPr>
        <w:p w:rsidR="00653640" w:rsidRDefault="00653640" w:rsidP="001E775F">
          <w:pPr>
            <w:pStyle w:val="Alatunniste"/>
          </w:pPr>
        </w:p>
      </w:tc>
      <w:tc>
        <w:tcPr>
          <w:tcW w:w="2551" w:type="dxa"/>
        </w:tcPr>
        <w:p w:rsidR="00653640" w:rsidRDefault="00653640" w:rsidP="001E775F">
          <w:pPr>
            <w:pStyle w:val="Alatunniste"/>
          </w:pPr>
          <w:r>
            <w:t>kirjaamo@lvm.fi</w:t>
          </w:r>
        </w:p>
      </w:tc>
    </w:tr>
    <w:tr w:rsidR="00653640" w:rsidTr="00653640">
      <w:trPr>
        <w:cantSplit/>
        <w:trHeight w:hRule="exact" w:val="227"/>
      </w:trPr>
      <w:tc>
        <w:tcPr>
          <w:tcW w:w="2628" w:type="dxa"/>
        </w:tcPr>
        <w:p w:rsidR="00653640" w:rsidRDefault="00653640" w:rsidP="00653640">
          <w:pPr>
            <w:pStyle w:val="Alatunniste"/>
          </w:pPr>
        </w:p>
      </w:tc>
      <w:tc>
        <w:tcPr>
          <w:tcW w:w="1796" w:type="dxa"/>
        </w:tcPr>
        <w:p w:rsidR="00653640" w:rsidRDefault="00653640" w:rsidP="001E775F">
          <w:pPr>
            <w:pStyle w:val="Alatunniste"/>
          </w:pPr>
        </w:p>
      </w:tc>
      <w:tc>
        <w:tcPr>
          <w:tcW w:w="2057" w:type="dxa"/>
        </w:tcPr>
        <w:p w:rsidR="00653640" w:rsidRDefault="00653640" w:rsidP="001E775F">
          <w:pPr>
            <w:pStyle w:val="Alatunniste"/>
          </w:pPr>
        </w:p>
      </w:tc>
      <w:tc>
        <w:tcPr>
          <w:tcW w:w="1316" w:type="dxa"/>
        </w:tcPr>
        <w:p w:rsidR="00653640" w:rsidRDefault="00653640" w:rsidP="001E775F">
          <w:pPr>
            <w:pStyle w:val="Alatunniste"/>
          </w:pPr>
        </w:p>
      </w:tc>
      <w:tc>
        <w:tcPr>
          <w:tcW w:w="2551" w:type="dxa"/>
        </w:tcPr>
        <w:p w:rsidR="00653640" w:rsidRDefault="00653640" w:rsidP="001E775F">
          <w:pPr>
            <w:pStyle w:val="Alatunniste"/>
          </w:pPr>
        </w:p>
      </w:tc>
    </w:tr>
  </w:tbl>
  <w:p w:rsidR="00037954" w:rsidRDefault="000379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861" w:rsidRDefault="00195861">
      <w:r>
        <w:separator/>
      </w:r>
    </w:p>
  </w:footnote>
  <w:footnote w:type="continuationSeparator" w:id="0">
    <w:p w:rsidR="00195861" w:rsidRDefault="0019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07" w:rsidRDefault="00F20007">
    <w:pPr>
      <w:pStyle w:val="Yltunniste"/>
    </w:pPr>
    <w:r>
      <w:tab/>
    </w:r>
    <w:r>
      <w:rPr>
        <w:rStyle w:val="Sivunumero"/>
      </w:rPr>
      <w:fldChar w:fldCharType="begin"/>
    </w:r>
    <w:r>
      <w:rPr>
        <w:rStyle w:val="Sivunumero"/>
      </w:rPr>
      <w:instrText xml:space="preserve"> PAGE </w:instrText>
    </w:r>
    <w:r>
      <w:rPr>
        <w:rStyle w:val="Sivunumero"/>
      </w:rPr>
      <w:fldChar w:fldCharType="separate"/>
    </w:r>
    <w:r w:rsidR="00E079D7">
      <w:rPr>
        <w:rStyle w:val="Sivunumero"/>
        <w:noProof/>
      </w:rPr>
      <w:t>1</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E079D7">
      <w:rPr>
        <w:rStyle w:val="Sivunumero"/>
        <w:noProof/>
      </w:rPr>
      <w:t>4</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01" w:rsidRPr="00EB5F36" w:rsidRDefault="00B80601"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C27EF6">
      <w:rPr>
        <w:rStyle w:val="Sivunumero"/>
        <w:noProof/>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C27EF6">
      <w:rPr>
        <w:rStyle w:val="Sivunumero"/>
        <w:noProof/>
      </w:rPr>
      <w:t>6</w:t>
    </w:r>
    <w:r w:rsidRPr="00EB5F36">
      <w:rPr>
        <w:rStyle w:val="Sivunumero"/>
      </w:rPr>
      <w:fldChar w:fldCharType="end"/>
    </w:r>
    <w:r w:rsidRPr="00EB5F36">
      <w:rPr>
        <w:rStyle w:val="Sivunumero"/>
      </w:rPr>
      <w:t>)</w:t>
    </w:r>
  </w:p>
  <w:p w:rsidR="00653640" w:rsidRDefault="00E61DC5">
    <w:pPr>
      <w:pStyle w:val="Yltunniste"/>
    </w:pPr>
    <w:r>
      <w:rPr>
        <w:noProof/>
      </w:rPr>
      <w:drawing>
        <wp:anchor distT="0" distB="0" distL="114300" distR="114300" simplePos="0" relativeHeight="251659264" behindDoc="1" locked="0" layoutInCell="0" allowOverlap="1" wp14:anchorId="1260E024" wp14:editId="29837449">
          <wp:simplePos x="0" y="0"/>
          <wp:positionH relativeFrom="page">
            <wp:posOffset>558165</wp:posOffset>
          </wp:positionH>
          <wp:positionV relativeFrom="page">
            <wp:posOffset>252095</wp:posOffset>
          </wp:positionV>
          <wp:extent cx="2804400" cy="590400"/>
          <wp:effectExtent l="0" t="0" r="0" b="63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a:extLst>
                      <a:ext uri="{28A0092B-C50C-407E-A947-70E740481C1C}">
                        <a14:useLocalDpi xmlns:a14="http://schemas.microsoft.com/office/drawing/2010/main" val="0"/>
                      </a:ext>
                    </a:extLst>
                  </a:blip>
                  <a:stretch>
                    <a:fillRect/>
                  </a:stretch>
                </pic:blipFill>
                <pic:spPr>
                  <a:xfrm>
                    <a:off x="0" y="0"/>
                    <a:ext cx="2804400" cy="59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36" w:rsidRPr="00EB5F36" w:rsidRDefault="00EB5F36"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C27EF6">
      <w:rPr>
        <w:rStyle w:val="Sivunumero"/>
        <w:noProof/>
      </w:rPr>
      <w:t>4</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C27EF6">
      <w:rPr>
        <w:rStyle w:val="Sivunumero"/>
        <w:noProof/>
      </w:rPr>
      <w:t>6</w:t>
    </w:r>
    <w:r w:rsidRPr="00EB5F36">
      <w:rPr>
        <w:rStyle w:val="Sivunumero"/>
      </w:rPr>
      <w:fldChar w:fldCharType="end"/>
    </w:r>
    <w:r w:rsidRPr="00EB5F36">
      <w:rPr>
        <w:rStyle w:val="Sivunumero"/>
      </w:rPr>
      <w:t>)</w:t>
    </w:r>
  </w:p>
  <w:p w:rsidR="00EB5F36" w:rsidRDefault="00EB5F36" w:rsidP="00EB5F36">
    <w:pPr>
      <w:pStyle w:val="Yltunniste"/>
    </w:pPr>
  </w:p>
  <w:p w:rsidR="00E56509" w:rsidRPr="00EB5F36" w:rsidRDefault="00E56509"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5"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6" w15:restartNumberingAfterBreak="0">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8"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19"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3"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4A45036B"/>
    <w:multiLevelType w:val="multilevel"/>
    <w:tmpl w:val="173832AA"/>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7" w15:restartNumberingAfterBreak="0">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9"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15:restartNumberingAfterBreak="0">
    <w:nsid w:val="608D51EF"/>
    <w:multiLevelType w:val="multilevel"/>
    <w:tmpl w:val="22D82C84"/>
    <w:lvl w:ilvl="0">
      <w:start w:val="1"/>
      <w:numFmt w:val="bullet"/>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1"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7B09E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0"/>
  </w:num>
  <w:num w:numId="3">
    <w:abstractNumId w:val="17"/>
  </w:num>
  <w:num w:numId="4">
    <w:abstractNumId w:val="28"/>
  </w:num>
  <w:num w:numId="5">
    <w:abstractNumId w:val="15"/>
  </w:num>
  <w:num w:numId="6">
    <w:abstractNumId w:val="14"/>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2"/>
  </w:num>
  <w:num w:numId="15">
    <w:abstractNumId w:val="22"/>
  </w:num>
  <w:num w:numId="16">
    <w:abstractNumId w:val="30"/>
  </w:num>
  <w:num w:numId="17">
    <w:abstractNumId w:val="30"/>
  </w:num>
  <w:num w:numId="18">
    <w:abstractNumId w:val="30"/>
  </w:num>
  <w:num w:numId="19">
    <w:abstractNumId w:val="8"/>
  </w:num>
  <w:num w:numId="20">
    <w:abstractNumId w:val="30"/>
  </w:num>
  <w:num w:numId="21">
    <w:abstractNumId w:val="7"/>
  </w:num>
  <w:num w:numId="22">
    <w:abstractNumId w:val="31"/>
  </w:num>
  <w:num w:numId="23">
    <w:abstractNumId w:val="18"/>
  </w:num>
  <w:num w:numId="24">
    <w:abstractNumId w:val="25"/>
  </w:num>
  <w:num w:numId="25">
    <w:abstractNumId w:val="21"/>
  </w:num>
  <w:num w:numId="26">
    <w:abstractNumId w:val="32"/>
  </w:num>
  <w:num w:numId="27">
    <w:abstractNumId w:val="39"/>
  </w:num>
  <w:num w:numId="28">
    <w:abstractNumId w:val="41"/>
  </w:num>
  <w:num w:numId="29">
    <w:abstractNumId w:val="11"/>
  </w:num>
  <w:num w:numId="30">
    <w:abstractNumId w:val="12"/>
  </w:num>
  <w:num w:numId="31">
    <w:abstractNumId w:val="37"/>
  </w:num>
  <w:num w:numId="32">
    <w:abstractNumId w:val="19"/>
  </w:num>
  <w:num w:numId="33">
    <w:abstractNumId w:val="20"/>
  </w:num>
  <w:num w:numId="34">
    <w:abstractNumId w:val="35"/>
  </w:num>
  <w:num w:numId="35">
    <w:abstractNumId w:val="33"/>
  </w:num>
  <w:num w:numId="36">
    <w:abstractNumId w:val="23"/>
  </w:num>
  <w:num w:numId="37">
    <w:abstractNumId w:val="9"/>
  </w:num>
  <w:num w:numId="38">
    <w:abstractNumId w:val="34"/>
  </w:num>
  <w:num w:numId="39">
    <w:abstractNumId w:val="29"/>
  </w:num>
  <w:num w:numId="40">
    <w:abstractNumId w:val="25"/>
  </w:num>
  <w:num w:numId="41">
    <w:abstractNumId w:val="21"/>
  </w:num>
  <w:num w:numId="42">
    <w:abstractNumId w:val="32"/>
  </w:num>
  <w:num w:numId="43">
    <w:abstractNumId w:val="40"/>
  </w:num>
  <w:num w:numId="44">
    <w:abstractNumId w:val="16"/>
  </w:num>
  <w:num w:numId="45">
    <w:abstractNumId w:val="13"/>
  </w:num>
  <w:num w:numId="46">
    <w:abstractNumId w:val="24"/>
  </w:num>
  <w:num w:numId="47">
    <w:abstractNumId w:val="27"/>
  </w:num>
  <w:num w:numId="48">
    <w:abstractNumId w:val="3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A8"/>
    <w:rsid w:val="00005269"/>
    <w:rsid w:val="00037954"/>
    <w:rsid w:val="00044240"/>
    <w:rsid w:val="000660CE"/>
    <w:rsid w:val="00083F94"/>
    <w:rsid w:val="00084321"/>
    <w:rsid w:val="000959E2"/>
    <w:rsid w:val="000A60EF"/>
    <w:rsid w:val="000B20ED"/>
    <w:rsid w:val="000C3795"/>
    <w:rsid w:val="000D096F"/>
    <w:rsid w:val="000E505E"/>
    <w:rsid w:val="000E60B6"/>
    <w:rsid w:val="000F2157"/>
    <w:rsid w:val="0013622C"/>
    <w:rsid w:val="00140EF8"/>
    <w:rsid w:val="00146B2A"/>
    <w:rsid w:val="00150D84"/>
    <w:rsid w:val="001710DD"/>
    <w:rsid w:val="00186449"/>
    <w:rsid w:val="00195861"/>
    <w:rsid w:val="001A132E"/>
    <w:rsid w:val="001A33A8"/>
    <w:rsid w:val="001D0C86"/>
    <w:rsid w:val="001F606F"/>
    <w:rsid w:val="00210627"/>
    <w:rsid w:val="00234E3B"/>
    <w:rsid w:val="002457DC"/>
    <w:rsid w:val="002568A7"/>
    <w:rsid w:val="00256C44"/>
    <w:rsid w:val="00270F53"/>
    <w:rsid w:val="00280CFF"/>
    <w:rsid w:val="002828E1"/>
    <w:rsid w:val="002C1927"/>
    <w:rsid w:val="002C3B5A"/>
    <w:rsid w:val="002D334D"/>
    <w:rsid w:val="002D7A71"/>
    <w:rsid w:val="002E635F"/>
    <w:rsid w:val="002F34C4"/>
    <w:rsid w:val="002F5C73"/>
    <w:rsid w:val="003221EF"/>
    <w:rsid w:val="00323503"/>
    <w:rsid w:val="003241A6"/>
    <w:rsid w:val="003323E0"/>
    <w:rsid w:val="003564B3"/>
    <w:rsid w:val="003610D2"/>
    <w:rsid w:val="00374779"/>
    <w:rsid w:val="00385A23"/>
    <w:rsid w:val="003B0583"/>
    <w:rsid w:val="003B7A8E"/>
    <w:rsid w:val="003C2F72"/>
    <w:rsid w:val="003C7039"/>
    <w:rsid w:val="003D18C3"/>
    <w:rsid w:val="003E6477"/>
    <w:rsid w:val="003F3EC5"/>
    <w:rsid w:val="00406B3E"/>
    <w:rsid w:val="00413FC1"/>
    <w:rsid w:val="0041565A"/>
    <w:rsid w:val="00423292"/>
    <w:rsid w:val="00432AC3"/>
    <w:rsid w:val="004740E7"/>
    <w:rsid w:val="00494FD4"/>
    <w:rsid w:val="004B2020"/>
    <w:rsid w:val="004B6034"/>
    <w:rsid w:val="004C72E8"/>
    <w:rsid w:val="004D0DAD"/>
    <w:rsid w:val="004D0F99"/>
    <w:rsid w:val="004D63CE"/>
    <w:rsid w:val="004E5453"/>
    <w:rsid w:val="004E756B"/>
    <w:rsid w:val="004F5F88"/>
    <w:rsid w:val="00511EF2"/>
    <w:rsid w:val="00512645"/>
    <w:rsid w:val="00523A2C"/>
    <w:rsid w:val="005308DE"/>
    <w:rsid w:val="00534386"/>
    <w:rsid w:val="00541595"/>
    <w:rsid w:val="00592141"/>
    <w:rsid w:val="0059215F"/>
    <w:rsid w:val="0059738C"/>
    <w:rsid w:val="005A559B"/>
    <w:rsid w:val="005B4E1B"/>
    <w:rsid w:val="005C4A69"/>
    <w:rsid w:val="005C7446"/>
    <w:rsid w:val="00631019"/>
    <w:rsid w:val="0063146D"/>
    <w:rsid w:val="00653640"/>
    <w:rsid w:val="006565EA"/>
    <w:rsid w:val="00657F29"/>
    <w:rsid w:val="0066014C"/>
    <w:rsid w:val="00671118"/>
    <w:rsid w:val="006765B8"/>
    <w:rsid w:val="00677470"/>
    <w:rsid w:val="00684BB4"/>
    <w:rsid w:val="006C7FE9"/>
    <w:rsid w:val="006E4F2E"/>
    <w:rsid w:val="006F1C67"/>
    <w:rsid w:val="006F4ECD"/>
    <w:rsid w:val="00701471"/>
    <w:rsid w:val="007177C2"/>
    <w:rsid w:val="007267B8"/>
    <w:rsid w:val="00732D08"/>
    <w:rsid w:val="0074332B"/>
    <w:rsid w:val="00743526"/>
    <w:rsid w:val="00744876"/>
    <w:rsid w:val="007450F2"/>
    <w:rsid w:val="0077386C"/>
    <w:rsid w:val="00786285"/>
    <w:rsid w:val="007863D8"/>
    <w:rsid w:val="007A4F32"/>
    <w:rsid w:val="007A598C"/>
    <w:rsid w:val="007A6624"/>
    <w:rsid w:val="007B3232"/>
    <w:rsid w:val="007D053C"/>
    <w:rsid w:val="007D3166"/>
    <w:rsid w:val="007D631B"/>
    <w:rsid w:val="00817C85"/>
    <w:rsid w:val="00826BF0"/>
    <w:rsid w:val="008423BA"/>
    <w:rsid w:val="0087522E"/>
    <w:rsid w:val="00891E12"/>
    <w:rsid w:val="008B2352"/>
    <w:rsid w:val="008B73C6"/>
    <w:rsid w:val="008C20D8"/>
    <w:rsid w:val="008D59A2"/>
    <w:rsid w:val="008E25B4"/>
    <w:rsid w:val="008F0CB0"/>
    <w:rsid w:val="008F3A17"/>
    <w:rsid w:val="009044E9"/>
    <w:rsid w:val="009067C7"/>
    <w:rsid w:val="00916620"/>
    <w:rsid w:val="0092176F"/>
    <w:rsid w:val="00927A52"/>
    <w:rsid w:val="00931E23"/>
    <w:rsid w:val="009506EF"/>
    <w:rsid w:val="00956FCF"/>
    <w:rsid w:val="00966B06"/>
    <w:rsid w:val="009840D5"/>
    <w:rsid w:val="009A2A64"/>
    <w:rsid w:val="009B3467"/>
    <w:rsid w:val="009D1FDC"/>
    <w:rsid w:val="009E41B4"/>
    <w:rsid w:val="009F18EF"/>
    <w:rsid w:val="009F7F40"/>
    <w:rsid w:val="00A3353E"/>
    <w:rsid w:val="00A377EB"/>
    <w:rsid w:val="00A514B8"/>
    <w:rsid w:val="00A7748B"/>
    <w:rsid w:val="00A878F7"/>
    <w:rsid w:val="00A96DD0"/>
    <w:rsid w:val="00AA112C"/>
    <w:rsid w:val="00AB2369"/>
    <w:rsid w:val="00AD0375"/>
    <w:rsid w:val="00AD59BE"/>
    <w:rsid w:val="00AE17FD"/>
    <w:rsid w:val="00AE1BB8"/>
    <w:rsid w:val="00AE1F5A"/>
    <w:rsid w:val="00AF01F5"/>
    <w:rsid w:val="00AF30F3"/>
    <w:rsid w:val="00B20F00"/>
    <w:rsid w:val="00B45F0E"/>
    <w:rsid w:val="00B53AA1"/>
    <w:rsid w:val="00B613D4"/>
    <w:rsid w:val="00B658A8"/>
    <w:rsid w:val="00B66905"/>
    <w:rsid w:val="00B72A80"/>
    <w:rsid w:val="00B80601"/>
    <w:rsid w:val="00B902A9"/>
    <w:rsid w:val="00BA18F6"/>
    <w:rsid w:val="00BA2FE8"/>
    <w:rsid w:val="00BD08C5"/>
    <w:rsid w:val="00C0067E"/>
    <w:rsid w:val="00C00CBE"/>
    <w:rsid w:val="00C0562A"/>
    <w:rsid w:val="00C12430"/>
    <w:rsid w:val="00C14CDE"/>
    <w:rsid w:val="00C17399"/>
    <w:rsid w:val="00C27EF6"/>
    <w:rsid w:val="00C30C05"/>
    <w:rsid w:val="00C310E8"/>
    <w:rsid w:val="00C31C77"/>
    <w:rsid w:val="00C47B5A"/>
    <w:rsid w:val="00C5102E"/>
    <w:rsid w:val="00C560E6"/>
    <w:rsid w:val="00C8246F"/>
    <w:rsid w:val="00C87EF0"/>
    <w:rsid w:val="00CC0BA5"/>
    <w:rsid w:val="00CC46FE"/>
    <w:rsid w:val="00CC7298"/>
    <w:rsid w:val="00CD23F4"/>
    <w:rsid w:val="00CD249F"/>
    <w:rsid w:val="00CF779F"/>
    <w:rsid w:val="00D0671F"/>
    <w:rsid w:val="00D1341D"/>
    <w:rsid w:val="00D20185"/>
    <w:rsid w:val="00D22A93"/>
    <w:rsid w:val="00D32FC1"/>
    <w:rsid w:val="00D429A7"/>
    <w:rsid w:val="00D57341"/>
    <w:rsid w:val="00D63177"/>
    <w:rsid w:val="00D70D30"/>
    <w:rsid w:val="00D8152F"/>
    <w:rsid w:val="00D95D85"/>
    <w:rsid w:val="00DA12E1"/>
    <w:rsid w:val="00DA3D6E"/>
    <w:rsid w:val="00DB3905"/>
    <w:rsid w:val="00DC079E"/>
    <w:rsid w:val="00DD0E5A"/>
    <w:rsid w:val="00DD756D"/>
    <w:rsid w:val="00DE26FA"/>
    <w:rsid w:val="00DF29AA"/>
    <w:rsid w:val="00E067F2"/>
    <w:rsid w:val="00E079D7"/>
    <w:rsid w:val="00E56509"/>
    <w:rsid w:val="00E61C8E"/>
    <w:rsid w:val="00E61DC5"/>
    <w:rsid w:val="00E6398E"/>
    <w:rsid w:val="00E63DB5"/>
    <w:rsid w:val="00E6594D"/>
    <w:rsid w:val="00E65E18"/>
    <w:rsid w:val="00E805AA"/>
    <w:rsid w:val="00E84F18"/>
    <w:rsid w:val="00E86C00"/>
    <w:rsid w:val="00EB4493"/>
    <w:rsid w:val="00EB5F36"/>
    <w:rsid w:val="00EC3253"/>
    <w:rsid w:val="00ED752B"/>
    <w:rsid w:val="00EF06CD"/>
    <w:rsid w:val="00F0076F"/>
    <w:rsid w:val="00F060F9"/>
    <w:rsid w:val="00F12AA5"/>
    <w:rsid w:val="00F134EA"/>
    <w:rsid w:val="00F20007"/>
    <w:rsid w:val="00F377E5"/>
    <w:rsid w:val="00F42114"/>
    <w:rsid w:val="00F46EBC"/>
    <w:rsid w:val="00F52E07"/>
    <w:rsid w:val="00F72A3C"/>
    <w:rsid w:val="00F83734"/>
    <w:rsid w:val="00F916C2"/>
    <w:rsid w:val="00F96954"/>
    <w:rsid w:val="00FB7A2A"/>
    <w:rsid w:val="00FC03FF"/>
    <w:rsid w:val="00FC3B1A"/>
    <w:rsid w:val="00FC45AC"/>
    <w:rsid w:val="00FD0590"/>
    <w:rsid w:val="00FE3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279E7"/>
  <w15:docId w15:val="{4E9860D6-2B03-46BA-B865-C3E59253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2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46"/>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49"/>
      </w:numPr>
      <w:ind w:left="35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39872\AppData\Roaming\Microsoft\Mallit\TWeb2007.dotm" TargetMode="External"/></Relationships>
</file>

<file path=word/theme/theme1.xml><?xml version="1.0" encoding="utf-8"?>
<a:theme xmlns:a="http://schemas.openxmlformats.org/drawingml/2006/main" name="Office-teema">
  <a:themeElements>
    <a:clrScheme name="LVM">
      <a:dk1>
        <a:sysClr val="windowText" lastClr="000000"/>
      </a:dk1>
      <a:lt1>
        <a:sysClr val="window" lastClr="FFFFFF"/>
      </a:lt1>
      <a:dk2>
        <a:srgbClr val="0000FF"/>
      </a:dk2>
      <a:lt2>
        <a:srgbClr val="E7E6E6"/>
      </a:lt2>
      <a:accent1>
        <a:srgbClr val="0000FF"/>
      </a:accent1>
      <a:accent2>
        <a:srgbClr val="A51890"/>
      </a:accent2>
      <a:accent3>
        <a:srgbClr val="CE0037"/>
      </a:accent3>
      <a:accent4>
        <a:srgbClr val="ED8B00"/>
      </a:accent4>
      <a:accent5>
        <a:srgbClr val="97D700"/>
      </a:accent5>
      <a:accent6>
        <a:srgbClr val="00A499"/>
      </a:accent6>
      <a:hlink>
        <a:srgbClr val="0563C1"/>
      </a:hlink>
      <a:folHlink>
        <a:srgbClr val="954F7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TWeb2007.dotm</Template>
  <TotalTime>310</TotalTime>
  <Pages>6</Pages>
  <Words>1674</Words>
  <Characters>13567</Characters>
  <Application>Microsoft Office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Sartjärvi Hannele</dc:creator>
  <cp:lastModifiedBy>Still Aino (LVM)</cp:lastModifiedBy>
  <cp:revision>22</cp:revision>
  <cp:lastPrinted>2016-01-03T11:59:00Z</cp:lastPrinted>
  <dcterms:created xsi:type="dcterms:W3CDTF">2018-06-27T07:48:00Z</dcterms:created>
  <dcterms:modified xsi:type="dcterms:W3CDTF">2018-06-28T12:25:00Z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Lausuntoyhteenveto luonnoksesta valtioneuvoston asetukseksi ajoneuvojen käytöstä tiellä annetun valtioneuvoston asetuksen muuttamisesta LVM009:00/2018</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Still Aino</vt:lpwstr>
  </property>
  <property fmtid="{D5CDD505-2E9C-101B-9397-08002B2CF9AE}" pid="10" name="tweb_doc_publisher">
    <vt:lpwstr>Liikenne- ja viestintäministeriö/Palveluosasto/Markkinayksikkö (PMA)</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28.06.2018</vt:lpwstr>
  </property>
  <property fmtid="{D5CDD505-2E9C-101B-9397-08002B2CF9AE}" pid="18" name="tweb_doc_modified">
    <vt:lpwstr>28.06.2018</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MAHTI/HARE</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273561</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3</vt:lpwstr>
  </property>
  <property fmtid="{D5CDD505-2E9C-101B-9397-08002B2CF9AE}" pid="37" name="tweb_user_name">
    <vt:lpwstr>Still Aino</vt:lpwstr>
  </property>
  <property fmtid="{D5CDD505-2E9C-101B-9397-08002B2CF9AE}" pid="38" name="tweb_user_surname">
    <vt:lpwstr>Still</vt:lpwstr>
  </property>
  <property fmtid="{D5CDD505-2E9C-101B-9397-08002B2CF9AE}" pid="39" name="tweb_user_givenname">
    <vt:lpwstr>Aino</vt:lpwstr>
  </property>
  <property fmtid="{D5CDD505-2E9C-101B-9397-08002B2CF9AE}" pid="40" name="tweb_user_title">
    <vt:lpwstr>Erityisasiantuntija</vt:lpwstr>
  </property>
  <property fmtid="{D5CDD505-2E9C-101B-9397-08002B2CF9AE}" pid="41" name="tweb_user_telephonenumber">
    <vt:lpwstr>0295342041</vt:lpwstr>
  </property>
  <property fmtid="{D5CDD505-2E9C-101B-9397-08002B2CF9AE}" pid="42" name="tweb_user_facsimiletelephonenumber">
    <vt:lpwstr/>
  </property>
  <property fmtid="{D5CDD505-2E9C-101B-9397-08002B2CF9AE}" pid="43" name="tweb_user_rfc822mailbox">
    <vt:lpwstr>Aino.Still@lvm.fi</vt:lpwstr>
  </property>
  <property fmtid="{D5CDD505-2E9C-101B-9397-08002B2CF9AE}" pid="44" name="tweb_user_roomnumber">
    <vt:lpwstr/>
  </property>
  <property fmtid="{D5CDD505-2E9C-101B-9397-08002B2CF9AE}" pid="45" name="tweb_user_organization">
    <vt:lpwstr>Liikenne- ja viestintäministeriö</vt:lpwstr>
  </property>
  <property fmtid="{D5CDD505-2E9C-101B-9397-08002B2CF9AE}" pid="46" name="tweb_user_department">
    <vt:lpwstr>Palveluosasto</vt:lpwstr>
  </property>
  <property fmtid="{D5CDD505-2E9C-101B-9397-08002B2CF9AE}" pid="47" name="tweb_user_group">
    <vt:lpwstr>Markkinayksikkö (PMA)</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LVM/145/03/2018</vt:lpwstr>
  </property>
  <property fmtid="{D5CDD505-2E9C-101B-9397-08002B2CF9AE}" pid="51" name="tweb_doc_typename">
    <vt:lpwstr>Lausuntoyhteenveto</vt:lpwstr>
  </property>
  <property fmtid="{D5CDD505-2E9C-101B-9397-08002B2CF9AE}" pid="52" name="tweb_doc_decisionnumber">
    <vt:lpwstr/>
  </property>
  <property fmtid="{D5CDD505-2E9C-101B-9397-08002B2CF9AE}" pid="53" name="tweb_doc_decisionyear">
    <vt:lpwstr>0</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
  </property>
  <property fmtid="{D5CDD505-2E9C-101B-9397-08002B2CF9AE}" pid="78" name="tweb_doc_eoperators">
    <vt:lpwstr/>
  </property>
  <property fmtid="{D5CDD505-2E9C-101B-9397-08002B2CF9AE}" pid="79" name="tweb_doc_typecode">
    <vt:lpwstr>03.20.210</vt:lpwstr>
  </property>
  <property fmtid="{D5CDD505-2E9C-101B-9397-08002B2CF9AE}" pid="80" name="tweb_doc_xsubjectlist">
    <vt:lpwstr/>
  </property>
  <property fmtid="{D5CDD505-2E9C-101B-9397-08002B2CF9AE}" pid="81" name="tweb_doc_owner">
    <vt:lpwstr>Still Aino</vt:lpwstr>
  </property>
  <property fmtid="{D5CDD505-2E9C-101B-9397-08002B2CF9AE}" pid="82" name="tweb_doc_securityperiodstart">
    <vt:lpwstr/>
  </property>
  <property fmtid="{D5CDD505-2E9C-101B-9397-08002B2CF9AE}" pid="83" name="TwebKey">
    <vt:lpwstr>1f93cfd98887d0e95b581c23fb9e19f#lvm.mahti2.vn.fi!/TWeb/toaxfront!80!0</vt:lpwstr>
  </property>
  <property fmtid="{D5CDD505-2E9C-101B-9397-08002B2CF9AE}" pid="84" name="tweb_doc_alternativetitle">
    <vt:lpwstr/>
  </property>
</Properties>
</file>