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DA" w:rsidRPr="002155F7" w:rsidRDefault="005F60DA" w:rsidP="005F60DA">
      <w:pPr>
        <w:ind w:left="360"/>
        <w:jc w:val="both"/>
        <w:rPr>
          <w:rFonts w:ascii="Verdana" w:hAnsi="Verdana"/>
          <w:b/>
          <w:sz w:val="18"/>
          <w:szCs w:val="18"/>
        </w:rPr>
      </w:pPr>
      <w:bookmarkStart w:id="0" w:name="_GoBack"/>
      <w:bookmarkEnd w:id="0"/>
      <w:r w:rsidRPr="002155F7">
        <w:rPr>
          <w:rFonts w:ascii="Verdana" w:hAnsi="Verdana"/>
          <w:b/>
          <w:sz w:val="18"/>
          <w:szCs w:val="18"/>
        </w:rPr>
        <w:t>LAPSEN HUOLTOA JA TAPAAMISOIKEUTTA KOSKEVAN LAINSÄÄDÄNNÖN UUDISTAMINEN</w:t>
      </w:r>
    </w:p>
    <w:p w:rsidR="005F60DA" w:rsidRDefault="005F60DA" w:rsidP="005F60DA">
      <w:pPr>
        <w:jc w:val="both"/>
        <w:rPr>
          <w:rFonts w:ascii="Verdana" w:hAnsi="Verdana"/>
          <w:sz w:val="20"/>
          <w:szCs w:val="20"/>
        </w:rPr>
      </w:pPr>
    </w:p>
    <w:p w:rsidR="005F60DA" w:rsidRPr="00C85ECD" w:rsidRDefault="005F60DA" w:rsidP="005F60DA">
      <w:pPr>
        <w:pStyle w:val="Luettelokappale"/>
        <w:numPr>
          <w:ilvl w:val="0"/>
          <w:numId w:val="22"/>
        </w:numPr>
        <w:jc w:val="both"/>
        <w:rPr>
          <w:b/>
        </w:rPr>
      </w:pPr>
      <w:r>
        <w:rPr>
          <w:b/>
        </w:rPr>
        <w:t>Muistion</w:t>
      </w:r>
      <w:r w:rsidRPr="00C85ECD">
        <w:rPr>
          <w:b/>
        </w:rPr>
        <w:t xml:space="preserve"> tarkoitus</w:t>
      </w:r>
    </w:p>
    <w:p w:rsidR="005F60DA" w:rsidRDefault="005F60DA" w:rsidP="005F60DA">
      <w:pPr>
        <w:ind w:left="360"/>
        <w:jc w:val="both"/>
      </w:pPr>
      <w:r>
        <w:t xml:space="preserve">Tähän muistioon on koottu lapsen huollosta ja tapaamisoikeudesta annetun lain (361/1983, jäljempänä </w:t>
      </w:r>
      <w:r w:rsidRPr="007F1812">
        <w:rPr>
          <w:i/>
        </w:rPr>
        <w:t>lapsenhuoltolaki</w:t>
      </w:r>
      <w:r>
        <w:t xml:space="preserve">) soveltamisessa oikeusministeriön tietoon tulleita konkreettisia ongelmia ja </w:t>
      </w:r>
      <w:r w:rsidR="003E111B">
        <w:t xml:space="preserve">ehdotuksia </w:t>
      </w:r>
      <w:r>
        <w:t>lain uudistamis</w:t>
      </w:r>
      <w:r w:rsidR="003E111B">
        <w:t>tarpeiksi</w:t>
      </w:r>
      <w:r>
        <w:t xml:space="preserve">. Muistiossa ei ole </w:t>
      </w:r>
      <w:r w:rsidR="003E111B">
        <w:t xml:space="preserve">tarkemmin </w:t>
      </w:r>
      <w:r>
        <w:t xml:space="preserve">arvioitu </w:t>
      </w:r>
      <w:r w:rsidR="003E111B">
        <w:t xml:space="preserve">ehdotusten tarkoituksenmukaisuutta eikä </w:t>
      </w:r>
      <w:r>
        <w:t>sitä, mi</w:t>
      </w:r>
      <w:r w:rsidR="003E111B">
        <w:t>llaisia lainsäädäntötoimenpiteitä muutokset mahdollisesti edellyttäisivät.</w:t>
      </w:r>
      <w:r>
        <w:t xml:space="preserve"> Nämä asiat tulevat po</w:t>
      </w:r>
      <w:r>
        <w:t>h</w:t>
      </w:r>
      <w:r>
        <w:t xml:space="preserve">dittavaksi varsinaisen lainvalmisteluhankkeen yhteydessä. </w:t>
      </w:r>
    </w:p>
    <w:p w:rsidR="00467B97" w:rsidRDefault="00467B97" w:rsidP="005F60DA">
      <w:pPr>
        <w:ind w:left="360"/>
        <w:jc w:val="both"/>
      </w:pPr>
    </w:p>
    <w:p w:rsidR="005F60DA" w:rsidRPr="00AF2A64" w:rsidRDefault="005F60DA" w:rsidP="005F60DA">
      <w:pPr>
        <w:pStyle w:val="Luettelokappale"/>
        <w:numPr>
          <w:ilvl w:val="0"/>
          <w:numId w:val="22"/>
        </w:numPr>
        <w:jc w:val="both"/>
        <w:rPr>
          <w:b/>
        </w:rPr>
      </w:pPr>
      <w:r w:rsidRPr="00AF2A64">
        <w:rPr>
          <w:b/>
        </w:rPr>
        <w:t>Lapsen tapaamisoikeus</w:t>
      </w:r>
    </w:p>
    <w:p w:rsidR="005F60DA" w:rsidRDefault="005F60DA" w:rsidP="005F60DA">
      <w:pPr>
        <w:pStyle w:val="Luettelokappale"/>
        <w:jc w:val="both"/>
      </w:pPr>
    </w:p>
    <w:p w:rsidR="005F60DA" w:rsidRPr="00AF2A64" w:rsidRDefault="005F60DA" w:rsidP="005F60DA">
      <w:pPr>
        <w:pStyle w:val="Luettelokappale"/>
        <w:numPr>
          <w:ilvl w:val="1"/>
          <w:numId w:val="22"/>
        </w:numPr>
        <w:jc w:val="both"/>
        <w:rPr>
          <w:b/>
        </w:rPr>
      </w:pPr>
      <w:r w:rsidRPr="00AF2A64">
        <w:rPr>
          <w:b/>
        </w:rPr>
        <w:t>Vuoroasumisjärjestelyt</w:t>
      </w:r>
    </w:p>
    <w:p w:rsidR="005F60DA" w:rsidRDefault="005F60DA" w:rsidP="005F60DA">
      <w:pPr>
        <w:ind w:left="360"/>
        <w:jc w:val="both"/>
      </w:pPr>
      <w:r>
        <w:t>Lapsenhuoltolain mukaan lapsen asuminen voidaan vahvistaa tai määrätä vain yhden vanhemman luokse. Väestötietojärjestelmästä annetun valtioneuvoston asetuksen mukaan väestötietojärjestelmään tallet</w:t>
      </w:r>
      <w:r>
        <w:t>e</w:t>
      </w:r>
      <w:r>
        <w:t>taan tieto lapsen asumisesta toisen vanhempansa luona, jos siitä on määrätty tuomioistuimen päätökse</w:t>
      </w:r>
      <w:r>
        <w:t>s</w:t>
      </w:r>
      <w:r>
        <w:t xml:space="preserve">sä tai sosiaalilautakunnan vahvistamassa sopimuksessa.  </w:t>
      </w:r>
    </w:p>
    <w:p w:rsidR="005F60DA" w:rsidRDefault="005F60DA" w:rsidP="005F60DA">
      <w:pPr>
        <w:ind w:left="360"/>
        <w:jc w:val="both"/>
      </w:pPr>
      <w:r>
        <w:t>Lapsen asumista koskevissa järjestelyissä yhä yleisemmäksi asumismuodoksi on tullut vuoroasuminen m</w:t>
      </w:r>
      <w:r>
        <w:t>o</w:t>
      </w:r>
      <w:r>
        <w:t>lempien vanhempien luona. Terveyden ja hyvinvoinnin laitoksen tilastojen mukaan vuoroasumisten osuus oli vuonna 2014 noin 11–13 prosenttia sekä asumis- että tapaamisoikeussopimusten määrästä (THL, La</w:t>
      </w:r>
      <w:r>
        <w:t>p</w:t>
      </w:r>
      <w:r>
        <w:t>sen elatus ja huolto 2014, s. 3). Käytännössä vuoroasuminen toteutetaan niin, että lapsen asuminen va</w:t>
      </w:r>
      <w:r>
        <w:t>h</w:t>
      </w:r>
      <w:r>
        <w:lastRenderedPageBreak/>
        <w:t>vistetaan toisen vanhemman luokse. Samalla toiselle vanhemmalle vahvistetaan niin laaja tapaamisoik</w:t>
      </w:r>
      <w:r>
        <w:t>e</w:t>
      </w:r>
      <w:r>
        <w:t xml:space="preserve">us, että lapsi asuu yhtä paljon tai lähes yhtä paljon molempien vanhempien luona. </w:t>
      </w:r>
    </w:p>
    <w:p w:rsidR="005F60DA" w:rsidRDefault="005F60DA" w:rsidP="005F60DA">
      <w:pPr>
        <w:ind w:left="360"/>
        <w:jc w:val="both"/>
      </w:pPr>
      <w:r w:rsidRPr="009627A9">
        <w:t xml:space="preserve">Lapsen </w:t>
      </w:r>
      <w:r>
        <w:t>asuin</w:t>
      </w:r>
      <w:r w:rsidRPr="009627A9">
        <w:t xml:space="preserve">paikan mukaan määräytyy mm. se, mikä kunta on velvollinen järjestämään </w:t>
      </w:r>
      <w:r>
        <w:t xml:space="preserve">päivähoidon, </w:t>
      </w:r>
      <w:r w:rsidRPr="009627A9">
        <w:t>ko</w:t>
      </w:r>
      <w:r w:rsidRPr="009627A9">
        <w:t>u</w:t>
      </w:r>
      <w:r w:rsidRPr="009627A9">
        <w:t>lu</w:t>
      </w:r>
      <w:r>
        <w:t>paika</w:t>
      </w:r>
      <w:r w:rsidRPr="009627A9">
        <w:t>n</w:t>
      </w:r>
      <w:r>
        <w:t>,</w:t>
      </w:r>
      <w:r w:rsidRPr="009627A9">
        <w:t xml:space="preserve"> terveydenhuollon ym. lakisääteiset julkiset palvelut. Myös lapsilisät ja muut perhe-etuudet su</w:t>
      </w:r>
      <w:r w:rsidRPr="009627A9">
        <w:t>o</w:t>
      </w:r>
      <w:r w:rsidRPr="009627A9">
        <w:t>ritetaan lähtökohtaisesti sille vanhemmalle, jo</w:t>
      </w:r>
      <w:r>
        <w:t>n</w:t>
      </w:r>
      <w:r w:rsidRPr="009627A9">
        <w:t xml:space="preserve">ka </w:t>
      </w:r>
      <w:r>
        <w:t xml:space="preserve">luona lapsi </w:t>
      </w:r>
      <w:r w:rsidRPr="009627A9">
        <w:t xml:space="preserve">väestörekisterijärjestelmän </w:t>
      </w:r>
      <w:r>
        <w:t>mukaan asuu</w:t>
      </w:r>
      <w:r w:rsidRPr="009627A9">
        <w:t xml:space="preserve">. </w:t>
      </w:r>
    </w:p>
    <w:p w:rsidR="005F60DA" w:rsidRDefault="005F60DA" w:rsidP="005F60DA">
      <w:pPr>
        <w:ind w:left="360"/>
        <w:jc w:val="both"/>
      </w:pPr>
      <w:r>
        <w:t>Vertailun vuoksi voidaan todeta, että myös Ruotsissa lapsi kirjataan vain toisen vanhemman luokse as</w:t>
      </w:r>
      <w:r>
        <w:t>u</w:t>
      </w:r>
      <w:r>
        <w:t>maan. Lapsilisä on Ruotsissa mahdollista jakaa vanhempien kesken, jos lapsi asuu vuorotellen molempien vanhempien luona. Tämä edellyttää kuitenkin vanhempien yhteistä hakemusta. Jos yhteisymmärrystä ei ole, lapsilisä maksetaan lapsen äidille. Ruotsissa vuoroasumisjärjestely oli tilastojen mukaan vuonna 2012 noin 35 prosentilla eroperheiden lapsista</w:t>
      </w:r>
      <w:r w:rsidR="005D2CF4">
        <w:rPr>
          <w:rStyle w:val="Alaviitteenviite"/>
        </w:rPr>
        <w:footnoteReference w:id="1"/>
      </w:r>
      <w:r>
        <w:t>.</w:t>
      </w:r>
    </w:p>
    <w:p w:rsidR="005F60DA" w:rsidRDefault="005F60DA" w:rsidP="005F60DA">
      <w:pPr>
        <w:ind w:left="360"/>
        <w:jc w:val="both"/>
      </w:pPr>
      <w:r>
        <w:t>Olisi aiheellista selvittää, olisiko lainsäädäntöä tarpeen muuttaa niin, että lapsi voisi asua virallisesti ka</w:t>
      </w:r>
      <w:r>
        <w:t>h</w:t>
      </w:r>
      <w:r>
        <w:t>dessa eri osoitteessa. Siihen liittyen tulisi käydä läpi julkisia palveluja ja etuuksia koskeva lainsäädäntö ja arvioida, onko palveluista aiheutuvien kustannusten jakaminen kuntien välillä tai etuuden maksaminen puoliksi molemmille vanhemmille mahdollista ja tarkoituksenmukaista. Voitaisiin myös arvioida sitä, tul</w:t>
      </w:r>
      <w:r>
        <w:t>i</w:t>
      </w:r>
      <w:r>
        <w:t xml:space="preserve">siko lakiin ottaa säännökset siitä, milloin vuoroasuminen on yleensä lapsen edun mukaista. </w:t>
      </w:r>
      <w:r>
        <w:tab/>
      </w:r>
    </w:p>
    <w:p w:rsidR="00467B97" w:rsidRDefault="00467B97" w:rsidP="005F60DA">
      <w:pPr>
        <w:ind w:left="360"/>
        <w:jc w:val="both"/>
      </w:pPr>
    </w:p>
    <w:p w:rsidR="005F60DA" w:rsidRPr="00AF2A64" w:rsidRDefault="005F60DA" w:rsidP="005F60DA">
      <w:pPr>
        <w:pStyle w:val="Luettelokappale"/>
        <w:numPr>
          <w:ilvl w:val="1"/>
          <w:numId w:val="22"/>
        </w:numPr>
        <w:jc w:val="both"/>
        <w:rPr>
          <w:b/>
        </w:rPr>
      </w:pPr>
      <w:proofErr w:type="gramStart"/>
      <w:r w:rsidRPr="00AF2A64">
        <w:rPr>
          <w:b/>
        </w:rPr>
        <w:t>Säännökset tuetuista ja valvotuista tapaamisista</w:t>
      </w:r>
      <w:proofErr w:type="gramEnd"/>
    </w:p>
    <w:p w:rsidR="005F60DA" w:rsidRDefault="005F60DA" w:rsidP="005F60DA">
      <w:pPr>
        <w:ind w:left="360"/>
        <w:jc w:val="both"/>
      </w:pPr>
      <w:r>
        <w:t>Lapsenhuoltolaissa ei ole nimenomaisia säännöksiä lasten ja vanhempien välisistä tuetuista tai valvotuista tapaamisista. Lain 9 §:n mukaan tuomioistuimen tulee tapaamisoikeudesta päättäessään antaa tarke</w:t>
      </w:r>
      <w:r>
        <w:t>m</w:t>
      </w:r>
      <w:r>
        <w:t xml:space="preserve">mat määräykset tapaamisen ja luonapidon ehdoista. Oikeuskäytännön mukaan </w:t>
      </w:r>
      <w:r w:rsidR="003E111B">
        <w:t xml:space="preserve">tuomioistuin voi tämän säännöksen perusteella määrätä </w:t>
      </w:r>
      <w:r>
        <w:t>tapaamiset tuetuiksi tai valvotuiksi.</w:t>
      </w:r>
    </w:p>
    <w:p w:rsidR="005F60DA" w:rsidRDefault="005F60DA" w:rsidP="005F60DA">
      <w:pPr>
        <w:ind w:left="360"/>
        <w:jc w:val="both"/>
      </w:pPr>
      <w:r>
        <w:t>Lasten tuettuja ja valvottuja tapaamisia koskevassa selvityksessä (Sosiaali- ja terveysministeriön selvityksiä 2006:7) ehdotettiin, että valvottujen tapaamisten järjestämisestä otettaisiin säännökset sekä sosiaalihuo</w:t>
      </w:r>
      <w:r>
        <w:t>l</w:t>
      </w:r>
      <w:r>
        <w:t>tolakiin että lapsenhuoltolakiin. Sittemmin sosiaalihuoltolain uudistamisen yhteydessä tuettujen ja valvo</w:t>
      </w:r>
      <w:r>
        <w:t>t</w:t>
      </w:r>
      <w:r>
        <w:t>tujen tapaamisten järjestäminen säädettiin kuntien velvollisuudeksi ja asiasta otettiin säännökset sosiaal</w:t>
      </w:r>
      <w:r>
        <w:t>i</w:t>
      </w:r>
      <w:r>
        <w:t xml:space="preserve">huoltolain (1301/2014) 27 §:ään. </w:t>
      </w:r>
    </w:p>
    <w:p w:rsidR="005F60DA" w:rsidRDefault="005F60DA" w:rsidP="005F60DA">
      <w:pPr>
        <w:ind w:left="360"/>
        <w:jc w:val="both"/>
      </w:pPr>
      <w:r>
        <w:t>Asian selkeyttämiseksi ja oikeustilan yhtenäistämiseksi tuetuista ja valvotuista tapaamisista voisi olla ta</w:t>
      </w:r>
      <w:r>
        <w:t>r</w:t>
      </w:r>
      <w:r>
        <w:t>peen ottaa nimenomaiset säännökset myös lapsenhuoltolakiin. Laissa voitaisiin säätää siitä, millä edell</w:t>
      </w:r>
      <w:r>
        <w:t>y</w:t>
      </w:r>
      <w:r>
        <w:t>tyksillä tuomioistuin voi määrätä tapaamiset toteutettaviksi tuettuina tai valvottuina. Vastaavasti voita</w:t>
      </w:r>
      <w:r>
        <w:t>i</w:t>
      </w:r>
      <w:r>
        <w:t>siin säätää myös siitä, millä edellytyksillä sosiaaliviranomainen voi vahvistaa vanhempien tekemän sop</w:t>
      </w:r>
      <w:r>
        <w:t>i</w:t>
      </w:r>
      <w:r>
        <w:t>muksen tapaamisten toteuttamisesta tuettuina tai valvottuina. Voitaisiin myös harkita järjestelyä, jossa tuomioistuimen määräys tai vanhempien välinen sopimus olisi voimassa vain määräajan. Tuen tai valvo</w:t>
      </w:r>
      <w:r>
        <w:t>n</w:t>
      </w:r>
      <w:r>
        <w:t xml:space="preserve">nan tarve arvioitaisiin siten uudelleen tietyn ajan jälkeen.  </w:t>
      </w:r>
    </w:p>
    <w:p w:rsidR="00467B97" w:rsidRDefault="00467B97" w:rsidP="005F60DA">
      <w:pPr>
        <w:ind w:left="360"/>
        <w:jc w:val="both"/>
      </w:pPr>
    </w:p>
    <w:p w:rsidR="00467B97" w:rsidRDefault="00467B97" w:rsidP="005F60DA">
      <w:pPr>
        <w:ind w:left="360"/>
        <w:jc w:val="both"/>
      </w:pPr>
    </w:p>
    <w:p w:rsidR="00467B97" w:rsidRDefault="00467B97" w:rsidP="005F60DA">
      <w:pPr>
        <w:ind w:left="360"/>
        <w:jc w:val="both"/>
      </w:pPr>
    </w:p>
    <w:p w:rsidR="005F60DA" w:rsidRPr="00AF2A64" w:rsidRDefault="006E7E94" w:rsidP="005F60DA">
      <w:pPr>
        <w:pStyle w:val="Luettelokappale"/>
        <w:numPr>
          <w:ilvl w:val="1"/>
          <w:numId w:val="22"/>
        </w:numPr>
        <w:jc w:val="both"/>
        <w:rPr>
          <w:b/>
        </w:rPr>
      </w:pPr>
      <w:r>
        <w:rPr>
          <w:b/>
        </w:rPr>
        <w:t xml:space="preserve">Muiden kuin </w:t>
      </w:r>
      <w:r w:rsidR="005F60DA" w:rsidRPr="00AF2A64">
        <w:rPr>
          <w:b/>
        </w:rPr>
        <w:t xml:space="preserve">vanhempien tapaamisoikeus </w:t>
      </w:r>
    </w:p>
    <w:p w:rsidR="005F60DA" w:rsidRDefault="005F60DA" w:rsidP="005F60DA">
      <w:pPr>
        <w:ind w:left="357"/>
        <w:jc w:val="both"/>
      </w:pPr>
      <w:r>
        <w:t>Lapsenhuoltolain mukaan tapaamisoikeus voidaan vahvistaa oikeudellisesti sitovasti vain lapsen ja tämän vanhemman välille. Viime vuosina on tullut esille tarve tapaamisoikeuden vahvistamiseen myös esime</w:t>
      </w:r>
      <w:r>
        <w:t>r</w:t>
      </w:r>
      <w:r>
        <w:t xml:space="preserve">kiksi lapsen ja isovanhempien taikka muiden lapselle läheisten henkilöiden välille. Asia on ollut esillä mm. useissa kirjallisissa kysymyksissä (esim. KK 1287/2010 </w:t>
      </w:r>
      <w:proofErr w:type="spellStart"/>
      <w:r>
        <w:t>vp</w:t>
      </w:r>
      <w:proofErr w:type="spellEnd"/>
      <w:r>
        <w:t xml:space="preserve">, KK 64/2011 </w:t>
      </w:r>
      <w:proofErr w:type="spellStart"/>
      <w:proofErr w:type="gramStart"/>
      <w:r>
        <w:t>vp</w:t>
      </w:r>
      <w:proofErr w:type="spellEnd"/>
      <w:r>
        <w:t>,  KK</w:t>
      </w:r>
      <w:proofErr w:type="gramEnd"/>
      <w:r>
        <w:t xml:space="preserve"> 325/2013 </w:t>
      </w:r>
      <w:proofErr w:type="spellStart"/>
      <w:r>
        <w:t>vp</w:t>
      </w:r>
      <w:proofErr w:type="spellEnd"/>
      <w:r>
        <w:t xml:space="preserve"> ja KK 353/2015 </w:t>
      </w:r>
      <w:proofErr w:type="spellStart"/>
      <w:r>
        <w:t>vp</w:t>
      </w:r>
      <w:proofErr w:type="spellEnd"/>
      <w:r>
        <w:t xml:space="preserve">). </w:t>
      </w:r>
    </w:p>
    <w:p w:rsidR="005F60DA" w:rsidRDefault="005F60DA" w:rsidP="005F60DA">
      <w:pPr>
        <w:spacing w:after="0" w:line="278" w:lineRule="auto"/>
        <w:ind w:left="357"/>
        <w:jc w:val="both"/>
      </w:pPr>
      <w:r>
        <w:t>Vasta-argumenttina tapaamiseen oikeutettujen piirin laajentamiselle on nähty mm. se, että riidattomissa tilanteissa tapaaminen järjestyy yleensä huoltajan myötävaikutuksella ilman erillistä määräystä tai vahvi</w:t>
      </w:r>
      <w:r>
        <w:t>s</w:t>
      </w:r>
      <w:r>
        <w:t xml:space="preserve">tettua sopimusta. </w:t>
      </w:r>
      <w:r w:rsidRPr="009F7C6E">
        <w:t xml:space="preserve">Jos tapaamisoikeus lapsen ja </w:t>
      </w:r>
      <w:r>
        <w:t xml:space="preserve">esimerkiksi </w:t>
      </w:r>
      <w:r w:rsidRPr="009F7C6E">
        <w:t xml:space="preserve">isovanhempien välillä haluttaisiin vahvistaa, laissa olisi oltava myös pakkokeinot sen varalle, että päätöstä ei noudateta. </w:t>
      </w:r>
      <w:r>
        <w:t xml:space="preserve">Sääntely </w:t>
      </w:r>
      <w:r w:rsidRPr="009F7C6E">
        <w:t>voi</w:t>
      </w:r>
      <w:r>
        <w:t>si johtaa</w:t>
      </w:r>
      <w:r w:rsidRPr="009F7C6E">
        <w:t xml:space="preserve"> </w:t>
      </w:r>
      <w:r>
        <w:t xml:space="preserve">myös </w:t>
      </w:r>
      <w:r w:rsidRPr="009F7C6E">
        <w:t>si</w:t>
      </w:r>
      <w:r w:rsidRPr="009F7C6E">
        <w:t>i</w:t>
      </w:r>
      <w:r w:rsidRPr="009F7C6E">
        <w:t xml:space="preserve">hen, että lapselle vahvistetaan useita tapaamisoikeuksia, </w:t>
      </w:r>
      <w:r>
        <w:t>mikä toisi lapsen elämään runsaasti aikatauluja.</w:t>
      </w:r>
    </w:p>
    <w:p w:rsidR="005F60DA" w:rsidRDefault="005F60DA" w:rsidP="005F60DA">
      <w:pPr>
        <w:spacing w:after="0" w:line="240" w:lineRule="auto"/>
        <w:ind w:left="360"/>
        <w:jc w:val="both"/>
      </w:pPr>
    </w:p>
    <w:p w:rsidR="005F60DA" w:rsidRDefault="005F60DA" w:rsidP="005F60DA">
      <w:pPr>
        <w:spacing w:after="0" w:line="240" w:lineRule="auto"/>
        <w:ind w:left="360"/>
        <w:jc w:val="both"/>
      </w:pPr>
      <w:r>
        <w:t>Toisaalta on tilanteita, joissa voisi olla lapsen edun mukaista vahvistaa täytäntöönpanokelpoinen tapa</w:t>
      </w:r>
      <w:r>
        <w:t>a</w:t>
      </w:r>
      <w:r>
        <w:t>misoikeus lapsen ja muun henkilön kuin hänen vanhempansa kanssa. Esimerkkinä tästä voisi olla tilanne, jossa tapaamista hakeva vanhempi on yhdelle sisarukselle tämän biologinen vanhempi ja toiselle lasta pi</w:t>
      </w:r>
      <w:r>
        <w:t>t</w:t>
      </w:r>
      <w:r>
        <w:t xml:space="preserve">kään hoitanut </w:t>
      </w:r>
      <w:r w:rsidR="003E111B">
        <w:t xml:space="preserve">ns. </w:t>
      </w:r>
      <w:r>
        <w:t xml:space="preserve">sosiaalinen vanhempi. Erotilanteessa tapaamisoikeuden vahvistaminen vanhemman ja molempien sisarusten välille voisi olla lasten etujen mukaista. </w:t>
      </w:r>
    </w:p>
    <w:p w:rsidR="005F60DA" w:rsidRPr="00E93450" w:rsidRDefault="005F60DA" w:rsidP="005F60DA">
      <w:pPr>
        <w:spacing w:after="0" w:line="240" w:lineRule="auto"/>
        <w:ind w:left="360"/>
        <w:jc w:val="both"/>
      </w:pPr>
    </w:p>
    <w:p w:rsidR="005F60DA" w:rsidRDefault="005F60DA" w:rsidP="005F60DA">
      <w:pPr>
        <w:ind w:left="360"/>
        <w:jc w:val="both"/>
      </w:pPr>
      <w:r>
        <w:t>Olisi tarpeen harkita lainsäädännön tarkistamista siten, että tapaamisoikeus voitaisiin vahvistaa myös la</w:t>
      </w:r>
      <w:r>
        <w:t>p</w:t>
      </w:r>
      <w:r>
        <w:t>sen ja muun läheisen henkilön kuin vanhemman välille. Siihen liittyen tulisi harkittavaksi myös se, edelly</w:t>
      </w:r>
      <w:r>
        <w:t>t</w:t>
      </w:r>
      <w:r>
        <w:t xml:space="preserve">täisivätkö nämä tilanteet aina tuomioistuimen päätöstä vai voisiko myös sosiaaliviranomainen vahvistaa tällaista tapaamisoikeutta koskevan sopimuksen. Tuomioistuinmenettelyn osalta olisi edelleen harkittava, kenellä olisi näissä tilanteissa oikeus tehdä hakemus. </w:t>
      </w:r>
    </w:p>
    <w:p w:rsidR="00467B97" w:rsidRDefault="00467B97" w:rsidP="005F60DA">
      <w:pPr>
        <w:ind w:left="360"/>
        <w:jc w:val="both"/>
      </w:pPr>
    </w:p>
    <w:p w:rsidR="005F60DA" w:rsidRPr="00AF2A64" w:rsidRDefault="005F60DA" w:rsidP="005F60DA">
      <w:pPr>
        <w:pStyle w:val="Luettelokappale"/>
        <w:numPr>
          <w:ilvl w:val="1"/>
          <w:numId w:val="22"/>
        </w:numPr>
        <w:jc w:val="both"/>
        <w:rPr>
          <w:b/>
        </w:rPr>
      </w:pPr>
      <w:r w:rsidRPr="00AF2A64">
        <w:rPr>
          <w:b/>
        </w:rPr>
        <w:t>Tapaamisoikeuden toteutuminen</w:t>
      </w:r>
    </w:p>
    <w:p w:rsidR="005F60DA" w:rsidRPr="00AF2A64" w:rsidRDefault="005F60DA" w:rsidP="005F60DA">
      <w:pPr>
        <w:pStyle w:val="Luettelokappale"/>
        <w:jc w:val="both"/>
        <w:rPr>
          <w:b/>
        </w:rPr>
      </w:pPr>
    </w:p>
    <w:p w:rsidR="005F60DA" w:rsidRPr="00AF2A64" w:rsidRDefault="005F60DA" w:rsidP="005F60DA">
      <w:pPr>
        <w:pStyle w:val="Luettelokappale"/>
        <w:numPr>
          <w:ilvl w:val="0"/>
          <w:numId w:val="23"/>
        </w:numPr>
        <w:jc w:val="both"/>
        <w:rPr>
          <w:b/>
        </w:rPr>
      </w:pPr>
      <w:r w:rsidRPr="00AF2A64">
        <w:rPr>
          <w:b/>
        </w:rPr>
        <w:t xml:space="preserve">Vieraannuttaminen ja muut tapaamisen toteutumiseen liittyvät vaikeudet </w:t>
      </w:r>
    </w:p>
    <w:p w:rsidR="005F60DA" w:rsidRDefault="005F60DA" w:rsidP="005F60DA">
      <w:pPr>
        <w:ind w:left="360"/>
        <w:jc w:val="both"/>
      </w:pPr>
      <w:r>
        <w:t xml:space="preserve">Lapsen tapaamisoikeuden toteutumiseen liittyvät vaikeudet ovat nousseet esille monessa eri yhteydessä. Asiaa on käsitelty mm. kirjallisissa kysymyksissä KK 364/2007 </w:t>
      </w:r>
      <w:proofErr w:type="spellStart"/>
      <w:r>
        <w:t>vp</w:t>
      </w:r>
      <w:proofErr w:type="spellEnd"/>
      <w:r>
        <w:t xml:space="preserve">, KK 222/2011 </w:t>
      </w:r>
      <w:proofErr w:type="spellStart"/>
      <w:r>
        <w:t>vp</w:t>
      </w:r>
      <w:proofErr w:type="spellEnd"/>
      <w:r>
        <w:t xml:space="preserve">, KK 319/2014 </w:t>
      </w:r>
      <w:proofErr w:type="spellStart"/>
      <w:r>
        <w:t>vp</w:t>
      </w:r>
      <w:proofErr w:type="spellEnd"/>
      <w:r>
        <w:t xml:space="preserve"> ja KK 476/2014 </w:t>
      </w:r>
      <w:proofErr w:type="spellStart"/>
      <w:r>
        <w:t>vp</w:t>
      </w:r>
      <w:proofErr w:type="spellEnd"/>
      <w:r>
        <w:t>.</w:t>
      </w:r>
    </w:p>
    <w:p w:rsidR="005F60DA" w:rsidRDefault="005F60DA" w:rsidP="005F60DA">
      <w:pPr>
        <w:ind w:left="360"/>
        <w:jc w:val="both"/>
      </w:pPr>
      <w:r>
        <w:t xml:space="preserve">Eduskunnan käsiteltäväksi annettiin kesäkuussa 2012 lakialoite 27/2012 </w:t>
      </w:r>
      <w:proofErr w:type="spellStart"/>
      <w:r>
        <w:t>vp</w:t>
      </w:r>
      <w:proofErr w:type="spellEnd"/>
      <w:r>
        <w:t xml:space="preserve"> (Juho Eerola/ </w:t>
      </w:r>
      <w:proofErr w:type="spellStart"/>
      <w:r>
        <w:t>ps</w:t>
      </w:r>
      <w:proofErr w:type="spellEnd"/>
      <w:r>
        <w:t xml:space="preserve"> ym.)</w:t>
      </w:r>
      <w:r w:rsidR="003E111B">
        <w:t xml:space="preserve">, jossa </w:t>
      </w:r>
      <w:r>
        <w:t>ehdotettiin ns. vieraannuttamiskiel</w:t>
      </w:r>
      <w:r w:rsidR="003E111B">
        <w:t>l</w:t>
      </w:r>
      <w:r>
        <w:t>o</w:t>
      </w:r>
      <w:r w:rsidR="003E111B">
        <w:t>n lisäämistä lapsenhuoltolakiin</w:t>
      </w:r>
      <w:r>
        <w:t>. Eduskunnalle annettiin samanaika</w:t>
      </w:r>
      <w:r>
        <w:t>i</w:t>
      </w:r>
      <w:r>
        <w:t xml:space="preserve">sesti tähän liittyvä toinenkin lakialoite 28/2012 </w:t>
      </w:r>
      <w:proofErr w:type="spellStart"/>
      <w:r>
        <w:t>vp</w:t>
      </w:r>
      <w:proofErr w:type="spellEnd"/>
      <w:r>
        <w:t xml:space="preserve"> (Pauli Kiuru ym.), jossa ehdotettiin tapaamisoikeuden tahallisen estämisen kriminalisointia.  </w:t>
      </w:r>
    </w:p>
    <w:p w:rsidR="005F60DA" w:rsidRDefault="005F60DA" w:rsidP="005F60DA">
      <w:pPr>
        <w:ind w:left="360"/>
        <w:jc w:val="both"/>
      </w:pPr>
      <w:r>
        <w:t>Lakialoitteet raukesivat valiokuntakäsittelyn jälkeen. Lakivaliokunta lähetti kuitenkin oikeusministeriölle ja sosiaali- ja terveysministeriölle kirjeen, jossa se edellytti, että oikeusministeriö ja sosiaali- ja terveysmini</w:t>
      </w:r>
      <w:r>
        <w:t>s</w:t>
      </w:r>
      <w:r>
        <w:lastRenderedPageBreak/>
        <w:t>teriö yhdessä kokonaisvaltaisesti arvioivat lapsen tapaamisoikeutta koskevaa lainsäädäntöä ja käytäntöä sekä niiden kehittämistarpeita ja -mahdollisuuksia ottaen muun muassa huomioon lakialoitteissa ann</w:t>
      </w:r>
      <w:r>
        <w:t>e</w:t>
      </w:r>
      <w:r>
        <w:t>tuissa asiantuntijalausunnoissa esitetyt näkemykset.  Valiokunta totesi, että useiden valiokunnan kuul</w:t>
      </w:r>
      <w:r>
        <w:t>e</w:t>
      </w:r>
      <w:r>
        <w:t xml:space="preserve">mien asiantuntijoiden mukaan vieraannuttamisen kieltäminen sisältyy jo voimassa olevaan lakiin lapsen huollosta ja tapaamisoikeudesta. Valiokunnan mielestä tuli kuitenkin vielä pohtia, olisiko lainsäädäntöä tarkoituksenmukaista tältä osin täsmentää. </w:t>
      </w:r>
    </w:p>
    <w:p w:rsidR="005F60DA" w:rsidRDefault="005F60DA" w:rsidP="005F60DA">
      <w:pPr>
        <w:ind w:left="360"/>
        <w:jc w:val="both"/>
      </w:pPr>
      <w:r>
        <w:t>Vieraannuttamisen lisäksi on myös muita tilanteita, joissa tapaamiseen oikeutettu vanhempi ei yrityksi</w:t>
      </w:r>
      <w:r>
        <w:t>s</w:t>
      </w:r>
      <w:r>
        <w:t xml:space="preserve">tään huolimatta saa tavata lasta. </w:t>
      </w:r>
    </w:p>
    <w:p w:rsidR="005F60DA" w:rsidRDefault="005F60DA" w:rsidP="005F60DA">
      <w:pPr>
        <w:ind w:left="360"/>
        <w:jc w:val="both"/>
      </w:pPr>
      <w:r>
        <w:t>Olisi syytä harkita, tulisiko vieraannuttamisesta ottaa säännöksiä lapsenhuoltolakiin. Olisi myös tarpeen pohtia toimia, joilla tapaamisoikeuden toteutumista voitaisiin helpottaa.</w:t>
      </w:r>
    </w:p>
    <w:p w:rsidR="005F60DA" w:rsidRPr="00AF2A64" w:rsidRDefault="005F60DA" w:rsidP="005F60DA">
      <w:pPr>
        <w:pStyle w:val="Luettelokappale"/>
        <w:numPr>
          <w:ilvl w:val="0"/>
          <w:numId w:val="23"/>
        </w:numPr>
        <w:jc w:val="both"/>
        <w:rPr>
          <w:b/>
        </w:rPr>
      </w:pPr>
      <w:r w:rsidRPr="00AF2A64">
        <w:rPr>
          <w:b/>
        </w:rPr>
        <w:t xml:space="preserve">Lapsen asuinpaikan muuttaminen (ns. </w:t>
      </w:r>
      <w:proofErr w:type="spellStart"/>
      <w:r w:rsidRPr="00AF2A64">
        <w:rPr>
          <w:b/>
        </w:rPr>
        <w:t>relocation</w:t>
      </w:r>
      <w:proofErr w:type="spellEnd"/>
      <w:r w:rsidRPr="00AF2A64">
        <w:rPr>
          <w:b/>
        </w:rPr>
        <w:t>)</w:t>
      </w:r>
    </w:p>
    <w:p w:rsidR="005F60DA" w:rsidRDefault="009C5DD9" w:rsidP="005F60DA">
      <w:pPr>
        <w:ind w:left="360"/>
        <w:jc w:val="both"/>
      </w:pPr>
      <w:r>
        <w:t>L</w:t>
      </w:r>
      <w:r w:rsidR="005F60DA">
        <w:t>apsen asuinpaikan muuttami</w:t>
      </w:r>
      <w:r>
        <w:t xml:space="preserve">nen voi vaikuttaa merkittävästi tapaamisoikeuden käyttämiseen. </w:t>
      </w:r>
      <w:r w:rsidR="005F60DA">
        <w:t>Euroopan neuvoston ministerineuvostossa hyväksyttiin vuonna 2015 suositus lapsen asuinpaikan muuttamista ko</w:t>
      </w:r>
      <w:r w:rsidR="005F60DA">
        <w:t>s</w:t>
      </w:r>
      <w:r w:rsidR="005F60DA">
        <w:t>kevien riitojen ennaltaehkäisystä ja ratkaisemisesta</w:t>
      </w:r>
      <w:r w:rsidR="005F60DA">
        <w:rPr>
          <w:rStyle w:val="Alaviitteenviite"/>
        </w:rPr>
        <w:footnoteReference w:id="2"/>
      </w:r>
      <w:r w:rsidR="005F60DA">
        <w:t>. Suositus koskee sellaista maan rajojen sisällä tai r</w:t>
      </w:r>
      <w:r w:rsidR="005F60DA">
        <w:t>a</w:t>
      </w:r>
      <w:r w:rsidR="005F60DA">
        <w:t xml:space="preserve">jojen yli tapahtuvaa lapsen asuinpaikan muuttamista, joka voi heikentää lapsen ja vanhemman tai muiden henkilöiden välistä yhteydenpitoa. </w:t>
      </w:r>
    </w:p>
    <w:p w:rsidR="005F60DA" w:rsidRDefault="005F60DA" w:rsidP="005F60DA">
      <w:pPr>
        <w:ind w:left="360"/>
        <w:jc w:val="both"/>
      </w:pPr>
      <w:r>
        <w:t>Suosituksen mukaan kansallisessa lainsäädännössä olisi oltava keinot näissä tilanteessa aiheutuvien er</w:t>
      </w:r>
      <w:r>
        <w:t>i</w:t>
      </w:r>
      <w:r>
        <w:t>mielisyyksien ennaltaehkäisemiseksi ja ratkaisemiseksi, samoin kuin säännökset riitojen joustavaksi ratka</w:t>
      </w:r>
      <w:r>
        <w:t>i</w:t>
      </w:r>
      <w:r>
        <w:t>semiseksi ja sovintoratkaisuihin kannustamiseksi. Suosituksessa ehdotetaan yhtenä mahdollisena keinona riitojen ennaltaehkäisyyn sitä, että lapsen asuinpaikan muuttamista harkitsevan vanhemman olisi ilmo</w:t>
      </w:r>
      <w:r>
        <w:t>i</w:t>
      </w:r>
      <w:r>
        <w:t>tettava tästä etukäteen kirjallisesti lapsen toiselle vanhemmalle. Jos sopimusta ei synny, asia olisi voitava saattaa tuomioistuimen ratkaistavaksi. Toisella vanhemmalla olisi tällöin mahdollisuus vaatia esimerkiksi huollosta ja tapaamisoikeudesta annetun ratkaisun muuttamista. Tuomioistuimen olisi ratkaistava asia ki</w:t>
      </w:r>
      <w:r>
        <w:t>i</w:t>
      </w:r>
      <w:r>
        <w:t>reellisesti.</w:t>
      </w:r>
    </w:p>
    <w:p w:rsidR="00467B97" w:rsidRDefault="005F60DA" w:rsidP="005F60DA">
      <w:pPr>
        <w:ind w:left="360"/>
        <w:jc w:val="both"/>
      </w:pPr>
      <w:r>
        <w:t xml:space="preserve">Olisi harkittava, </w:t>
      </w:r>
      <w:r w:rsidR="004B3917">
        <w:t xml:space="preserve">tulisiko lapsenhuoltolakiin sisällyttää </w:t>
      </w:r>
      <w:r w:rsidR="00CD2B68">
        <w:t xml:space="preserve">Euroopan neuvoston </w:t>
      </w:r>
      <w:r w:rsidR="004B3917">
        <w:t xml:space="preserve">suosituksessa </w:t>
      </w:r>
      <w:r w:rsidR="00E40013">
        <w:t>tarkoi</w:t>
      </w:r>
      <w:r w:rsidR="004B3917">
        <w:t>tettu ve</w:t>
      </w:r>
      <w:r w:rsidR="004B3917">
        <w:t>l</w:t>
      </w:r>
      <w:r w:rsidR="004B3917">
        <w:t xml:space="preserve">vollisuus </w:t>
      </w:r>
      <w:r w:rsidR="00E40013">
        <w:t xml:space="preserve">ilmoittaa </w:t>
      </w:r>
      <w:r w:rsidR="00CD2B68">
        <w:t xml:space="preserve">etukäteen </w:t>
      </w:r>
      <w:r w:rsidR="004B3917">
        <w:t>lapsen asuinpaikan muuttamisesta.</w:t>
      </w:r>
    </w:p>
    <w:p w:rsidR="004B3917" w:rsidRDefault="004B3917" w:rsidP="005F60DA">
      <w:pPr>
        <w:ind w:left="360"/>
        <w:jc w:val="both"/>
      </w:pPr>
    </w:p>
    <w:p w:rsidR="005F60DA" w:rsidRPr="00AF2A64" w:rsidRDefault="005F60DA" w:rsidP="005F60DA">
      <w:pPr>
        <w:pStyle w:val="Luettelokappale"/>
        <w:numPr>
          <w:ilvl w:val="1"/>
          <w:numId w:val="22"/>
        </w:numPr>
        <w:jc w:val="both"/>
        <w:rPr>
          <w:b/>
        </w:rPr>
      </w:pPr>
      <w:r w:rsidRPr="00AF2A64">
        <w:rPr>
          <w:b/>
        </w:rPr>
        <w:t>Vastuu lapsen tapaamiskustannuksista</w:t>
      </w:r>
    </w:p>
    <w:p w:rsidR="005F60DA" w:rsidRDefault="005F60DA" w:rsidP="005F60DA">
      <w:pPr>
        <w:ind w:left="360"/>
        <w:jc w:val="both"/>
      </w:pPr>
      <w:r>
        <w:t>Laissa ei ole nimenomaista säännöstä siitä, kuka vastaa lapsen tapaamiskustannuksista. Oikeuskäytännö</w:t>
      </w:r>
      <w:r>
        <w:t>s</w:t>
      </w:r>
      <w:r>
        <w:t>sä on katsottu, että lapsen tapaava vanhempi vastaa yleensä tapaamisesta aiheutuvista kustannuksista. Ne voidaan myös ottaa huomioon elatusavun määrää vahvistettaessa. Toisaalta on myös katsottu, että tuomioistuin voi tarvittaessa velvoittaa myös lähivanhemman osallistumaan tapaamisoikeuden toteutt</w:t>
      </w:r>
      <w:r>
        <w:t>a</w:t>
      </w:r>
      <w:r>
        <w:t>misesta aiheutuviin matkakustannuksiin. Määräys ei ole kuitenkaan tarpeen silloin, kun kysymys on vain vähäisistä kustannuksista (KKO 2003:66). Määräys ei ole sellaisenaan täytäntöönpanokelpoinen.</w:t>
      </w:r>
    </w:p>
    <w:p w:rsidR="005F60DA" w:rsidRDefault="005F60DA" w:rsidP="005F60DA">
      <w:pPr>
        <w:ind w:left="360"/>
        <w:jc w:val="both"/>
      </w:pPr>
      <w:r>
        <w:lastRenderedPageBreak/>
        <w:t>Olisi harkittava, olisiko lakiin tarpeen ottaa nimenomainen säännös tapaamisesta aiheutuvien kustannu</w:t>
      </w:r>
      <w:r>
        <w:t>s</w:t>
      </w:r>
      <w:r>
        <w:t>ten jakautumisesta vanhempien välillä ja tätä koskevan tuomioistuimen määräyksen täytäntöönpanoke</w:t>
      </w:r>
      <w:r>
        <w:t>l</w:t>
      </w:r>
      <w:r>
        <w:t xml:space="preserve">poisuudesta. </w:t>
      </w:r>
    </w:p>
    <w:p w:rsidR="00467B97" w:rsidRDefault="00467B97" w:rsidP="005F60DA">
      <w:pPr>
        <w:ind w:left="360"/>
        <w:jc w:val="both"/>
      </w:pPr>
    </w:p>
    <w:p w:rsidR="005F60DA" w:rsidRPr="00AF2A64" w:rsidRDefault="005F60DA" w:rsidP="005F60DA">
      <w:pPr>
        <w:pStyle w:val="Luettelokappale"/>
        <w:numPr>
          <w:ilvl w:val="0"/>
          <w:numId w:val="22"/>
        </w:numPr>
        <w:jc w:val="both"/>
        <w:rPr>
          <w:b/>
        </w:rPr>
      </w:pPr>
      <w:r w:rsidRPr="00AF2A64">
        <w:rPr>
          <w:b/>
        </w:rPr>
        <w:t>Oikeudenkäyntimenettely</w:t>
      </w:r>
    </w:p>
    <w:p w:rsidR="005F60DA" w:rsidRPr="00AF2A64" w:rsidRDefault="005F60DA" w:rsidP="005F60DA">
      <w:pPr>
        <w:pStyle w:val="Luettelokappale"/>
        <w:jc w:val="both"/>
        <w:rPr>
          <w:b/>
        </w:rPr>
      </w:pPr>
    </w:p>
    <w:p w:rsidR="005F60DA" w:rsidRPr="00AF2A64" w:rsidRDefault="005F60DA" w:rsidP="005F60DA">
      <w:pPr>
        <w:pStyle w:val="Luettelokappale"/>
        <w:numPr>
          <w:ilvl w:val="1"/>
          <w:numId w:val="22"/>
        </w:numPr>
        <w:jc w:val="both"/>
        <w:rPr>
          <w:b/>
        </w:rPr>
      </w:pPr>
      <w:r w:rsidRPr="00AF2A64">
        <w:rPr>
          <w:b/>
        </w:rPr>
        <w:t>Oikeudenkäyntimenettelyn nopeuttaminen</w:t>
      </w:r>
      <w:r w:rsidRPr="00AF2A64">
        <w:rPr>
          <w:b/>
        </w:rPr>
        <w:tab/>
      </w:r>
    </w:p>
    <w:p w:rsidR="005F60DA" w:rsidRDefault="005F60DA" w:rsidP="005F60DA">
      <w:pPr>
        <w:ind w:left="360"/>
        <w:jc w:val="both"/>
      </w:pPr>
      <w:r>
        <w:t>Lapsia koskevat asiat ovat luonteensa puolesta kiireellisesti käsiteltäviä asioita. Myös Euroopan ihmiso</w:t>
      </w:r>
      <w:r>
        <w:t>i</w:t>
      </w:r>
      <w:r>
        <w:t>keustuomioistuin on ratkaisuissaan korostanut sitä, että lapsen huoltoa ja tapaamisoikeutta koskevat as</w:t>
      </w:r>
      <w:r>
        <w:t>i</w:t>
      </w:r>
      <w:r>
        <w:t xml:space="preserve">at tulee käsitellä joutuisasti. </w:t>
      </w:r>
      <w:r w:rsidRPr="000137CE">
        <w:t>Oikeudenkäyn</w:t>
      </w:r>
      <w:r>
        <w:t>timenettely ei kuitenkaan aina täytä kiireellisyysvaatimusta. Epäkohtaan on kiinnittänyt huomiota myös YK:n lapsen oikeuksien komitea Suomea koskevissa suositu</w:t>
      </w:r>
      <w:r>
        <w:t>k</w:t>
      </w:r>
      <w:r>
        <w:t>sissaan</w:t>
      </w:r>
      <w:r>
        <w:rPr>
          <w:rStyle w:val="Alaviitteenviite"/>
        </w:rPr>
        <w:footnoteReference w:id="3"/>
      </w:r>
      <w:r>
        <w:t>.</w:t>
      </w:r>
    </w:p>
    <w:p w:rsidR="005F60DA" w:rsidRDefault="005F60DA" w:rsidP="005F60DA">
      <w:pPr>
        <w:ind w:left="360"/>
        <w:jc w:val="both"/>
      </w:pPr>
      <w:r>
        <w:t>Yksi mahdollisuus menettelyn nopeuttamiseksi voisi olla määräajan asettaminen asian ensimmäiselle i</w:t>
      </w:r>
      <w:r>
        <w:t>s</w:t>
      </w:r>
      <w:r>
        <w:t xml:space="preserve">tuntokäsittelylle. Istunnon järjestäminen mahdollisimman pikaisesti on tärkeää erityisesti tapauksissa, joissa lapsen turvallisuuden väitetään olevan vaarassa esimerkiksi fyysisen tai henkisen väkivallan taikka lapsikaappausuhan vuoksi. </w:t>
      </w:r>
    </w:p>
    <w:p w:rsidR="005F60DA" w:rsidRDefault="005F60DA" w:rsidP="005F60DA">
      <w:pPr>
        <w:ind w:left="360"/>
        <w:jc w:val="both"/>
      </w:pPr>
      <w:r>
        <w:t>Istunnolle on säädetty määräaika ns. asiantuntija-avusteisessa sovittelumenettelyssä: r</w:t>
      </w:r>
      <w:r w:rsidRPr="00DA4A69">
        <w:t>iita-asioiden sovi</w:t>
      </w:r>
      <w:r w:rsidRPr="00DA4A69">
        <w:t>t</w:t>
      </w:r>
      <w:r w:rsidRPr="00DA4A69">
        <w:t>telusta ja sovinnon vahvistamisesta yleisissä tuomioistuimissa annetun lain</w:t>
      </w:r>
      <w:r>
        <w:t xml:space="preserve"> (394/2011) 10 §:n mukaan lapsen huoltoa, tapaamisoikeutta ja elatusta koskevassa asiassa sovitteluistunto tulee järjestää viipymättä sen jälkeen, kun tuomioistuin on tehnyt päätöksen sovittelun aloittamisesta. Säännöksen perustelujen mukaan ilmaisulla ”viipymättä” tarkoitetaan sitä, että istunto tulisi järjestää mahdollisimman nopeasti, kuitenkin viimeistään kuuden viikon kuluessa siitä, kun on tehty päätös sovittelun aloittamisesta.</w:t>
      </w:r>
    </w:p>
    <w:p w:rsidR="005F60DA" w:rsidRDefault="005F60DA" w:rsidP="005F60DA">
      <w:pPr>
        <w:ind w:left="360"/>
        <w:jc w:val="both"/>
      </w:pPr>
      <w:r>
        <w:t>Tulisi selvittää, voitaisiinko oikeudenkäyntimenettelyä nopeuttaa sillä, että lapsen huoltoa ja tapaamiso</w:t>
      </w:r>
      <w:r>
        <w:t>i</w:t>
      </w:r>
      <w:r>
        <w:t xml:space="preserve">keutta koskevan asian ensimmäiselle istuntokäsittelylle säädettäisiin määräaika. Olisi myös pohdittava, millä muilla toimilla oikeudenkäyntiä voitaisiin nopeuttaa. </w:t>
      </w:r>
    </w:p>
    <w:p w:rsidR="00467B97" w:rsidRDefault="00467B97" w:rsidP="005F60DA">
      <w:pPr>
        <w:ind w:left="360"/>
        <w:jc w:val="both"/>
      </w:pPr>
    </w:p>
    <w:p w:rsidR="005F60DA" w:rsidRPr="00AF2A64" w:rsidRDefault="005F60DA" w:rsidP="005F60DA">
      <w:pPr>
        <w:pStyle w:val="Luettelokappale"/>
        <w:numPr>
          <w:ilvl w:val="1"/>
          <w:numId w:val="22"/>
        </w:numPr>
        <w:jc w:val="both"/>
        <w:rPr>
          <w:b/>
        </w:rPr>
      </w:pPr>
      <w:r w:rsidRPr="00AF2A64">
        <w:rPr>
          <w:b/>
        </w:rPr>
        <w:t>Sosiaaliviranomaisen selvityksen hankkiminen</w:t>
      </w:r>
    </w:p>
    <w:p w:rsidR="005F60DA" w:rsidRPr="00AF2A64" w:rsidRDefault="005F60DA" w:rsidP="005F60DA">
      <w:pPr>
        <w:pStyle w:val="Luettelokappale"/>
        <w:jc w:val="both"/>
        <w:rPr>
          <w:b/>
        </w:rPr>
      </w:pPr>
    </w:p>
    <w:p w:rsidR="005F60DA" w:rsidRPr="00AF2A64" w:rsidRDefault="005F60DA" w:rsidP="005F60DA">
      <w:pPr>
        <w:pStyle w:val="Luettelokappale"/>
        <w:numPr>
          <w:ilvl w:val="0"/>
          <w:numId w:val="24"/>
        </w:numPr>
        <w:jc w:val="both"/>
        <w:rPr>
          <w:b/>
        </w:rPr>
      </w:pPr>
      <w:r w:rsidRPr="00AF2A64">
        <w:rPr>
          <w:b/>
        </w:rPr>
        <w:t>Määräaika sosiaaliviranomaisen selvitykselle</w:t>
      </w:r>
    </w:p>
    <w:p w:rsidR="005F60DA" w:rsidRDefault="005F60DA" w:rsidP="005F60DA">
      <w:pPr>
        <w:ind w:left="360"/>
        <w:jc w:val="both"/>
      </w:pPr>
      <w:r>
        <w:t>Yksi lapsen huoltoa ja tapaamisoikeutta koskevien oikeudenkäyntien kestoon vaikuttava seikka on tu</w:t>
      </w:r>
      <w:r>
        <w:t>o</w:t>
      </w:r>
      <w:r>
        <w:t xml:space="preserve">mioistuimen pyytämän olosuhdeselvityksen </w:t>
      </w:r>
      <w:r w:rsidR="00373059">
        <w:t>viipyminen</w:t>
      </w:r>
      <w:r>
        <w:t>. Oikeusministeriö selvitti vuonna 2005 lakivali</w:t>
      </w:r>
      <w:r>
        <w:t>o</w:t>
      </w:r>
      <w:r>
        <w:t xml:space="preserve">kunnan pyynnöstä olosuhdeselvitysten </w:t>
      </w:r>
      <w:r w:rsidR="00373059">
        <w:t>laati</w:t>
      </w:r>
      <w:r>
        <w:t>miseen kuluvia aikoja. Selvityksen mukaan olosuhdeselvity</w:t>
      </w:r>
      <w:r>
        <w:t>s</w:t>
      </w:r>
      <w:r>
        <w:t xml:space="preserve">ten tekeminen kesti tuolloin keskimäärin noin kuusi kuukautta. Lakivaliokunta totesi lausunnossaan </w:t>
      </w:r>
      <w:proofErr w:type="spellStart"/>
      <w:r>
        <w:t>LaVL</w:t>
      </w:r>
      <w:proofErr w:type="spellEnd"/>
      <w:r>
        <w:t xml:space="preserve"> 15/2005, että olosuhdeselvitysten viipymiseen vaikuttavat tekijät ovat varsin erilaisia. Lakivaliokunnan mukaan ne ovat myös sellaisia, joihin lainsäädännöllä voidaan vaikuttaa vain hyvin rajallisesti, koska o</w:t>
      </w:r>
      <w:r>
        <w:t>n</w:t>
      </w:r>
      <w:r>
        <w:lastRenderedPageBreak/>
        <w:t>gelmat johtuvat pitkälti sosiaalitoimen käytettävissä olevien henkilöstövoimavarojen puutteesta. Vali</w:t>
      </w:r>
      <w:r>
        <w:t>o</w:t>
      </w:r>
      <w:r>
        <w:t>kunta yhtyi ministeriön käsitykseen siitä, että jos lapsenhuoltolakiin otetaan jokin selvityksiä koskeva määräaika, sitä ei ole tarkoituksenmukaista asettaa selvityksen tekemiselle vaan selvitystoimien aloittam</w:t>
      </w:r>
      <w:r>
        <w:t>i</w:t>
      </w:r>
      <w:r>
        <w:t>selle.</w:t>
      </w:r>
    </w:p>
    <w:p w:rsidR="005F60DA" w:rsidRDefault="005F60DA" w:rsidP="005F60DA">
      <w:pPr>
        <w:ind w:left="360"/>
        <w:jc w:val="both"/>
      </w:pPr>
      <w:r>
        <w:t>Sosiaaliviranomaisen selvitysten viipyminen on edelleen ajankohtainen ongelma. Tilanteen parantamise</w:t>
      </w:r>
      <w:r>
        <w:t>k</w:t>
      </w:r>
      <w:r>
        <w:t xml:space="preserve">si voitaisiin harkita säännöstä sosiaaliviranomaisen selvityksen laatimiselle asetettavasta määräajasta.    </w:t>
      </w:r>
    </w:p>
    <w:p w:rsidR="00945BED" w:rsidRDefault="00945BED" w:rsidP="005F60DA">
      <w:pPr>
        <w:ind w:left="360"/>
        <w:jc w:val="both"/>
      </w:pPr>
    </w:p>
    <w:p w:rsidR="005F60DA" w:rsidRPr="00AF2A64" w:rsidRDefault="005F60DA" w:rsidP="005F60DA">
      <w:pPr>
        <w:pStyle w:val="Luettelokappale"/>
        <w:numPr>
          <w:ilvl w:val="0"/>
          <w:numId w:val="24"/>
        </w:numPr>
        <w:jc w:val="both"/>
        <w:rPr>
          <w:b/>
        </w:rPr>
      </w:pPr>
      <w:r w:rsidRPr="00AF2A64">
        <w:rPr>
          <w:b/>
        </w:rPr>
        <w:t>Olosuhdeselvityksen hankkiminen kunnan ostopalveluna</w:t>
      </w:r>
    </w:p>
    <w:p w:rsidR="005F60DA" w:rsidRDefault="005F60DA" w:rsidP="005F60DA">
      <w:pPr>
        <w:ind w:left="360"/>
        <w:jc w:val="both"/>
      </w:pPr>
      <w:r>
        <w:t>J</w:t>
      </w:r>
      <w:r w:rsidRPr="007A5967">
        <w:t xml:space="preserve">oissain kunnissa yksityiset palveluntuottajat tuottavat lähes kaikki sosiaali- ja terveyspalvelut. </w:t>
      </w:r>
      <w:r>
        <w:t>Osa kunni</w:t>
      </w:r>
      <w:r>
        <w:t>s</w:t>
      </w:r>
      <w:r>
        <w:t>ta on ulkoistanut myös sosiaaliviranomaisen selvitysten tekemisen ja selvityksen on antanut tuomioi</w:t>
      </w:r>
      <w:r>
        <w:t>s</w:t>
      </w:r>
      <w:r>
        <w:t xml:space="preserve">tuimelle yksityinen palveluntuottaja. Epäselvyyttä on aiheutunut mm. siihen liittyen, onko tällöin kyse laissa tarkoitetusta sosiaalilautakunnan antamasta viranomaisselvityksestä vai yksityisestä lausunnosta. Tämä puolestaan vaikuttaa siihen, mikä merkitys selvityksellä on oikeudenkäyntiaineistona. Asiaan liittyy myös perustuslain 124 §, jolla rajoitetaan julkisten hallintotehtävien antamista muille kuin viranomaisille. </w:t>
      </w:r>
    </w:p>
    <w:p w:rsidR="005F60DA" w:rsidRDefault="005F60DA" w:rsidP="005F60DA">
      <w:pPr>
        <w:ind w:left="360"/>
        <w:jc w:val="both"/>
      </w:pPr>
      <w:r>
        <w:t xml:space="preserve">Sosiaaliviranomaisen selvityksen hankkimista ostopalveluna ja siihen liittyvää lainsäädäntötarvetta tulisi arvioida. </w:t>
      </w:r>
    </w:p>
    <w:p w:rsidR="00467B97" w:rsidRDefault="00467B97" w:rsidP="005F60DA">
      <w:pPr>
        <w:ind w:left="360"/>
        <w:jc w:val="both"/>
      </w:pPr>
    </w:p>
    <w:p w:rsidR="005F60DA" w:rsidRPr="00AF2A64" w:rsidRDefault="005F60DA" w:rsidP="005F60DA">
      <w:pPr>
        <w:ind w:firstLine="360"/>
        <w:jc w:val="both"/>
        <w:rPr>
          <w:b/>
        </w:rPr>
      </w:pPr>
      <w:r w:rsidRPr="00AF2A64">
        <w:rPr>
          <w:b/>
        </w:rPr>
        <w:t>3.3 Lapsen kuuleminen ja osallistuminen oikeudenkäyntiin</w:t>
      </w:r>
    </w:p>
    <w:p w:rsidR="005F60DA" w:rsidRDefault="005F60DA" w:rsidP="005F60DA">
      <w:pPr>
        <w:ind w:left="360"/>
        <w:jc w:val="both"/>
      </w:pPr>
      <w:r>
        <w:t>Lapsen oikeuksia koskevassa yleissopimuksessa (</w:t>
      </w:r>
      <w:proofErr w:type="spellStart"/>
      <w:r>
        <w:t>SopS</w:t>
      </w:r>
      <w:proofErr w:type="spellEnd"/>
      <w:r>
        <w:t xml:space="preserve"> 60/1991) määrätään lapsen oikeudesta tulla kuu</w:t>
      </w:r>
      <w:r>
        <w:t>l</w:t>
      </w:r>
      <w:r>
        <w:t xml:space="preserve">luksi häntä koskevissa oikeudellisissa ja hallinnollisissa toimissa. Perustuslain mukaan lasten tulee saada vaikuttaa itseään koskeviin asioihin kehitystään vastaavasti. Myös ns. Bryssel </w:t>
      </w:r>
      <w:proofErr w:type="spellStart"/>
      <w:r>
        <w:t>IIa-asetuksessa</w:t>
      </w:r>
      <w:proofErr w:type="spellEnd"/>
      <w:r>
        <w:rPr>
          <w:rStyle w:val="Alaviitteenviite"/>
        </w:rPr>
        <w:footnoteReference w:id="4"/>
      </w:r>
      <w:r>
        <w:t xml:space="preserve"> edellyt</w:t>
      </w:r>
      <w:r>
        <w:t>e</w:t>
      </w:r>
      <w:r>
        <w:t xml:space="preserve">tään, että lapselle annetaan tilaisuus tulla kuulluksi häntä koskevia asioita ratkaistaessa. </w:t>
      </w:r>
    </w:p>
    <w:p w:rsidR="005F60DA" w:rsidRDefault="005F60DA" w:rsidP="005F60DA">
      <w:pPr>
        <w:ind w:left="360"/>
        <w:jc w:val="both"/>
      </w:pPr>
      <w:r>
        <w:t>Lapsenhuo</w:t>
      </w:r>
      <w:r w:rsidR="006437E7">
        <w:t xml:space="preserve">ltolaissa lähtökohtana on </w:t>
      </w:r>
      <w:r>
        <w:t>se, että lasta kuullaan oikeudenkäynnissä ensisijaisesti tuomioi</w:t>
      </w:r>
      <w:r>
        <w:t>s</w:t>
      </w:r>
      <w:r>
        <w:t>tuimelle annettavan sosiaaliviranomaisen selvityksen yhteydessä. Lapsen kuuleminen tuomioistuimessa on poikkeuksellista. Lapsenhuoltolain mukaan lasta voidaan kuulla henkilökohtaisesti tuomioistuimessa, jos kuuleminen on painavista syistä välttämätöntä asian ratkaisemisen kannalta. Lisäksi edellytetään, että lapsi suostuu tähän ja on ilmeistä, että kuulemisesta ei saata aiheutua lapselle haittaa. Säännöksillä on p</w:t>
      </w:r>
      <w:r>
        <w:t>y</w:t>
      </w:r>
      <w:r>
        <w:t>ritty suojaamaan lasta siltä, että hän joutuisi vanhempien välisten ristiriitojen osapuoleksi. Lapsenhuoltoa koskevaa vanhempien välistä sopimusta vahvistettaessa lasta ei yleensä kuulla erikseen, paitsi jos on a</w:t>
      </w:r>
      <w:r>
        <w:t>i</w:t>
      </w:r>
      <w:r>
        <w:t xml:space="preserve">hetta epäillä, että sopimus ei olisi lapsen edun mukainen.  </w:t>
      </w:r>
    </w:p>
    <w:p w:rsidR="005F60DA" w:rsidRPr="0044775B" w:rsidRDefault="005F60DA" w:rsidP="00DD56E4">
      <w:pPr>
        <w:ind w:left="360"/>
        <w:jc w:val="both"/>
      </w:pPr>
      <w:r>
        <w:t>Lapsen oikeuksien komitea on Suomea koskevissa suosituksissaan ollut huolissaan siitä, että lasten ku</w:t>
      </w:r>
      <w:r>
        <w:t>u</w:t>
      </w:r>
      <w:r>
        <w:t>leminen huoltoa koskevissa asioissa on puutteellista</w:t>
      </w:r>
      <w:r>
        <w:rPr>
          <w:rStyle w:val="Alaviitteenviite"/>
        </w:rPr>
        <w:footnoteReference w:id="5"/>
      </w:r>
      <w:r>
        <w:t>. Eri yhteyksissä on myös toivo</w:t>
      </w:r>
      <w:r w:rsidRPr="0044775B">
        <w:t xml:space="preserve">ttu, että lapsi voisi </w:t>
      </w:r>
      <w:r w:rsidRPr="0044775B">
        <w:lastRenderedPageBreak/>
        <w:t xml:space="preserve">osallistua oikeudenkäyntiin nykyistä vahvemmin esimerkiksi niin, että hänelle </w:t>
      </w:r>
      <w:r>
        <w:t xml:space="preserve">voitaisiin määrätä </w:t>
      </w:r>
      <w:r w:rsidRPr="0044775B">
        <w:t>oike</w:t>
      </w:r>
      <w:r w:rsidRPr="0044775B">
        <w:t>u</w:t>
      </w:r>
      <w:r w:rsidRPr="0044775B">
        <w:t>denkäynti</w:t>
      </w:r>
      <w:r>
        <w:t>ä varten</w:t>
      </w:r>
      <w:r w:rsidRPr="0044775B">
        <w:t xml:space="preserve"> edunvalvoja tai muu edustaja. </w:t>
      </w:r>
      <w:r>
        <w:t xml:space="preserve">Lapsen kuuleminen ja asema on ollut hiljattain esillä myös eduskunnassa asiantuntija-avusteista tuomioistuinsovittelua koskevan hallituksen esityksen (HE 186/2013 </w:t>
      </w:r>
      <w:proofErr w:type="spellStart"/>
      <w:r>
        <w:t>vp</w:t>
      </w:r>
      <w:proofErr w:type="spellEnd"/>
      <w:r>
        <w:t xml:space="preserve">) käsittelyn yhteydessä. Lakivaliokunta katsoi mietinnössään, että </w:t>
      </w:r>
      <w:r w:rsidRPr="002903F1">
        <w:t xml:space="preserve">olisi aiheellista arvioida erikseen, onko lapsen asemaa ja kuulemista koskevaa lainsäädäntöä ja käytäntöjä tarpeen kehittää </w:t>
      </w:r>
      <w:r>
        <w:t>(</w:t>
      </w:r>
      <w:proofErr w:type="spellStart"/>
      <w:r>
        <w:t>LaVM</w:t>
      </w:r>
      <w:proofErr w:type="spellEnd"/>
      <w:r>
        <w:t xml:space="preserve"> 1/2014).  </w:t>
      </w:r>
    </w:p>
    <w:p w:rsidR="005F60DA" w:rsidRDefault="005F60DA" w:rsidP="005F60DA">
      <w:pPr>
        <w:ind w:left="360"/>
        <w:jc w:val="both"/>
      </w:pPr>
      <w:r>
        <w:t>Olisi tarpeen harkita lapsen kuulemista koskevien lapsenhuoltolain säännösten tarkistamista.  Voitaisiin myös pohtia, millä muilla keinoilla lapsen asemaa voitaisiin vahvistaa huoltoa ja tapaamisoikeutta kosk</w:t>
      </w:r>
      <w:r>
        <w:t>e</w:t>
      </w:r>
      <w:r>
        <w:t>vassa asiassa.</w:t>
      </w:r>
    </w:p>
    <w:p w:rsidR="005F60DA" w:rsidRPr="00AF2A64" w:rsidRDefault="005F60DA" w:rsidP="005F60DA">
      <w:pPr>
        <w:pStyle w:val="Luettelokappale"/>
        <w:jc w:val="both"/>
        <w:rPr>
          <w:b/>
        </w:rPr>
      </w:pPr>
    </w:p>
    <w:p w:rsidR="005F60DA" w:rsidRPr="007D178B" w:rsidRDefault="005F60DA" w:rsidP="005F60DA">
      <w:pPr>
        <w:pStyle w:val="Luettelokappale"/>
        <w:numPr>
          <w:ilvl w:val="1"/>
          <w:numId w:val="27"/>
        </w:numPr>
        <w:jc w:val="both"/>
        <w:rPr>
          <w:b/>
        </w:rPr>
      </w:pPr>
      <w:r w:rsidRPr="00AF2A64">
        <w:rPr>
          <w:b/>
        </w:rPr>
        <w:t>Toistuvat huoltajuusoikeudenkäynnit</w:t>
      </w:r>
    </w:p>
    <w:p w:rsidR="005F60DA" w:rsidRDefault="005F60DA" w:rsidP="005F60DA">
      <w:pPr>
        <w:ind w:left="360"/>
        <w:jc w:val="both"/>
      </w:pPr>
      <w:r>
        <w:t>Lapsenhuoltolain 1</w:t>
      </w:r>
      <w:r w:rsidRPr="00FD5DC3">
        <w:t>2</w:t>
      </w:r>
      <w:r>
        <w:t xml:space="preserve"> §</w:t>
      </w:r>
      <w:r w:rsidRPr="00FD5DC3">
        <w:t>:</w:t>
      </w:r>
      <w:r>
        <w:t>n</w:t>
      </w:r>
      <w:r w:rsidRPr="00FD5DC3">
        <w:t xml:space="preserve"> mukaan sosiaalilautakunnan vahvistamaa sopimusta tai tuomioistuimen päätöstä lapsen huollosta tai tapaamisoikeudesta voidaan muuttaa, jos olosuhteet ovat sopimuksen vahvistamisen tai päätöksen antamisen jälkeen muuttuneet taikka jos tähän muutoin on aihetta</w:t>
      </w:r>
      <w:r>
        <w:t>. Aiemmin voimassa o</w:t>
      </w:r>
      <w:r>
        <w:t>l</w:t>
      </w:r>
      <w:r>
        <w:t>leen lain mukaan päätöksen muuttaminen edellytti olosuhteiden olennaista muuttumista. Muutoskynny</w:t>
      </w:r>
      <w:r>
        <w:t>k</w:t>
      </w:r>
      <w:r>
        <w:t xml:space="preserve">sen alentamisen erityisenä tavoitteena oli pyrkimys suojata ennen muuta lapsen etua ja jättää kysymys sopimuksen tai päätöksen muuttamisen aiheellisuudesta riippumaan kussakin yksittäistapauksessa ennen muuta siitä, mikä järjestely parhaiten </w:t>
      </w:r>
      <w:proofErr w:type="gramStart"/>
      <w:r>
        <w:t>toteuttaa</w:t>
      </w:r>
      <w:proofErr w:type="gramEnd"/>
      <w:r>
        <w:t xml:space="preserve"> lapsen edun (</w:t>
      </w:r>
      <w:proofErr w:type="gramStart"/>
      <w:r>
        <w:t>HE</w:t>
      </w:r>
      <w:proofErr w:type="gramEnd"/>
      <w:r>
        <w:t xml:space="preserve"> 224/1982 </w:t>
      </w:r>
      <w:proofErr w:type="spellStart"/>
      <w:r>
        <w:t>vp</w:t>
      </w:r>
      <w:proofErr w:type="spellEnd"/>
      <w:r>
        <w:t xml:space="preserve"> s.7). </w:t>
      </w:r>
    </w:p>
    <w:p w:rsidR="005F60DA" w:rsidRDefault="005F60DA" w:rsidP="005F60DA">
      <w:pPr>
        <w:ind w:left="360"/>
        <w:jc w:val="both"/>
      </w:pPr>
      <w:r>
        <w:t>Esille ovat nousseet tapaukset, joissa vanhempi saattaa huoltoa tai tapaamisoikeutta koskevan asian yhä uudelleen oikeuteen, vaikka olosuhteet eivät olisi muuttuneet. On esitetty, että kynnystä huoltoratkaisun muuttamismahdollisuuteen pitäisi korottaa tai että toistuvia huoltoriitoja pitäisi voida ehkäistä muutoin. Esille on nostettu myös se, tulisiko julkisen oikeusavun saamista rajoittaa toistuvien huoltoriitojen osalta</w:t>
      </w:r>
      <w:r>
        <w:rPr>
          <w:rStyle w:val="Alaviitteenviite"/>
        </w:rPr>
        <w:footnoteReference w:id="6"/>
      </w:r>
      <w:r>
        <w:t xml:space="preserve">. </w:t>
      </w:r>
    </w:p>
    <w:p w:rsidR="005F60DA" w:rsidRDefault="005F60DA" w:rsidP="005F60DA">
      <w:pPr>
        <w:ind w:left="360"/>
        <w:jc w:val="both"/>
      </w:pPr>
      <w:r>
        <w:t xml:space="preserve">Yksi uuden oikeudenkäynnin aloittamista hillitsevä asia on oikeudenkäyntikulujen korvausvelvollisuuteen liittyvä riski. </w:t>
      </w:r>
      <w:r w:rsidRPr="00FD5DC3">
        <w:t>Oikeudenkäyntikulujen korvausvelvollisuuteen lasten huolto</w:t>
      </w:r>
      <w:r>
        <w:t>a</w:t>
      </w:r>
      <w:r w:rsidRPr="00FD5DC3">
        <w:t xml:space="preserve"> ja tapaamis</w:t>
      </w:r>
      <w:r>
        <w:t xml:space="preserve">ta koskevissa </w:t>
      </w:r>
      <w:r w:rsidRPr="00FD5DC3">
        <w:t>asioi</w:t>
      </w:r>
      <w:r w:rsidRPr="00FD5DC3">
        <w:t>s</w:t>
      </w:r>
      <w:r w:rsidRPr="00FD5DC3">
        <w:t xml:space="preserve">sa sovelletaan oikeudenkäymiskaaren 21 luvun 2 §:ä. </w:t>
      </w:r>
      <w:r>
        <w:t>K</w:t>
      </w:r>
      <w:r w:rsidRPr="00FD5DC3">
        <w:t xml:space="preserve">umpikin osapuoli vastaa </w:t>
      </w:r>
      <w:r>
        <w:t xml:space="preserve">siten </w:t>
      </w:r>
      <w:r w:rsidRPr="00FD5DC3">
        <w:t>yleensä omista k</w:t>
      </w:r>
      <w:r w:rsidRPr="00FD5DC3">
        <w:t>u</w:t>
      </w:r>
      <w:r w:rsidRPr="00FD5DC3">
        <w:t>luistaan. Asian hävinn</w:t>
      </w:r>
      <w:r>
        <w:t>yt osapuoli velvoitetaan korvaa</w:t>
      </w:r>
      <w:r w:rsidRPr="00FD5DC3">
        <w:t xml:space="preserve">maan toisen osapuolen oikeudenkäyntikulut vain, jos siihen on erityistä syytä. </w:t>
      </w:r>
      <w:r>
        <w:t xml:space="preserve">Oikeuskäytännön </w:t>
      </w:r>
      <w:r w:rsidRPr="00FD5DC3">
        <w:t xml:space="preserve">mukaan korvausvelvollisuutta on arvioitava sen nojalla, </w:t>
      </w:r>
      <w:r w:rsidRPr="00934A76">
        <w:t>milla</w:t>
      </w:r>
      <w:r w:rsidRPr="00934A76">
        <w:t>i</w:t>
      </w:r>
      <w:r w:rsidRPr="00934A76">
        <w:t>set perusteet osapuolilla on ollut vaatimuksilleen ja miten asia noihin perusteisiin nähden on ratkaistu</w:t>
      </w:r>
      <w:r>
        <w:t xml:space="preserve"> (KKO 2014:96, KKO 2005:41</w:t>
      </w:r>
      <w:r w:rsidRPr="00FD5DC3">
        <w:t>).</w:t>
      </w:r>
      <w:r>
        <w:t xml:space="preserve">  </w:t>
      </w:r>
    </w:p>
    <w:p w:rsidR="005F60DA" w:rsidRDefault="005F60DA" w:rsidP="005F60DA">
      <w:pPr>
        <w:ind w:left="360"/>
        <w:jc w:val="both"/>
      </w:pPr>
      <w:r>
        <w:t>Olisi syytä pohtia, millä tavoin toistuvia huoltoriitoja voitaisiin ehkäistä. Siinä yhteydessä voitaisiin arvio</w:t>
      </w:r>
      <w:r>
        <w:t>i</w:t>
      </w:r>
      <w:r>
        <w:t xml:space="preserve">da, olisiko kynnystä lapsen huoltoriidan uusintakäsittelyyn tarpeen korottaa tai voitaisiinko </w:t>
      </w:r>
      <w:r w:rsidR="003E111B">
        <w:t xml:space="preserve">asiaan puuttua </w:t>
      </w:r>
      <w:r>
        <w:t>esimerkiksi oikeudenkäyntikulu</w:t>
      </w:r>
      <w:r w:rsidR="003E111B">
        <w:t>jen</w:t>
      </w:r>
      <w:r>
        <w:t xml:space="preserve"> korvausvelvollisuutta koskevia säännöksiä selkeyttämällä.</w:t>
      </w:r>
    </w:p>
    <w:p w:rsidR="00945BED" w:rsidRDefault="00945BED" w:rsidP="005F60DA">
      <w:pPr>
        <w:ind w:firstLine="360"/>
        <w:jc w:val="both"/>
        <w:rPr>
          <w:b/>
        </w:rPr>
      </w:pPr>
    </w:p>
    <w:p w:rsidR="00945BED" w:rsidRDefault="00945BED" w:rsidP="005F60DA">
      <w:pPr>
        <w:ind w:firstLine="360"/>
        <w:jc w:val="both"/>
        <w:rPr>
          <w:b/>
        </w:rPr>
      </w:pPr>
    </w:p>
    <w:p w:rsidR="005F60DA" w:rsidRPr="00AF2A64" w:rsidRDefault="005F60DA" w:rsidP="005F60DA">
      <w:pPr>
        <w:ind w:firstLine="360"/>
        <w:jc w:val="both"/>
        <w:rPr>
          <w:b/>
        </w:rPr>
      </w:pPr>
      <w:r w:rsidRPr="00AF2A64">
        <w:rPr>
          <w:b/>
        </w:rPr>
        <w:lastRenderedPageBreak/>
        <w:t>3.5 Lapsen huoltoa ja huostaanottoa koskevien prosessien päällekkäisyys</w:t>
      </w:r>
    </w:p>
    <w:p w:rsidR="005F60DA" w:rsidRDefault="005F60DA" w:rsidP="005F60DA">
      <w:pPr>
        <w:ind w:left="360"/>
        <w:jc w:val="both"/>
      </w:pPr>
      <w:r>
        <w:t>Lastensuojelulain (417/2017) 46 §</w:t>
      </w:r>
      <w:r w:rsidR="00373059">
        <w:t>:n</w:t>
      </w:r>
      <w:r>
        <w:t xml:space="preserve"> 1 momentin ja korkeimman oikeuden ratkaisukäytännön (KKO 2011:59) mukaan yleinen tuomioistuin on </w:t>
      </w:r>
      <w:proofErr w:type="spellStart"/>
      <w:r>
        <w:t>huostassapidon</w:t>
      </w:r>
      <w:proofErr w:type="spellEnd"/>
      <w:r>
        <w:t xml:space="preserve"> aikanakin toimivaltainen käsittelemään lapsen huoltoa, asumista ja tapaamisoikeutta koskevan asian. Lapsen huoltoa ja huostaanottoa koskevien asio</w:t>
      </w:r>
      <w:r>
        <w:t>i</w:t>
      </w:r>
      <w:r>
        <w:t>den käsittely eri tuomioistuinlinjoissa, yhtäältä yleisissä tuomioistuimissa ja toisaalta hallintotuomioi</w:t>
      </w:r>
      <w:r>
        <w:t>s</w:t>
      </w:r>
      <w:r>
        <w:t>tuimissa, on kuitenkin asetettu ajoittain kyseenalaiseksi. Ongelmallisi</w:t>
      </w:r>
      <w:r w:rsidR="009A6329">
        <w:t xml:space="preserve">na </w:t>
      </w:r>
      <w:r>
        <w:t xml:space="preserve">on </w:t>
      </w:r>
      <w:r w:rsidR="009A6329">
        <w:t xml:space="preserve">pidetty </w:t>
      </w:r>
      <w:r w:rsidR="00604342">
        <w:t xml:space="preserve">erityisesti </w:t>
      </w:r>
      <w:r>
        <w:t>tilante</w:t>
      </w:r>
      <w:r w:rsidR="009A6329">
        <w:t>i</w:t>
      </w:r>
      <w:r>
        <w:t>t</w:t>
      </w:r>
      <w:r w:rsidR="009A6329">
        <w:t>a</w:t>
      </w:r>
      <w:r>
        <w:t xml:space="preserve">, joissa samaa lasta koskeva asia on yhtä aikaa vireillä kahdessa eri tuomioistuimessa. Niissä haasteelliseksi on koettu tuomioistuinten välinen tiedonkulku. Myös lapsen mielipiteen selvittäminen kahta eri prosessia varten on voitu kokea lapsen kannalta kuormittavaksi. </w:t>
      </w:r>
    </w:p>
    <w:p w:rsidR="005F60DA" w:rsidRDefault="005F60DA" w:rsidP="005F60DA">
      <w:pPr>
        <w:ind w:left="360"/>
        <w:jc w:val="both"/>
      </w:pPr>
      <w:r>
        <w:t>Olisi tarpeen selvittää, voitaisiinko tuomioistuinten välistä tiedonvaihtoa ja menettelyjen yhteensovitt</w:t>
      </w:r>
      <w:r>
        <w:t>a</w:t>
      </w:r>
      <w:r>
        <w:t>mista parantaa silloin, kun samaa lasta koskeva huoltoa ja huostaanottoa koskeva asia on yhtä aikaa virei</w:t>
      </w:r>
      <w:r>
        <w:t>l</w:t>
      </w:r>
      <w:r>
        <w:t>lä eri viranomaisissa.</w:t>
      </w:r>
    </w:p>
    <w:p w:rsidR="005F60DA" w:rsidRDefault="005F60DA" w:rsidP="005F60DA">
      <w:pPr>
        <w:ind w:left="360"/>
        <w:jc w:val="both"/>
      </w:pPr>
    </w:p>
    <w:p w:rsidR="005F60DA" w:rsidRPr="00AF2A64" w:rsidRDefault="005F60DA" w:rsidP="005F60DA">
      <w:pPr>
        <w:pStyle w:val="Luettelokappale"/>
        <w:numPr>
          <w:ilvl w:val="0"/>
          <w:numId w:val="26"/>
        </w:numPr>
        <w:jc w:val="both"/>
        <w:rPr>
          <w:b/>
        </w:rPr>
      </w:pPr>
      <w:r w:rsidRPr="00AF2A64">
        <w:rPr>
          <w:b/>
        </w:rPr>
        <w:t>Lapsen huolto</w:t>
      </w:r>
    </w:p>
    <w:p w:rsidR="005F60DA" w:rsidRPr="00AF2A64" w:rsidRDefault="005F60DA" w:rsidP="005F60DA">
      <w:pPr>
        <w:pStyle w:val="Luettelokappale"/>
        <w:jc w:val="both"/>
        <w:rPr>
          <w:b/>
        </w:rPr>
      </w:pPr>
    </w:p>
    <w:p w:rsidR="005F60DA" w:rsidRPr="00AF2A64" w:rsidRDefault="005F60DA" w:rsidP="005F60DA">
      <w:pPr>
        <w:pStyle w:val="Luettelokappale"/>
        <w:numPr>
          <w:ilvl w:val="1"/>
          <w:numId w:val="26"/>
        </w:numPr>
        <w:jc w:val="both"/>
        <w:rPr>
          <w:b/>
        </w:rPr>
      </w:pPr>
      <w:r w:rsidRPr="00AF2A64">
        <w:rPr>
          <w:b/>
        </w:rPr>
        <w:t>Isyyden kumoamisen vaikutus lapsen huoltoon</w:t>
      </w:r>
    </w:p>
    <w:p w:rsidR="005F60DA" w:rsidRDefault="005F60DA" w:rsidP="005F60DA">
      <w:pPr>
        <w:ind w:left="360"/>
        <w:jc w:val="both"/>
      </w:pPr>
      <w:r>
        <w:t>Laissa ei ole nimenomaista säännöstä siitä, miten isyyden kumoaminen vaikuttaa lapsen huoltoon. Tila</w:t>
      </w:r>
      <w:r>
        <w:t>n</w:t>
      </w:r>
      <w:r>
        <w:t>netta on arvioitu eri tavoin siitä riippuen, onko miehen asema huoltajana perustunut suoraan lakiin, tu</w:t>
      </w:r>
      <w:r>
        <w:t>o</w:t>
      </w:r>
      <w:r>
        <w:t>mioistuimen päätökseen tai sosiaaliviranomaisen vahvistamaan sopimukseen.  Yleisesti on katsottu, että isyyden kumoutuessa mies menettää huoltajan asemansa, jos huolto on perustunut lapsenhuoltolain 6 §:ään eli vanhempien avioliittoon. Sen sijaan silloin, kun huoltajuus perustuu tuomioistuimen päätökseen, isyyden kumoamisella ei ole katsottu olevan automaattista vaikutusta huoltajuuteen. Erilaista tulkintaa on ollut siitä, miten isyyden kumoaminen vaikuttaa huoltajuuteen, joka on perustunut sosiaaliviranomaisen vahvistamaan sopimukseen.</w:t>
      </w:r>
    </w:p>
    <w:p w:rsidR="005F60DA" w:rsidRDefault="005F60DA" w:rsidP="005F60DA">
      <w:pPr>
        <w:ind w:left="360"/>
        <w:jc w:val="both"/>
      </w:pPr>
      <w:r>
        <w:t>Asian selkeyttämiseksi voitaisiin harkita nimenomaista säännöstä siitä, miten isyyden kumoaminen vaiku</w:t>
      </w:r>
      <w:r>
        <w:t>t</w:t>
      </w:r>
      <w:r>
        <w:t xml:space="preserve">taa miehen asemaan lapsen huoltajana. </w:t>
      </w:r>
    </w:p>
    <w:p w:rsidR="005F60DA" w:rsidRPr="00AF2A64" w:rsidRDefault="005F60DA" w:rsidP="005F60DA">
      <w:pPr>
        <w:ind w:left="360"/>
        <w:jc w:val="both"/>
        <w:rPr>
          <w:b/>
        </w:rPr>
      </w:pPr>
    </w:p>
    <w:p w:rsidR="005F60DA" w:rsidRPr="00AF2A64" w:rsidRDefault="005F60DA" w:rsidP="005F60DA">
      <w:pPr>
        <w:pStyle w:val="Luettelokappale"/>
        <w:numPr>
          <w:ilvl w:val="1"/>
          <w:numId w:val="26"/>
        </w:numPr>
        <w:jc w:val="both"/>
        <w:rPr>
          <w:b/>
        </w:rPr>
      </w:pPr>
      <w:r w:rsidRPr="00AF2A64">
        <w:rPr>
          <w:b/>
        </w:rPr>
        <w:t>Lapsen huoltoon liittyvien sopimusten alan laajentaminen</w:t>
      </w:r>
    </w:p>
    <w:p w:rsidR="005F60DA" w:rsidRDefault="005F60DA" w:rsidP="005F60DA">
      <w:pPr>
        <w:ind w:left="360"/>
        <w:jc w:val="both"/>
      </w:pPr>
      <w:r>
        <w:t>Lapsenhuoltolain mukaan vain tuomioistuin voi antaa niin sanottuja työnjakomääräyksiä eli päättää te</w:t>
      </w:r>
      <w:r>
        <w:t>h</w:t>
      </w:r>
      <w:r>
        <w:t>tävien jaosta huoltajien kesken. Samoin oheishuoltajasta voi päättää vain tuomioistuin. Kunnissa on erila</w:t>
      </w:r>
      <w:r>
        <w:t>i</w:t>
      </w:r>
      <w:r>
        <w:t>sia käytäntöjä sen suhteen, voiko sosiaalilautakunta vahvistaa yksinhuoltoa koskevaan sopimukseen liitt</w:t>
      </w:r>
      <w:r>
        <w:t>y</w:t>
      </w:r>
      <w:r>
        <w:t xml:space="preserve">vän määräyksen siitä, että toisella vanhemmalla on tietojensaantioikeus. On ehdotettu, että riidattomissa tilanteissa tehtävienjaosta, oheishuoltajasta ja vanhemman tietojensaantioikeudesta voitaisiin sopia myös sosiaalilautakunnan vahvistamalla sopimuksella. </w:t>
      </w:r>
    </w:p>
    <w:p w:rsidR="005F60DA" w:rsidRDefault="005F60DA" w:rsidP="005F60DA">
      <w:pPr>
        <w:ind w:left="360"/>
        <w:jc w:val="both"/>
      </w:pPr>
      <w:r>
        <w:t>Olisi tarpeen harkita, voitaisiinko sosiaalilautakunnissa vahvistettavien sopimusten alaa täsmentää ja mahdollisesti myös laajentaa nykyisestä.</w:t>
      </w:r>
      <w:r w:rsidRPr="00BD6C91">
        <w:t xml:space="preserve"> </w:t>
      </w:r>
    </w:p>
    <w:p w:rsidR="005F60DA" w:rsidRPr="00AF2A64" w:rsidRDefault="005F60DA" w:rsidP="005F60DA">
      <w:pPr>
        <w:ind w:left="360"/>
        <w:jc w:val="both"/>
        <w:rPr>
          <w:b/>
        </w:rPr>
      </w:pPr>
      <w:r w:rsidRPr="00AF2A64">
        <w:rPr>
          <w:b/>
        </w:rPr>
        <w:lastRenderedPageBreak/>
        <w:t xml:space="preserve">4.3 Vanhempien oikeuksien ja velvollisuuksien täsmentäminen </w:t>
      </w:r>
    </w:p>
    <w:p w:rsidR="005F60DA" w:rsidRDefault="005F60DA" w:rsidP="005F60DA">
      <w:pPr>
        <w:ind w:left="360"/>
        <w:jc w:val="both"/>
      </w:pPr>
      <w:r>
        <w:t>Lapsen yhteis- tai yksinhuoltajuutta, asumista ja tapaamisoikeutta koskevat käsitteet on koettu vaikeiksi ja epäselviksi. Epätietoisuutta on myös siitä, mihin kaikkiin lasta koskeviin asioihin tai päätöksiin tarvitaan molempien vanhempien suostumus. On esitetty, että käsitte</w:t>
      </w:r>
      <w:r w:rsidR="00C42651">
        <w:t xml:space="preserve">et </w:t>
      </w:r>
      <w:r>
        <w:t>olisi tämän vuoksi määriteltävä laissa. On myös ehdotettu terminologian muutosta niin, että lapsen huollon ja tapaamisoikeuden käsitteistä siirry</w:t>
      </w:r>
      <w:r>
        <w:t>t</w:t>
      </w:r>
      <w:r>
        <w:t xml:space="preserve">täisiin vanhempainvastuun käsitteeseen. </w:t>
      </w:r>
    </w:p>
    <w:p w:rsidR="005F60DA" w:rsidRDefault="005F60DA" w:rsidP="005F60DA">
      <w:pPr>
        <w:pStyle w:val="Luettelokappale"/>
        <w:ind w:left="1304"/>
        <w:jc w:val="both"/>
      </w:pPr>
    </w:p>
    <w:p w:rsidR="005F60DA" w:rsidRPr="00AF2A64" w:rsidRDefault="005F60DA" w:rsidP="005F60DA">
      <w:pPr>
        <w:pStyle w:val="Luettelokappale"/>
        <w:numPr>
          <w:ilvl w:val="1"/>
          <w:numId w:val="25"/>
        </w:numPr>
        <w:jc w:val="both"/>
        <w:rPr>
          <w:b/>
        </w:rPr>
      </w:pPr>
      <w:r w:rsidRPr="00AF2A64">
        <w:rPr>
          <w:b/>
        </w:rPr>
        <w:t>Vanhemmuussopimus</w:t>
      </w:r>
    </w:p>
    <w:p w:rsidR="005F60DA" w:rsidRDefault="005F60DA" w:rsidP="005F60DA">
      <w:pPr>
        <w:ind w:left="360"/>
        <w:jc w:val="both"/>
      </w:pPr>
      <w:r>
        <w:t xml:space="preserve">Erilaisten vanhemmuussopimusten tai vanhemmuussuunnitelmien käyttöönotosta on tehty ehdotuksia eri yhteyksissä. </w:t>
      </w:r>
    </w:p>
    <w:p w:rsidR="005F60DA" w:rsidRDefault="005F60DA" w:rsidP="005F60DA">
      <w:pPr>
        <w:ind w:left="360"/>
        <w:jc w:val="both"/>
      </w:pPr>
      <w:r>
        <w:t xml:space="preserve">Lakialoitteessa LA 100/2014 </w:t>
      </w:r>
      <w:proofErr w:type="spellStart"/>
      <w:r>
        <w:t>vp</w:t>
      </w:r>
      <w:proofErr w:type="spellEnd"/>
      <w:r>
        <w:t xml:space="preserve"> (Juho Eerola /</w:t>
      </w:r>
      <w:proofErr w:type="spellStart"/>
      <w:r>
        <w:t>ps</w:t>
      </w:r>
      <w:proofErr w:type="spellEnd"/>
      <w:r>
        <w:t xml:space="preserve"> ym.) ehdotettiin lapsenhuoltolain muuttamista siten, että siihen lisättäisiin mahdollisuus tehdä etukäteen sopimus lapsen huollosta ja tapaamisoikeudesta avioeron tai avopuolisoiden eron varalta. Sopimuksen vahvistaisi sosiaalilautakunta, mutta se tulisi voimaan vasta silloin kun vanhemmat on tuomittu avioeroon tai kun laissa avopuolisoiden yhteistalouden purkamisesta (26/2011) tarkoitettu avoliitto on purkautunut. Jos vanhemmilla olisi erotilanteessa valmis sopimus, vo</w:t>
      </w:r>
      <w:r>
        <w:t>i</w:t>
      </w:r>
      <w:r>
        <w:t>taisiin lakialoitteen arvion mukaan välttyä siltä, ettei vanhempien epätietoisuus lapsen asioiden kohtalo</w:t>
      </w:r>
      <w:r>
        <w:t>s</w:t>
      </w:r>
      <w:r>
        <w:t xml:space="preserve">ta ja keskinäinen epäluottamus ainakaan pahene sen vuoksi, että vanhempi käyttää sopimuksetonta tilaa omaksi hyväkseen eikä lapsen hyväksi.    </w:t>
      </w:r>
    </w:p>
    <w:p w:rsidR="005F60DA" w:rsidRDefault="005F60DA" w:rsidP="005F60DA">
      <w:pPr>
        <w:ind w:left="360"/>
        <w:jc w:val="both"/>
      </w:pPr>
      <w:r>
        <w:t>On myös ehdotettu eräissä maissa käytössä olevan eron jälkeisen vanhemmuussuunnitelman (</w:t>
      </w:r>
      <w:proofErr w:type="spellStart"/>
      <w:r>
        <w:t>parenting</w:t>
      </w:r>
      <w:proofErr w:type="spellEnd"/>
      <w:r>
        <w:t xml:space="preserve"> </w:t>
      </w:r>
      <w:proofErr w:type="spellStart"/>
      <w:r>
        <w:t>plan</w:t>
      </w:r>
      <w:proofErr w:type="spellEnd"/>
      <w:r>
        <w:t>) käyttöönottoa. Tällä tarkoitetaan yleensä asiakirjaa, jonka vanhemmat täyttävät yhdessä ja jossa he suunnittelevat konkreettisesti lapsen arkea eron jälkeen. Suunnitelmaan voidaan merkitä hyvinkin tarkasti lapsen huoltoon, asumiseen ja tapaamiseen liittyvät yksityiskohdat kuten harrastukset ja kuljetukset ni</w:t>
      </w:r>
      <w:r>
        <w:t>i</w:t>
      </w:r>
      <w:r>
        <w:t xml:space="preserve">hin, tiedonsaanti lapsen asioista, päättäminen terveydenhoitoon ja koulutukseen liittyvistä asioista jne. Vanhemmuussuunnitelmalla pyritään vahvistamaan yhteistä vanhemmuutta. </w:t>
      </w:r>
    </w:p>
    <w:p w:rsidR="005F60DA" w:rsidRDefault="005F60DA" w:rsidP="005F60DA">
      <w:pPr>
        <w:ind w:left="360"/>
        <w:jc w:val="both"/>
      </w:pPr>
    </w:p>
    <w:p w:rsidR="005F60DA" w:rsidRPr="00AF2A64" w:rsidRDefault="005F60DA" w:rsidP="005F60DA">
      <w:pPr>
        <w:pStyle w:val="Luettelokappale"/>
        <w:numPr>
          <w:ilvl w:val="1"/>
          <w:numId w:val="25"/>
        </w:numPr>
        <w:jc w:val="both"/>
        <w:rPr>
          <w:b/>
        </w:rPr>
      </w:pPr>
      <w:r w:rsidRPr="00AF2A64">
        <w:rPr>
          <w:b/>
        </w:rPr>
        <w:t>Sovittelu ja muu varhaisen vaiheen tuki</w:t>
      </w:r>
    </w:p>
    <w:p w:rsidR="005F60DA" w:rsidRDefault="005F60DA" w:rsidP="005F60DA">
      <w:pPr>
        <w:ind w:left="360"/>
        <w:jc w:val="both"/>
      </w:pPr>
      <w:r>
        <w:t>Lapsen huoltoon ja tapaamiseen liittyvät kommunikaatiovaikeudet ja riitatilanteet vaikeuttavat perheen arkea. Kuntien sovittelupalvelujen ja varhaisen vaiheen tukeen liittyvien muiden palveluiden vahvistami</w:t>
      </w:r>
      <w:r w:rsidR="00C42651">
        <w:t>s</w:t>
      </w:r>
      <w:r w:rsidR="00C42651">
        <w:t xml:space="preserve">ta pidetään </w:t>
      </w:r>
      <w:r>
        <w:t>tärkeä</w:t>
      </w:r>
      <w:r w:rsidR="00C42651">
        <w:t>nä</w:t>
      </w:r>
      <w:r>
        <w:t>. On myös ehdotettu pakollista eroneuvottelua erotilanteeseen. Vanhemmat ovat myös kaivanneet selkeää tahoa, johon voi ottaa yhteyttä esimerkiksi tapaamisoikeuteen liittyvissä onge</w:t>
      </w:r>
      <w:r>
        <w:t>l</w:t>
      </w:r>
      <w:r>
        <w:t xml:space="preserve">missa. Kiinnostusta on ollut myös erilaisten sähköisten sovittelupalveluiden käyttöönottoon. </w:t>
      </w:r>
    </w:p>
    <w:p w:rsidR="005F60DA" w:rsidRDefault="005F60DA" w:rsidP="005F60DA">
      <w:pPr>
        <w:ind w:left="360"/>
        <w:jc w:val="both"/>
      </w:pPr>
      <w:r>
        <w:t>Eropalveluiden, vanhemmuuden tuen ja matalan kynnyksen palvelujen vahvistaminen on osa lapsi- ja perhepalveluiden muutosohjelmaa. Sosiaali- ja terveysministeriössä vireillä olevaa muutosohjelmaa suu</w:t>
      </w:r>
      <w:r>
        <w:t>n</w:t>
      </w:r>
      <w:r>
        <w:t xml:space="preserve">nitellaan ja toteutetaan ministeriöiden yhteistyönä. Hanke löytyy verkosta osoitteesta </w:t>
      </w:r>
      <w:r w:rsidRPr="008D1C31">
        <w:t>https</w:t>
      </w:r>
      <w:proofErr w:type="gramStart"/>
      <w:r w:rsidRPr="008D1C31">
        <w:t>://</w:t>
      </w:r>
      <w:proofErr w:type="gramEnd"/>
      <w:r w:rsidRPr="008D1C31">
        <w:t>stm.fi/hankkeet/lapsi-ja-perhepalvelut</w:t>
      </w:r>
      <w:r>
        <w:t>.</w:t>
      </w:r>
    </w:p>
    <w:p w:rsidR="0028776D" w:rsidRPr="0028776D" w:rsidRDefault="0028776D" w:rsidP="0028776D">
      <w:pPr>
        <w:pStyle w:val="akpasia"/>
        <w:rPr>
          <w:lang w:val="fi-FI"/>
        </w:rPr>
      </w:pPr>
    </w:p>
    <w:sectPr w:rsidR="0028776D" w:rsidRPr="0028776D" w:rsidSect="0028776D">
      <w:headerReference w:type="even" r:id="rId9"/>
      <w:headerReference w:type="default" r:id="rId10"/>
      <w:footerReference w:type="even" r:id="rId11"/>
      <w:footerReference w:type="default" r:id="rId12"/>
      <w:headerReference w:type="first" r:id="rId13"/>
      <w:footerReference w:type="first" r:id="rId14"/>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6D" w:rsidRDefault="0028776D">
      <w:r>
        <w:separator/>
      </w:r>
    </w:p>
  </w:endnote>
  <w:endnote w:type="continuationSeparator" w:id="0">
    <w:p w:rsidR="0028776D" w:rsidRDefault="0028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441D89" w:rsidRDefault="00441D89">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97" w:rsidRDefault="00467B97">
    <w:pPr>
      <w:pStyle w:val="Alatunniste"/>
    </w:pPr>
  </w:p>
  <w:p w:rsidR="00467B97" w:rsidRDefault="00467B9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rsidTr="002D44AE">
      <w:trPr>
        <w:cantSplit/>
        <w:trHeight w:val="360"/>
      </w:trPr>
      <w:tc>
        <w:tcPr>
          <w:tcW w:w="5130" w:type="dxa"/>
          <w:gridSpan w:val="3"/>
          <w:vAlign w:val="bottom"/>
        </w:tcPr>
        <w:p w:rsidR="00441D89" w:rsidRPr="009B04E6" w:rsidRDefault="00441D89" w:rsidP="00467B97">
          <w:pPr>
            <w:pStyle w:val="akptiedostopolku"/>
          </w:pPr>
        </w:p>
      </w:tc>
      <w:tc>
        <w:tcPr>
          <w:tcW w:w="76" w:type="dxa"/>
        </w:tcPr>
        <w:p w:rsidR="00441D89" w:rsidRPr="009B04E6" w:rsidRDefault="00441D89">
          <w:pPr>
            <w:pStyle w:val="Alatunniste"/>
            <w:rPr>
              <w:sz w:val="12"/>
              <w:lang w:val="sv-SE"/>
            </w:rPr>
          </w:pPr>
        </w:p>
      </w:tc>
      <w:tc>
        <w:tcPr>
          <w:tcW w:w="890" w:type="dxa"/>
        </w:tcPr>
        <w:p w:rsidR="00441D89" w:rsidRPr="009B04E6" w:rsidRDefault="00441D89">
          <w:pPr>
            <w:pStyle w:val="Alatunniste"/>
            <w:rPr>
              <w:sz w:val="12"/>
              <w:lang w:val="sv-SE"/>
            </w:rPr>
          </w:pPr>
        </w:p>
      </w:tc>
      <w:tc>
        <w:tcPr>
          <w:tcW w:w="1701" w:type="dxa"/>
        </w:tcPr>
        <w:p w:rsidR="00441D89" w:rsidRPr="009B04E6" w:rsidRDefault="00441D89">
          <w:pPr>
            <w:pStyle w:val="Alatunniste"/>
            <w:rPr>
              <w:sz w:val="12"/>
              <w:lang w:val="sv-SE"/>
            </w:rPr>
          </w:pPr>
        </w:p>
      </w:tc>
      <w:tc>
        <w:tcPr>
          <w:tcW w:w="2126" w:type="dxa"/>
        </w:tcPr>
        <w:p w:rsidR="00441D89" w:rsidRPr="009B04E6" w:rsidRDefault="00441D89">
          <w:pPr>
            <w:pStyle w:val="Alatunniste"/>
            <w:rPr>
              <w:sz w:val="12"/>
              <w:lang w:val="sv-SE"/>
            </w:rPr>
          </w:pPr>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28776D">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rsidR="00441D89" w:rsidRPr="00A02446" w:rsidRDefault="0028776D">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rsidR="00441D89" w:rsidRPr="00A02446" w:rsidRDefault="0028776D">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rsidR="00441D89" w:rsidRPr="00A02446" w:rsidRDefault="0028776D">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rsidR="00441D89" w:rsidRPr="00A02446" w:rsidRDefault="0028776D">
          <w:pPr>
            <w:pStyle w:val="Alatunniste"/>
            <w:rPr>
              <w:b/>
              <w:sz w:val="18"/>
              <w:szCs w:val="18"/>
              <w:lang w:val="sv-SE"/>
            </w:rPr>
          </w:pPr>
          <w:proofErr w:type="spellStart"/>
          <w:r>
            <w:rPr>
              <w:b/>
              <w:sz w:val="18"/>
              <w:szCs w:val="18"/>
              <w:lang w:val="sv-SE"/>
            </w:rPr>
            <w:t>Sähköpostiosoite</w:t>
          </w:r>
          <w:proofErr w:type="spellEnd"/>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28776D">
          <w:pPr>
            <w:pStyle w:val="Alatunniste"/>
            <w:rPr>
              <w:sz w:val="18"/>
              <w:szCs w:val="18"/>
              <w:lang w:val="sv-SE"/>
            </w:rPr>
          </w:pPr>
          <w:proofErr w:type="spellStart"/>
          <w:r>
            <w:rPr>
              <w:sz w:val="18"/>
              <w:szCs w:val="18"/>
              <w:lang w:val="sv-SE"/>
            </w:rPr>
            <w:t>Kasarmikatu</w:t>
          </w:r>
          <w:proofErr w:type="spellEnd"/>
          <w:r>
            <w:rPr>
              <w:sz w:val="18"/>
              <w:szCs w:val="18"/>
              <w:lang w:val="sv-SE"/>
            </w:rPr>
            <w:t xml:space="preserve"> 25</w:t>
          </w:r>
        </w:p>
      </w:tc>
      <w:tc>
        <w:tcPr>
          <w:tcW w:w="2409" w:type="dxa"/>
          <w:tcBorders>
            <w:left w:val="single" w:sz="4" w:space="0" w:color="auto"/>
            <w:right w:val="single" w:sz="4" w:space="0" w:color="auto"/>
          </w:tcBorders>
          <w:tcMar>
            <w:left w:w="57" w:type="dxa"/>
            <w:right w:w="57" w:type="dxa"/>
          </w:tcMar>
        </w:tcPr>
        <w:p w:rsidR="00441D89" w:rsidRPr="00A02446" w:rsidRDefault="0028776D">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441D89" w:rsidRPr="00A02446" w:rsidRDefault="0028776D">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441D89" w:rsidRPr="00A02446" w:rsidRDefault="0028776D">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441D89" w:rsidRPr="00A02446" w:rsidRDefault="0028776D">
          <w:pPr>
            <w:pStyle w:val="Alatunniste"/>
            <w:rPr>
              <w:sz w:val="18"/>
              <w:szCs w:val="18"/>
              <w:lang w:val="sv-SE"/>
            </w:rPr>
          </w:pPr>
          <w:r>
            <w:rPr>
              <w:sz w:val="18"/>
              <w:szCs w:val="18"/>
              <w:lang w:val="sv-SE"/>
            </w:rPr>
            <w:t>oikeusministerio@om.fi</w:t>
          </w:r>
        </w:p>
      </w:tc>
    </w:tr>
    <w:tr w:rsidR="00441D89" w:rsidRPr="009B04E6" w:rsidTr="00285B02">
      <w:trPr>
        <w:cantSplit/>
      </w:trPr>
      <w:tc>
        <w:tcPr>
          <w:tcW w:w="2127" w:type="dxa"/>
          <w:tcBorders>
            <w:left w:val="single" w:sz="4" w:space="0" w:color="auto"/>
            <w:right w:val="single" w:sz="4" w:space="0" w:color="auto"/>
          </w:tcBorders>
          <w:tcMar>
            <w:left w:w="57" w:type="dxa"/>
            <w:right w:w="57" w:type="dxa"/>
          </w:tcMar>
        </w:tcPr>
        <w:p w:rsidR="00441D89" w:rsidRPr="00A02446" w:rsidRDefault="0028776D">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441D89" w:rsidRPr="00A02446" w:rsidRDefault="0028776D">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2126" w:type="dxa"/>
          <w:tcBorders>
            <w:left w:val="single" w:sz="4" w:space="0" w:color="auto"/>
          </w:tcBorders>
          <w:tcMar>
            <w:left w:w="57" w:type="dxa"/>
            <w:right w:w="57" w:type="dxa"/>
          </w:tcMar>
        </w:tcPr>
        <w:p w:rsidR="00441D89" w:rsidRPr="00A02446" w:rsidRDefault="00441D89">
          <w:pPr>
            <w:pStyle w:val="Alatunniste"/>
            <w:rPr>
              <w:sz w:val="18"/>
              <w:szCs w:val="18"/>
              <w:lang w:val="sv-SE"/>
            </w:rPr>
          </w:pPr>
        </w:p>
      </w:tc>
    </w:tr>
    <w:tr w:rsidR="00441D89" w:rsidRPr="009B04E6" w:rsidTr="00285B02">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Borders>
            <w:left w:val="nil"/>
          </w:tcBorders>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r w:rsidR="00441D89" w:rsidRPr="009B04E6" w:rsidTr="00B37BF8">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bl>
  <w:p w:rsidR="00441D89" w:rsidRPr="009B04E6" w:rsidRDefault="00441D89" w:rsidP="00467B97">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6D" w:rsidRDefault="0028776D">
      <w:r>
        <w:separator/>
      </w:r>
    </w:p>
  </w:footnote>
  <w:footnote w:type="continuationSeparator" w:id="0">
    <w:p w:rsidR="0028776D" w:rsidRDefault="0028776D">
      <w:r>
        <w:continuationSeparator/>
      </w:r>
    </w:p>
  </w:footnote>
  <w:footnote w:id="1">
    <w:p w:rsidR="005D2CF4" w:rsidRPr="005D2CF4" w:rsidRDefault="005D2CF4">
      <w:pPr>
        <w:pStyle w:val="Alaviitteenteksti"/>
        <w:rPr>
          <w:lang w:val="sv-SE"/>
        </w:rPr>
      </w:pPr>
      <w:r>
        <w:rPr>
          <w:rStyle w:val="Alaviitteenviite"/>
        </w:rPr>
        <w:footnoteRef/>
      </w:r>
      <w:r w:rsidRPr="005D2CF4">
        <w:rPr>
          <w:lang w:val="sv-SE"/>
        </w:rPr>
        <w:t xml:space="preserve"> Ruotsin Statistiska centralbyrån (SCB) tilastot ja raportti 2014:1 Olika familjer lever olika sätt – om barns boende och försörjning efter en separation.</w:t>
      </w:r>
    </w:p>
  </w:footnote>
  <w:footnote w:id="2">
    <w:p w:rsidR="005F60DA" w:rsidRPr="00A45255" w:rsidRDefault="005F60DA" w:rsidP="005F60DA">
      <w:pPr>
        <w:pStyle w:val="Alaviitteenteksti"/>
      </w:pPr>
      <w:r>
        <w:rPr>
          <w:rStyle w:val="Alaviitteenviite"/>
        </w:rPr>
        <w:footnoteRef/>
      </w:r>
      <w:r w:rsidRPr="004B3917">
        <w:rPr>
          <w:lang w:val="en-US"/>
        </w:rPr>
        <w:t xml:space="preserve"> </w:t>
      </w:r>
      <w:r w:rsidR="004B3917" w:rsidRPr="004B3917">
        <w:rPr>
          <w:lang w:val="en-US"/>
        </w:rPr>
        <w:t>Recommendation CM/</w:t>
      </w:r>
      <w:proofErr w:type="gramStart"/>
      <w:r w:rsidR="004B3917" w:rsidRPr="004B3917">
        <w:rPr>
          <w:lang w:val="en-US"/>
        </w:rPr>
        <w:t>Rec(</w:t>
      </w:r>
      <w:proofErr w:type="gramEnd"/>
      <w:r w:rsidR="004B3917" w:rsidRPr="004B3917">
        <w:rPr>
          <w:lang w:val="en-US"/>
        </w:rPr>
        <w:t>2015)4 of the Committee of Ministers to the Member States on preventing and resolvi</w:t>
      </w:r>
      <w:r w:rsidR="004B3917">
        <w:rPr>
          <w:lang w:val="en-US"/>
        </w:rPr>
        <w:t xml:space="preserve">ng disputes on child relocation. </w:t>
      </w:r>
      <w:r w:rsidRPr="00A45255">
        <w:t>Suositus löytyy Euroopan neuvoston verkkosivuilta osoitteesta www.coe.int.</w:t>
      </w:r>
    </w:p>
  </w:footnote>
  <w:footnote w:id="3">
    <w:p w:rsidR="005F60DA" w:rsidRDefault="005F60DA" w:rsidP="005F60DA">
      <w:pPr>
        <w:pStyle w:val="Alaviitteenteksti"/>
      </w:pPr>
      <w:r>
        <w:rPr>
          <w:rStyle w:val="Alaviitteenviite"/>
        </w:rPr>
        <w:footnoteRef/>
      </w:r>
      <w:r>
        <w:t xml:space="preserve"> Lapsen oikeuksien komitean 57. istunto, 17.6.2011.</w:t>
      </w:r>
    </w:p>
  </w:footnote>
  <w:footnote w:id="4">
    <w:p w:rsidR="005F60DA" w:rsidRDefault="005F60DA" w:rsidP="005F60DA">
      <w:pPr>
        <w:pStyle w:val="Alaviitteenteksti"/>
      </w:pPr>
      <w:r>
        <w:rPr>
          <w:rStyle w:val="Alaviitteenviite"/>
        </w:rPr>
        <w:footnoteRef/>
      </w:r>
      <w:r>
        <w:t xml:space="preserve"> </w:t>
      </w:r>
      <w:proofErr w:type="gramStart"/>
      <w:r>
        <w:t>Neuvoston asetus (EY) N:o 2201/2003, annettu 27 päivänä marraskuuta 2003 tuomioistuimen toimivallasta sekä tuom</w:t>
      </w:r>
      <w:r>
        <w:t>i</w:t>
      </w:r>
      <w:r>
        <w:t>oiden tunnustamisesta ja täytäntöönpanosta avioliittoa ja vanhempainvastuuta koskevissa asioissa ja asetuksen (EY) N:o 1347/2000 kumoamisesta, EUVL L 338, 23.12.2003, s. 1—29.</w:t>
      </w:r>
      <w:proofErr w:type="gramEnd"/>
    </w:p>
  </w:footnote>
  <w:footnote w:id="5">
    <w:p w:rsidR="005F60DA" w:rsidRDefault="005F60DA" w:rsidP="005F60DA">
      <w:pPr>
        <w:pStyle w:val="Alaviitteenteksti"/>
      </w:pPr>
      <w:r>
        <w:rPr>
          <w:rStyle w:val="Alaviitteenviite"/>
        </w:rPr>
        <w:footnoteRef/>
      </w:r>
      <w:r>
        <w:t xml:space="preserve"> Lapsen oikeuksien komitean 57. istunto, 17.6.2011.</w:t>
      </w:r>
    </w:p>
  </w:footnote>
  <w:footnote w:id="6">
    <w:p w:rsidR="005F60DA" w:rsidRDefault="005F60DA" w:rsidP="005F60DA">
      <w:pPr>
        <w:pStyle w:val="Alaviitteenteksti"/>
      </w:pPr>
      <w:r>
        <w:rPr>
          <w:rStyle w:val="Alaviitteenviite"/>
        </w:rPr>
        <w:footnoteRef/>
      </w:r>
      <w:r>
        <w:t xml:space="preserve"> </w:t>
      </w:r>
      <w:proofErr w:type="gramStart"/>
      <w:r>
        <w:t>Oikeusavun kokonaissuunnitelma sekä siitä saatu lausuntopalaute oikeusministeriön julkaisuissa Selvityksiä ja ohjeita 41:2015, s. 49 ja Mietintöjä ja lausuntoja 55/2015 s. 73.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5D" w:rsidRDefault="00B80A5D">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trPr>
        <w:cantSplit/>
        <w:trHeight w:hRule="exact" w:val="20"/>
      </w:trPr>
      <w:tc>
        <w:tcPr>
          <w:tcW w:w="5216" w:type="dxa"/>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805" w:type="dxa"/>
          <w:gridSpan w:val="2"/>
        </w:tcPr>
        <w:p w:rsidR="00441D89" w:rsidRPr="0048319D" w:rsidRDefault="00441D89" w:rsidP="00483C2E">
          <w:pPr>
            <w:pStyle w:val="akpylatunniste"/>
          </w:pPr>
          <w:r w:rsidRPr="0048319D">
            <w:rPr>
              <w:rStyle w:val="akptunnus"/>
            </w:rPr>
            <w:t xml:space="preserve">  </w:t>
          </w:r>
        </w:p>
      </w:tc>
      <w:tc>
        <w:tcPr>
          <w:tcW w:w="663" w:type="dxa"/>
        </w:tcPr>
        <w:p w:rsidR="00441D89" w:rsidRPr="0048319D" w:rsidRDefault="00441D89" w:rsidP="00483C2E">
          <w:pPr>
            <w:pStyle w:val="akpylatunniste"/>
          </w:pPr>
        </w:p>
      </w:tc>
    </w:tr>
    <w:tr w:rsidR="00441D89" w:rsidRPr="0048319D">
      <w:trPr>
        <w:cantSplit/>
        <w:trHeight w:val="280"/>
      </w:trPr>
      <w:tc>
        <w:tcPr>
          <w:tcW w:w="5216" w:type="dxa"/>
          <w:vMerge w:val="restart"/>
          <w:vAlign w:val="center"/>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304" w:type="dxa"/>
        </w:tcPr>
        <w:p w:rsidR="00441D89" w:rsidRPr="0048319D" w:rsidRDefault="00441D89" w:rsidP="00483C2E">
          <w:pPr>
            <w:pStyle w:val="akpylatunniste"/>
          </w:pPr>
        </w:p>
      </w:tc>
      <w:tc>
        <w:tcPr>
          <w:tcW w:w="1164" w:type="dxa"/>
          <w:gridSpan w:val="2"/>
        </w:tcPr>
        <w:p w:rsidR="00441D89" w:rsidRPr="0048319D" w:rsidRDefault="00441D89"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200FFE">
            <w:rPr>
              <w:rStyle w:val="Sivunumero"/>
            </w:rPr>
            <w:t>9</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200FFE">
            <w:rPr>
              <w:rStyle w:val="Sivunumero"/>
            </w:rPr>
            <w:t>9</w:t>
          </w:r>
          <w:r w:rsidRPr="0048319D">
            <w:rPr>
              <w:rStyle w:val="Sivunumero"/>
              <w:noProof w:val="0"/>
            </w:rPr>
            <w:fldChar w:fldCharType="end"/>
          </w:r>
          <w:r w:rsidRPr="0048319D">
            <w:rPr>
              <w:rStyle w:val="Sivunumero"/>
              <w:noProof w:val="0"/>
            </w:rPr>
            <w:t>)</w:t>
          </w:r>
        </w:p>
      </w:tc>
    </w:tr>
    <w:tr w:rsidR="00441D89" w:rsidRPr="0048319D">
      <w:trPr>
        <w:cantSplit/>
        <w:trHeight w:val="230"/>
      </w:trPr>
      <w:tc>
        <w:tcPr>
          <w:tcW w:w="5216" w:type="dxa"/>
          <w:vMerge/>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304" w:type="dxa"/>
        </w:tcPr>
        <w:p w:rsidR="00441D89" w:rsidRPr="0048319D" w:rsidRDefault="00441D89" w:rsidP="00483C2E">
          <w:pPr>
            <w:pStyle w:val="akpylatunniste"/>
          </w:pPr>
        </w:p>
      </w:tc>
      <w:tc>
        <w:tcPr>
          <w:tcW w:w="1164" w:type="dxa"/>
          <w:gridSpan w:val="2"/>
        </w:tcPr>
        <w:p w:rsidR="00441D89" w:rsidRPr="0048319D" w:rsidRDefault="00441D89" w:rsidP="00483C2E">
          <w:pPr>
            <w:pStyle w:val="akpylatunniste"/>
          </w:pPr>
        </w:p>
      </w:tc>
    </w:tr>
  </w:tbl>
  <w:p w:rsidR="00441D89" w:rsidRDefault="00441D89" w:rsidP="00467B9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73FAB" w:rsidRPr="0048319D" w:rsidTr="006E0973">
      <w:trPr>
        <w:cantSplit/>
        <w:trHeight w:hRule="exact" w:val="57"/>
      </w:trPr>
      <w:tc>
        <w:tcPr>
          <w:tcW w:w="5201" w:type="dxa"/>
        </w:tcPr>
        <w:p w:rsidR="00573FAB" w:rsidRPr="0008094E" w:rsidRDefault="00573FAB" w:rsidP="00483C2E">
          <w:pPr>
            <w:pStyle w:val="akpylatunniste"/>
          </w:pPr>
        </w:p>
      </w:tc>
      <w:tc>
        <w:tcPr>
          <w:tcW w:w="66" w:type="dxa"/>
          <w:gridSpan w:val="2"/>
        </w:tcPr>
        <w:p w:rsidR="00573FAB" w:rsidRPr="0008094E" w:rsidRDefault="00573FAB" w:rsidP="00483C2E">
          <w:pPr>
            <w:pStyle w:val="akpylatunniste"/>
          </w:pPr>
        </w:p>
      </w:tc>
      <w:tc>
        <w:tcPr>
          <w:tcW w:w="2599" w:type="dxa"/>
          <w:vAlign w:val="bottom"/>
        </w:tcPr>
        <w:p w:rsidR="00573FAB" w:rsidRPr="0008094E" w:rsidRDefault="00573FAB" w:rsidP="00483C2E">
          <w:pPr>
            <w:pStyle w:val="akpylatunniste"/>
          </w:pPr>
        </w:p>
      </w:tc>
      <w:tc>
        <w:tcPr>
          <w:tcW w:w="1301" w:type="dxa"/>
        </w:tcPr>
        <w:p w:rsidR="00573FAB" w:rsidRPr="0008094E" w:rsidRDefault="00573FAB" w:rsidP="00483C2E">
          <w:pPr>
            <w:pStyle w:val="akpylatunniste"/>
          </w:pPr>
        </w:p>
      </w:tc>
      <w:tc>
        <w:tcPr>
          <w:tcW w:w="1196" w:type="dxa"/>
          <w:gridSpan w:val="4"/>
        </w:tcPr>
        <w:p w:rsidR="00573FAB" w:rsidRPr="0008094E" w:rsidRDefault="00573FAB" w:rsidP="00483C2E">
          <w:pPr>
            <w:pStyle w:val="akpylatunniste"/>
          </w:pPr>
        </w:p>
      </w:tc>
    </w:tr>
    <w:tr w:rsidR="00AF3334" w:rsidRPr="0048319D" w:rsidTr="006E0973">
      <w:trPr>
        <w:cantSplit/>
        <w:trHeight w:hRule="exact" w:val="936"/>
      </w:trPr>
      <w:tc>
        <w:tcPr>
          <w:tcW w:w="5237" w:type="dxa"/>
          <w:gridSpan w:val="2"/>
          <w:vMerge w:val="restart"/>
        </w:tcPr>
        <w:p w:rsidR="00AF3334" w:rsidRPr="0028776D" w:rsidRDefault="0028776D" w:rsidP="00483C2E">
          <w:pPr>
            <w:pStyle w:val="akpylatunniste"/>
            <w:rPr>
              <w:sz w:val="26"/>
            </w:rPr>
          </w:pPr>
          <w:r>
            <w:rPr>
              <w:lang w:eastAsia="fi-FI"/>
            </w:rPr>
            <w:drawing>
              <wp:inline distT="0" distB="0" distL="0" distR="0">
                <wp:extent cx="2303780" cy="522605"/>
                <wp:effectExtent l="0" t="0" r="1270" b="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522605"/>
                        </a:xfrm>
                        <a:prstGeom prst="rect">
                          <a:avLst/>
                        </a:prstGeom>
                        <a:noFill/>
                        <a:ln>
                          <a:noFill/>
                        </a:ln>
                      </pic:spPr>
                    </pic:pic>
                  </a:graphicData>
                </a:graphic>
              </wp:inline>
            </w:drawing>
          </w:r>
        </w:p>
      </w:tc>
      <w:tc>
        <w:tcPr>
          <w:tcW w:w="30" w:type="dxa"/>
        </w:tcPr>
        <w:p w:rsidR="00AF3334" w:rsidRPr="00483C2E" w:rsidRDefault="00AF3334" w:rsidP="00483C2E">
          <w:pPr>
            <w:pStyle w:val="akpylatunniste"/>
          </w:pPr>
        </w:p>
      </w:tc>
      <w:tc>
        <w:tcPr>
          <w:tcW w:w="2599" w:type="dxa"/>
          <w:vAlign w:val="bottom"/>
        </w:tcPr>
        <w:p w:rsidR="00AF3334" w:rsidRPr="00483C2E" w:rsidRDefault="0028776D" w:rsidP="00483C2E">
          <w:pPr>
            <w:pStyle w:val="akpylatunniste"/>
            <w:rPr>
              <w:rStyle w:val="akpatyyppi"/>
            </w:rPr>
          </w:pPr>
          <w:r>
            <w:rPr>
              <w:rStyle w:val="akpatyyppi"/>
            </w:rPr>
            <w:t>MUISTIO</w:t>
          </w:r>
        </w:p>
      </w:tc>
      <w:tc>
        <w:tcPr>
          <w:tcW w:w="1301" w:type="dxa"/>
        </w:tcPr>
        <w:p w:rsidR="00AF3334" w:rsidRPr="00483C2E" w:rsidRDefault="00AF3334" w:rsidP="0028776D">
          <w:pPr>
            <w:pStyle w:val="akpylatunniste"/>
          </w:pPr>
        </w:p>
      </w:tc>
      <w:tc>
        <w:tcPr>
          <w:tcW w:w="1196" w:type="dxa"/>
          <w:gridSpan w:val="4"/>
        </w:tcPr>
        <w:p w:rsidR="00AF3334" w:rsidRPr="00483C2E" w:rsidRDefault="00AF3334" w:rsidP="00483C2E">
          <w:pPr>
            <w:pStyle w:val="akpylatunniste"/>
          </w:pPr>
        </w:p>
      </w:tc>
    </w:tr>
    <w:tr w:rsidR="00AF3334" w:rsidRPr="0048319D" w:rsidTr="006E0973">
      <w:trPr>
        <w:cantSplit/>
        <w:trHeight w:val="369"/>
      </w:trPr>
      <w:tc>
        <w:tcPr>
          <w:tcW w:w="5237" w:type="dxa"/>
          <w:gridSpan w:val="2"/>
          <w:vMerge/>
        </w:tcPr>
        <w:p w:rsidR="00AF3334" w:rsidRPr="00483C2E" w:rsidRDefault="00AF3334" w:rsidP="00483C2E">
          <w:pPr>
            <w:pStyle w:val="akpylatunniste"/>
          </w:pPr>
        </w:p>
      </w:tc>
      <w:tc>
        <w:tcPr>
          <w:tcW w:w="30" w:type="dxa"/>
        </w:tcPr>
        <w:p w:rsidR="00AF3334" w:rsidRPr="00483C2E" w:rsidRDefault="00AF3334" w:rsidP="00483C2E">
          <w:pPr>
            <w:pStyle w:val="akpylatunniste"/>
          </w:pPr>
        </w:p>
      </w:tc>
      <w:tc>
        <w:tcPr>
          <w:tcW w:w="2597" w:type="dxa"/>
          <w:vAlign w:val="bottom"/>
        </w:tcPr>
        <w:p w:rsidR="00AF3334" w:rsidRPr="00483C2E" w:rsidRDefault="00AF3334" w:rsidP="0028776D">
          <w:pPr>
            <w:pStyle w:val="akpylatunniste"/>
          </w:pPr>
        </w:p>
      </w:tc>
      <w:tc>
        <w:tcPr>
          <w:tcW w:w="1373" w:type="dxa"/>
          <w:vAlign w:val="bottom"/>
        </w:tcPr>
        <w:p w:rsidR="00AF3334" w:rsidRPr="00483C2E" w:rsidRDefault="00AF3334" w:rsidP="0028776D">
          <w:pPr>
            <w:pStyle w:val="akpylatunniste"/>
          </w:pPr>
        </w:p>
      </w:tc>
      <w:tc>
        <w:tcPr>
          <w:tcW w:w="1196" w:type="dxa"/>
          <w:gridSpan w:val="4"/>
          <w:vAlign w:val="bottom"/>
        </w:tcPr>
        <w:p w:rsidR="00AF3334" w:rsidRPr="00483C2E" w:rsidRDefault="00AF3334" w:rsidP="00483C2E">
          <w:pPr>
            <w:pStyle w:val="akpylatunniste"/>
          </w:pPr>
        </w:p>
      </w:tc>
    </w:tr>
    <w:tr w:rsidR="00AF3334" w:rsidRPr="0048319D" w:rsidTr="006E0973">
      <w:trPr>
        <w:cantSplit/>
        <w:trHeight w:val="230"/>
      </w:trPr>
      <w:tc>
        <w:tcPr>
          <w:tcW w:w="5237" w:type="dxa"/>
          <w:gridSpan w:val="2"/>
          <w:vAlign w:val="bottom"/>
        </w:tcPr>
        <w:p w:rsidR="00AF3334" w:rsidRPr="00483C2E" w:rsidRDefault="00190EDE" w:rsidP="00483C2E">
          <w:pPr>
            <w:pStyle w:val="akpylatunniste"/>
          </w:pPr>
          <w:r>
            <w:t>Lainvalmisteluosasto</w:t>
          </w:r>
        </w:p>
      </w:tc>
      <w:tc>
        <w:tcPr>
          <w:tcW w:w="30" w:type="dxa"/>
          <w:vAlign w:val="bottom"/>
        </w:tcPr>
        <w:p w:rsidR="00AF3334" w:rsidRPr="00483C2E" w:rsidRDefault="00AF3334" w:rsidP="00483C2E">
          <w:pPr>
            <w:pStyle w:val="akpylatunniste"/>
          </w:pPr>
        </w:p>
      </w:tc>
      <w:tc>
        <w:tcPr>
          <w:tcW w:w="2599" w:type="dxa"/>
          <w:vAlign w:val="bottom"/>
        </w:tcPr>
        <w:p w:rsidR="00AF3334" w:rsidRPr="00483C2E" w:rsidRDefault="0028776D" w:rsidP="00483C2E">
          <w:pPr>
            <w:pStyle w:val="akpylatunniste"/>
            <w:rPr>
              <w:rStyle w:val="akppaivays"/>
            </w:rPr>
          </w:pPr>
          <w:r>
            <w:rPr>
              <w:rStyle w:val="akppaivays"/>
            </w:rPr>
            <w:t xml:space="preserve"> </w:t>
          </w:r>
        </w:p>
      </w:tc>
      <w:tc>
        <w:tcPr>
          <w:tcW w:w="2467" w:type="dxa"/>
          <w:gridSpan w:val="4"/>
          <w:vAlign w:val="bottom"/>
        </w:tcPr>
        <w:p w:rsidR="00AF3334" w:rsidRPr="00483C2E" w:rsidRDefault="0028776D" w:rsidP="00483C2E">
          <w:pPr>
            <w:pStyle w:val="akpylatunniste"/>
            <w:rPr>
              <w:rStyle w:val="akptunniste"/>
            </w:rPr>
          </w:pPr>
          <w:r>
            <w:rPr>
              <w:rStyle w:val="akptunniste"/>
            </w:rPr>
            <w:t xml:space="preserve"> </w:t>
          </w:r>
        </w:p>
      </w:tc>
      <w:tc>
        <w:tcPr>
          <w:tcW w:w="30" w:type="dxa"/>
        </w:tcPr>
        <w:p w:rsidR="00AF3334" w:rsidRPr="00483C2E" w:rsidRDefault="00AF3334" w:rsidP="00483C2E">
          <w:pPr>
            <w:pStyle w:val="akpylatunniste"/>
          </w:pPr>
        </w:p>
      </w:tc>
    </w:tr>
    <w:tr w:rsidR="00AF3334" w:rsidRPr="0048319D" w:rsidTr="006E0973">
      <w:trPr>
        <w:cantSplit/>
        <w:trHeight w:val="280"/>
      </w:trPr>
      <w:tc>
        <w:tcPr>
          <w:tcW w:w="5237" w:type="dxa"/>
          <w:gridSpan w:val="2"/>
        </w:tcPr>
        <w:p w:rsidR="00190EDE" w:rsidRPr="00483C2E" w:rsidRDefault="00190EDE" w:rsidP="0028776D">
          <w:pPr>
            <w:pStyle w:val="akpyksikko"/>
          </w:pPr>
          <w:r>
            <w:t>Yksityisoikeuden yksikkö</w:t>
          </w:r>
        </w:p>
      </w:tc>
      <w:tc>
        <w:tcPr>
          <w:tcW w:w="30" w:type="dxa"/>
        </w:tcPr>
        <w:p w:rsidR="00AF3334" w:rsidRPr="00483C2E" w:rsidRDefault="00AF3334" w:rsidP="00483C2E">
          <w:pPr>
            <w:pStyle w:val="akpylatunniste"/>
          </w:pPr>
        </w:p>
      </w:tc>
      <w:tc>
        <w:tcPr>
          <w:tcW w:w="2599" w:type="dxa"/>
        </w:tcPr>
        <w:p w:rsidR="00AF3334" w:rsidRPr="00483C2E" w:rsidRDefault="007B02C6" w:rsidP="00483C2E">
          <w:pPr>
            <w:pStyle w:val="akpylatunniste"/>
          </w:pPr>
          <w:r>
            <w:rPr>
              <w:rStyle w:val="akppaivays"/>
            </w:rPr>
            <w:t>25</w:t>
          </w:r>
          <w:r w:rsidR="0028776D">
            <w:rPr>
              <w:rStyle w:val="akppaivays"/>
            </w:rPr>
            <w:t>.1.2016</w:t>
          </w:r>
        </w:p>
      </w:tc>
      <w:tc>
        <w:tcPr>
          <w:tcW w:w="2442" w:type="dxa"/>
          <w:gridSpan w:val="3"/>
        </w:tcPr>
        <w:p w:rsidR="00AF3334" w:rsidRPr="00483C2E" w:rsidRDefault="00190EDE" w:rsidP="0028776D">
          <w:pPr>
            <w:pStyle w:val="akpylatunniste"/>
          </w:pPr>
          <w:r>
            <w:t>OM 31/41</w:t>
          </w:r>
          <w:r w:rsidR="00B80A5D">
            <w:t>/2015</w:t>
          </w:r>
        </w:p>
      </w:tc>
      <w:tc>
        <w:tcPr>
          <w:tcW w:w="55" w:type="dxa"/>
          <w:gridSpan w:val="2"/>
        </w:tcPr>
        <w:p w:rsidR="00AF3334" w:rsidRPr="00483C2E" w:rsidRDefault="00AF3334" w:rsidP="00483C2E">
          <w:pPr>
            <w:pStyle w:val="akpylatunniste"/>
          </w:pPr>
        </w:p>
      </w:tc>
    </w:tr>
    <w:tr w:rsidR="00AF3334" w:rsidRPr="0048319D" w:rsidTr="006E0973">
      <w:trPr>
        <w:cantSplit/>
        <w:trHeight w:hRule="exact" w:val="340"/>
      </w:trPr>
      <w:tc>
        <w:tcPr>
          <w:tcW w:w="5237" w:type="dxa"/>
          <w:gridSpan w:val="2"/>
        </w:tcPr>
        <w:p w:rsidR="00AF3334" w:rsidRPr="00483C2E" w:rsidRDefault="0028776D" w:rsidP="0028776D">
          <w:pPr>
            <w:pStyle w:val="akpylatunniste"/>
          </w:pPr>
          <w:r>
            <w:rPr>
              <w:rStyle w:val="akplaatija"/>
            </w:rPr>
            <w:t xml:space="preserve"> </w:t>
          </w:r>
        </w:p>
      </w:tc>
      <w:tc>
        <w:tcPr>
          <w:tcW w:w="30" w:type="dxa"/>
        </w:tcPr>
        <w:p w:rsidR="00AF3334" w:rsidRPr="00483C2E" w:rsidRDefault="00AF3334" w:rsidP="00483C2E">
          <w:pPr>
            <w:pStyle w:val="akpylatunniste"/>
          </w:pPr>
        </w:p>
      </w:tc>
      <w:tc>
        <w:tcPr>
          <w:tcW w:w="2599" w:type="dxa"/>
        </w:tcPr>
        <w:p w:rsidR="00AF3334" w:rsidRPr="00483C2E" w:rsidRDefault="00AF3334" w:rsidP="00483C2E">
          <w:pPr>
            <w:pStyle w:val="akpylatunniste"/>
          </w:pPr>
        </w:p>
      </w:tc>
      <w:tc>
        <w:tcPr>
          <w:tcW w:w="2037" w:type="dxa"/>
          <w:gridSpan w:val="2"/>
        </w:tcPr>
        <w:p w:rsidR="00AF3334" w:rsidRPr="00483C2E" w:rsidRDefault="00AF3334" w:rsidP="0028776D">
          <w:pPr>
            <w:pStyle w:val="akpylatunniste"/>
          </w:pPr>
        </w:p>
      </w:tc>
      <w:tc>
        <w:tcPr>
          <w:tcW w:w="460" w:type="dxa"/>
          <w:gridSpan w:val="3"/>
        </w:tcPr>
        <w:p w:rsidR="00AF3334" w:rsidRPr="00483C2E" w:rsidRDefault="00AF3334" w:rsidP="00483C2E">
          <w:pPr>
            <w:pStyle w:val="akpylatunniste"/>
          </w:pPr>
        </w:p>
      </w:tc>
    </w:tr>
  </w:tbl>
  <w:p w:rsidR="00441D89" w:rsidRDefault="0028776D">
    <w:pPr>
      <w:pStyle w:val="Yltunniste"/>
    </w:pPr>
    <w:r>
      <w:t xml:space="preserve"> </w:t>
    </w:r>
  </w:p>
  <w:p w:rsidR="000D25E7" w:rsidRDefault="000D25E7">
    <w:pPr>
      <w:pStyle w:val="Yltunniste"/>
    </w:pPr>
  </w:p>
  <w:p w:rsidR="000D25E7" w:rsidRDefault="000D25E7">
    <w:pPr>
      <w:pStyle w:val="Yltunniste"/>
    </w:pPr>
  </w:p>
  <w:p w:rsidR="00441D89" w:rsidRDefault="00441D8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nsid w:val="104144ED"/>
    <w:multiLevelType w:val="multilevel"/>
    <w:tmpl w:val="61F8C83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2D03983"/>
    <w:multiLevelType w:val="multilevel"/>
    <w:tmpl w:val="905E0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5">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6">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7">
    <w:nsid w:val="3C35024D"/>
    <w:multiLevelType w:val="multilevel"/>
    <w:tmpl w:val="072692F2"/>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9">
    <w:nsid w:val="51C4247F"/>
    <w:multiLevelType w:val="hybridMultilevel"/>
    <w:tmpl w:val="4044F07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56CF7B0D"/>
    <w:multiLevelType w:val="multilevel"/>
    <w:tmpl w:val="E8E8B31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2">
    <w:nsid w:val="73BF3176"/>
    <w:multiLevelType w:val="hybridMultilevel"/>
    <w:tmpl w:val="F204477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1"/>
  </w:num>
  <w:num w:numId="5">
    <w:abstractNumId w:val="8"/>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3"/>
  </w:num>
  <w:num w:numId="23">
    <w:abstractNumId w:val="9"/>
  </w:num>
  <w:num w:numId="24">
    <w:abstractNumId w:val="12"/>
  </w:num>
  <w:num w:numId="25">
    <w:abstractNumId w:val="7"/>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6D"/>
    <w:rsid w:val="00002EA4"/>
    <w:rsid w:val="000306FF"/>
    <w:rsid w:val="0003277B"/>
    <w:rsid w:val="000419C5"/>
    <w:rsid w:val="00042F66"/>
    <w:rsid w:val="00053CD9"/>
    <w:rsid w:val="000576AA"/>
    <w:rsid w:val="000618A4"/>
    <w:rsid w:val="00064AD4"/>
    <w:rsid w:val="0006660B"/>
    <w:rsid w:val="0008094E"/>
    <w:rsid w:val="00086985"/>
    <w:rsid w:val="000A04FB"/>
    <w:rsid w:val="000A2229"/>
    <w:rsid w:val="000A65C7"/>
    <w:rsid w:val="000B44F9"/>
    <w:rsid w:val="000B7460"/>
    <w:rsid w:val="000C0234"/>
    <w:rsid w:val="000D25E7"/>
    <w:rsid w:val="000E0176"/>
    <w:rsid w:val="000E1FAB"/>
    <w:rsid w:val="000E4DDC"/>
    <w:rsid w:val="000F6F05"/>
    <w:rsid w:val="00102B71"/>
    <w:rsid w:val="00103367"/>
    <w:rsid w:val="001060CE"/>
    <w:rsid w:val="00111590"/>
    <w:rsid w:val="00123F09"/>
    <w:rsid w:val="00145CEF"/>
    <w:rsid w:val="00151DB3"/>
    <w:rsid w:val="001627E8"/>
    <w:rsid w:val="0017385E"/>
    <w:rsid w:val="0018063E"/>
    <w:rsid w:val="00181A6F"/>
    <w:rsid w:val="00190EDE"/>
    <w:rsid w:val="00192F8D"/>
    <w:rsid w:val="00195C17"/>
    <w:rsid w:val="00196E84"/>
    <w:rsid w:val="001A16EF"/>
    <w:rsid w:val="001A4995"/>
    <w:rsid w:val="001C1B5E"/>
    <w:rsid w:val="001D02B3"/>
    <w:rsid w:val="001D6795"/>
    <w:rsid w:val="001D679B"/>
    <w:rsid w:val="001E798D"/>
    <w:rsid w:val="001F3280"/>
    <w:rsid w:val="00200FFE"/>
    <w:rsid w:val="00212836"/>
    <w:rsid w:val="00220BF5"/>
    <w:rsid w:val="00226FA5"/>
    <w:rsid w:val="00236E93"/>
    <w:rsid w:val="00240BCA"/>
    <w:rsid w:val="0024248C"/>
    <w:rsid w:val="002465C1"/>
    <w:rsid w:val="00250AAC"/>
    <w:rsid w:val="00250BC8"/>
    <w:rsid w:val="0026784D"/>
    <w:rsid w:val="0027294E"/>
    <w:rsid w:val="00273116"/>
    <w:rsid w:val="00273C54"/>
    <w:rsid w:val="00275BAA"/>
    <w:rsid w:val="00285B02"/>
    <w:rsid w:val="00286811"/>
    <w:rsid w:val="0028776D"/>
    <w:rsid w:val="00292824"/>
    <w:rsid w:val="002A3274"/>
    <w:rsid w:val="002A39CB"/>
    <w:rsid w:val="002A4C74"/>
    <w:rsid w:val="002B5319"/>
    <w:rsid w:val="002B5677"/>
    <w:rsid w:val="002D44AE"/>
    <w:rsid w:val="002F152B"/>
    <w:rsid w:val="002F30B8"/>
    <w:rsid w:val="002F519A"/>
    <w:rsid w:val="003023CB"/>
    <w:rsid w:val="003025A0"/>
    <w:rsid w:val="0030477B"/>
    <w:rsid w:val="00311C09"/>
    <w:rsid w:val="00320834"/>
    <w:rsid w:val="00332E4D"/>
    <w:rsid w:val="00346B5F"/>
    <w:rsid w:val="003509F5"/>
    <w:rsid w:val="00350ACC"/>
    <w:rsid w:val="00353BE5"/>
    <w:rsid w:val="0035730C"/>
    <w:rsid w:val="00361C1C"/>
    <w:rsid w:val="00373059"/>
    <w:rsid w:val="00377E10"/>
    <w:rsid w:val="00386E57"/>
    <w:rsid w:val="00394B36"/>
    <w:rsid w:val="00394D2A"/>
    <w:rsid w:val="00396839"/>
    <w:rsid w:val="003A572B"/>
    <w:rsid w:val="003B2856"/>
    <w:rsid w:val="003E111B"/>
    <w:rsid w:val="003E35C6"/>
    <w:rsid w:val="003E6937"/>
    <w:rsid w:val="003F2843"/>
    <w:rsid w:val="003F3458"/>
    <w:rsid w:val="003F3A6C"/>
    <w:rsid w:val="003F61D9"/>
    <w:rsid w:val="00421709"/>
    <w:rsid w:val="004235A1"/>
    <w:rsid w:val="004241A5"/>
    <w:rsid w:val="0042494B"/>
    <w:rsid w:val="00432218"/>
    <w:rsid w:val="00441D89"/>
    <w:rsid w:val="0044670A"/>
    <w:rsid w:val="00450E93"/>
    <w:rsid w:val="0045504D"/>
    <w:rsid w:val="00457571"/>
    <w:rsid w:val="00467B97"/>
    <w:rsid w:val="004721B2"/>
    <w:rsid w:val="00472F06"/>
    <w:rsid w:val="004757F6"/>
    <w:rsid w:val="00477F9E"/>
    <w:rsid w:val="00481035"/>
    <w:rsid w:val="00481319"/>
    <w:rsid w:val="0048319D"/>
    <w:rsid w:val="00483C2E"/>
    <w:rsid w:val="004917D2"/>
    <w:rsid w:val="00492A83"/>
    <w:rsid w:val="00493A8B"/>
    <w:rsid w:val="004B05F8"/>
    <w:rsid w:val="004B3917"/>
    <w:rsid w:val="004B4BE9"/>
    <w:rsid w:val="004C47C4"/>
    <w:rsid w:val="004C6883"/>
    <w:rsid w:val="004D0304"/>
    <w:rsid w:val="004E04B3"/>
    <w:rsid w:val="005003CC"/>
    <w:rsid w:val="00501D4C"/>
    <w:rsid w:val="0051176D"/>
    <w:rsid w:val="005117F6"/>
    <w:rsid w:val="00515F40"/>
    <w:rsid w:val="00524AFE"/>
    <w:rsid w:val="005268C7"/>
    <w:rsid w:val="00534C75"/>
    <w:rsid w:val="00537379"/>
    <w:rsid w:val="00537B82"/>
    <w:rsid w:val="00541832"/>
    <w:rsid w:val="00550B8A"/>
    <w:rsid w:val="00552FC6"/>
    <w:rsid w:val="00554B56"/>
    <w:rsid w:val="00562A2B"/>
    <w:rsid w:val="00562F86"/>
    <w:rsid w:val="00564E43"/>
    <w:rsid w:val="00570D2D"/>
    <w:rsid w:val="00573FAB"/>
    <w:rsid w:val="00574A58"/>
    <w:rsid w:val="00590195"/>
    <w:rsid w:val="00592D7C"/>
    <w:rsid w:val="005A1D73"/>
    <w:rsid w:val="005D2CF4"/>
    <w:rsid w:val="005E76F5"/>
    <w:rsid w:val="005F17E1"/>
    <w:rsid w:val="005F19BC"/>
    <w:rsid w:val="005F4128"/>
    <w:rsid w:val="005F5537"/>
    <w:rsid w:val="005F60DA"/>
    <w:rsid w:val="00604342"/>
    <w:rsid w:val="00616F08"/>
    <w:rsid w:val="00621DC3"/>
    <w:rsid w:val="00621EDD"/>
    <w:rsid w:val="006236B1"/>
    <w:rsid w:val="00636A61"/>
    <w:rsid w:val="0064008B"/>
    <w:rsid w:val="006437E7"/>
    <w:rsid w:val="00644DA4"/>
    <w:rsid w:val="00650DAC"/>
    <w:rsid w:val="00662A04"/>
    <w:rsid w:val="00672122"/>
    <w:rsid w:val="006742FB"/>
    <w:rsid w:val="00675972"/>
    <w:rsid w:val="00676842"/>
    <w:rsid w:val="00686305"/>
    <w:rsid w:val="006874CC"/>
    <w:rsid w:val="006965EC"/>
    <w:rsid w:val="00696750"/>
    <w:rsid w:val="006A0397"/>
    <w:rsid w:val="006A6E18"/>
    <w:rsid w:val="006A7127"/>
    <w:rsid w:val="006B1CC4"/>
    <w:rsid w:val="006C2740"/>
    <w:rsid w:val="006E0973"/>
    <w:rsid w:val="006E09DA"/>
    <w:rsid w:val="006E1F4F"/>
    <w:rsid w:val="006E7E94"/>
    <w:rsid w:val="006F5C49"/>
    <w:rsid w:val="006F7119"/>
    <w:rsid w:val="006F7E1F"/>
    <w:rsid w:val="0070160F"/>
    <w:rsid w:val="00702ACB"/>
    <w:rsid w:val="00703F98"/>
    <w:rsid w:val="007111DC"/>
    <w:rsid w:val="00713416"/>
    <w:rsid w:val="00722459"/>
    <w:rsid w:val="00726155"/>
    <w:rsid w:val="00737CAC"/>
    <w:rsid w:val="00741E40"/>
    <w:rsid w:val="007442F1"/>
    <w:rsid w:val="00746A03"/>
    <w:rsid w:val="00774A2B"/>
    <w:rsid w:val="00786DAC"/>
    <w:rsid w:val="007A0C10"/>
    <w:rsid w:val="007A6CE0"/>
    <w:rsid w:val="007B02C6"/>
    <w:rsid w:val="007B12B6"/>
    <w:rsid w:val="007B5BFB"/>
    <w:rsid w:val="007B65B0"/>
    <w:rsid w:val="007C4129"/>
    <w:rsid w:val="007C5288"/>
    <w:rsid w:val="007C57E2"/>
    <w:rsid w:val="007C6BED"/>
    <w:rsid w:val="007D0F6A"/>
    <w:rsid w:val="007D6635"/>
    <w:rsid w:val="007E4E23"/>
    <w:rsid w:val="007E6EE4"/>
    <w:rsid w:val="007F49A7"/>
    <w:rsid w:val="007F4C2F"/>
    <w:rsid w:val="00801AC5"/>
    <w:rsid w:val="008024C5"/>
    <w:rsid w:val="00804D3C"/>
    <w:rsid w:val="0080534D"/>
    <w:rsid w:val="0080745C"/>
    <w:rsid w:val="00815EB3"/>
    <w:rsid w:val="00822B5F"/>
    <w:rsid w:val="0084045F"/>
    <w:rsid w:val="00845053"/>
    <w:rsid w:val="0084598F"/>
    <w:rsid w:val="00853C03"/>
    <w:rsid w:val="00854ADA"/>
    <w:rsid w:val="00894C4F"/>
    <w:rsid w:val="008A346D"/>
    <w:rsid w:val="008A5F0E"/>
    <w:rsid w:val="008B6D76"/>
    <w:rsid w:val="008C0794"/>
    <w:rsid w:val="008C2BED"/>
    <w:rsid w:val="008D0169"/>
    <w:rsid w:val="008D33EF"/>
    <w:rsid w:val="008D4A08"/>
    <w:rsid w:val="008E0422"/>
    <w:rsid w:val="008E3342"/>
    <w:rsid w:val="009164C8"/>
    <w:rsid w:val="00917EAD"/>
    <w:rsid w:val="00924B2A"/>
    <w:rsid w:val="00926123"/>
    <w:rsid w:val="00942D59"/>
    <w:rsid w:val="00943F34"/>
    <w:rsid w:val="00945BED"/>
    <w:rsid w:val="00945F79"/>
    <w:rsid w:val="00960C4E"/>
    <w:rsid w:val="009644D4"/>
    <w:rsid w:val="009667F9"/>
    <w:rsid w:val="00992877"/>
    <w:rsid w:val="00995601"/>
    <w:rsid w:val="009A4A2B"/>
    <w:rsid w:val="009A6329"/>
    <w:rsid w:val="009B04E6"/>
    <w:rsid w:val="009B2A3E"/>
    <w:rsid w:val="009C5DD9"/>
    <w:rsid w:val="009C62B9"/>
    <w:rsid w:val="009C698D"/>
    <w:rsid w:val="009E60EA"/>
    <w:rsid w:val="009E6EEE"/>
    <w:rsid w:val="00A00BAD"/>
    <w:rsid w:val="00A0136D"/>
    <w:rsid w:val="00A02446"/>
    <w:rsid w:val="00A04943"/>
    <w:rsid w:val="00A063F8"/>
    <w:rsid w:val="00A10B8F"/>
    <w:rsid w:val="00A25AF4"/>
    <w:rsid w:val="00A36E0D"/>
    <w:rsid w:val="00A401C7"/>
    <w:rsid w:val="00A426B8"/>
    <w:rsid w:val="00A45255"/>
    <w:rsid w:val="00A52C5C"/>
    <w:rsid w:val="00A52E6C"/>
    <w:rsid w:val="00A557FD"/>
    <w:rsid w:val="00A70EA8"/>
    <w:rsid w:val="00A73975"/>
    <w:rsid w:val="00A8063A"/>
    <w:rsid w:val="00A82011"/>
    <w:rsid w:val="00A86597"/>
    <w:rsid w:val="00A8784C"/>
    <w:rsid w:val="00A9657D"/>
    <w:rsid w:val="00AA4A89"/>
    <w:rsid w:val="00AA7E93"/>
    <w:rsid w:val="00AF2D45"/>
    <w:rsid w:val="00AF3334"/>
    <w:rsid w:val="00B0693C"/>
    <w:rsid w:val="00B07FC9"/>
    <w:rsid w:val="00B1533C"/>
    <w:rsid w:val="00B15A2E"/>
    <w:rsid w:val="00B24DA5"/>
    <w:rsid w:val="00B26C89"/>
    <w:rsid w:val="00B34FF8"/>
    <w:rsid w:val="00B37BF8"/>
    <w:rsid w:val="00B412F6"/>
    <w:rsid w:val="00B4160F"/>
    <w:rsid w:val="00B502A6"/>
    <w:rsid w:val="00B61E47"/>
    <w:rsid w:val="00B702E4"/>
    <w:rsid w:val="00B76C2F"/>
    <w:rsid w:val="00B80A5D"/>
    <w:rsid w:val="00BA09B4"/>
    <w:rsid w:val="00BA3C65"/>
    <w:rsid w:val="00BA56D8"/>
    <w:rsid w:val="00BA57AE"/>
    <w:rsid w:val="00BA7766"/>
    <w:rsid w:val="00BD2B84"/>
    <w:rsid w:val="00BD634C"/>
    <w:rsid w:val="00BE287E"/>
    <w:rsid w:val="00BF585F"/>
    <w:rsid w:val="00C14819"/>
    <w:rsid w:val="00C16FDE"/>
    <w:rsid w:val="00C219EE"/>
    <w:rsid w:val="00C23534"/>
    <w:rsid w:val="00C30ED4"/>
    <w:rsid w:val="00C36873"/>
    <w:rsid w:val="00C42651"/>
    <w:rsid w:val="00C513DC"/>
    <w:rsid w:val="00C56544"/>
    <w:rsid w:val="00C56B3F"/>
    <w:rsid w:val="00C8497D"/>
    <w:rsid w:val="00C8708E"/>
    <w:rsid w:val="00C92DA0"/>
    <w:rsid w:val="00CA7F99"/>
    <w:rsid w:val="00CB0760"/>
    <w:rsid w:val="00CB1EAB"/>
    <w:rsid w:val="00CB380D"/>
    <w:rsid w:val="00CC2D99"/>
    <w:rsid w:val="00CC424A"/>
    <w:rsid w:val="00CD2B68"/>
    <w:rsid w:val="00CD6719"/>
    <w:rsid w:val="00CE0DA4"/>
    <w:rsid w:val="00CE1940"/>
    <w:rsid w:val="00CF14EF"/>
    <w:rsid w:val="00CF4711"/>
    <w:rsid w:val="00D015D3"/>
    <w:rsid w:val="00D046BF"/>
    <w:rsid w:val="00D05BDD"/>
    <w:rsid w:val="00D26D27"/>
    <w:rsid w:val="00D477D2"/>
    <w:rsid w:val="00D52C95"/>
    <w:rsid w:val="00D5595C"/>
    <w:rsid w:val="00D62CE2"/>
    <w:rsid w:val="00D62FDF"/>
    <w:rsid w:val="00D63441"/>
    <w:rsid w:val="00D6357C"/>
    <w:rsid w:val="00D638ED"/>
    <w:rsid w:val="00D771DB"/>
    <w:rsid w:val="00D853F1"/>
    <w:rsid w:val="00D87657"/>
    <w:rsid w:val="00D91DAC"/>
    <w:rsid w:val="00DA0B00"/>
    <w:rsid w:val="00DB2ABB"/>
    <w:rsid w:val="00DB611D"/>
    <w:rsid w:val="00DC1626"/>
    <w:rsid w:val="00DC34F7"/>
    <w:rsid w:val="00DC47E8"/>
    <w:rsid w:val="00DC5075"/>
    <w:rsid w:val="00DD0535"/>
    <w:rsid w:val="00DD56E4"/>
    <w:rsid w:val="00DF5E29"/>
    <w:rsid w:val="00E140FD"/>
    <w:rsid w:val="00E177C7"/>
    <w:rsid w:val="00E21093"/>
    <w:rsid w:val="00E3536E"/>
    <w:rsid w:val="00E40013"/>
    <w:rsid w:val="00E45D67"/>
    <w:rsid w:val="00E5375D"/>
    <w:rsid w:val="00E558A8"/>
    <w:rsid w:val="00E73024"/>
    <w:rsid w:val="00E75CC4"/>
    <w:rsid w:val="00E80504"/>
    <w:rsid w:val="00E81409"/>
    <w:rsid w:val="00E93278"/>
    <w:rsid w:val="00E9526F"/>
    <w:rsid w:val="00EA0538"/>
    <w:rsid w:val="00EA20B1"/>
    <w:rsid w:val="00EA23C7"/>
    <w:rsid w:val="00EA4337"/>
    <w:rsid w:val="00EA74B5"/>
    <w:rsid w:val="00EB3799"/>
    <w:rsid w:val="00EB4699"/>
    <w:rsid w:val="00EB6759"/>
    <w:rsid w:val="00EC1593"/>
    <w:rsid w:val="00EC2A2D"/>
    <w:rsid w:val="00EE0E76"/>
    <w:rsid w:val="00EE2F72"/>
    <w:rsid w:val="00F07E37"/>
    <w:rsid w:val="00F07EE3"/>
    <w:rsid w:val="00F121BB"/>
    <w:rsid w:val="00F12F81"/>
    <w:rsid w:val="00F418EB"/>
    <w:rsid w:val="00F43567"/>
    <w:rsid w:val="00F529D8"/>
    <w:rsid w:val="00F71FFD"/>
    <w:rsid w:val="00F809CF"/>
    <w:rsid w:val="00F81875"/>
    <w:rsid w:val="00F93F92"/>
    <w:rsid w:val="00F946EE"/>
    <w:rsid w:val="00FA1F7D"/>
    <w:rsid w:val="00FA2549"/>
    <w:rsid w:val="00FA4942"/>
    <w:rsid w:val="00FA6A38"/>
    <w:rsid w:val="00FB4E6B"/>
    <w:rsid w:val="00FC2C4A"/>
    <w:rsid w:val="00FC57CC"/>
    <w:rsid w:val="00FC6197"/>
    <w:rsid w:val="00FD0500"/>
    <w:rsid w:val="00FE22FD"/>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F60DA"/>
    <w:pPr>
      <w:spacing w:after="200" w:line="276" w:lineRule="auto"/>
    </w:pPr>
    <w:rPr>
      <w:rFonts w:asciiTheme="minorHAnsi" w:eastAsiaTheme="minorHAnsi" w:hAnsiTheme="minorHAnsi" w:cstheme="minorBidi"/>
      <w:sz w:val="22"/>
      <w:szCs w:val="22"/>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A426B8"/>
    <w:rPr>
      <w:rFonts w:ascii="Tahoma" w:hAnsi="Tahoma" w:cs="Tahoma"/>
      <w:sz w:val="16"/>
      <w:szCs w:val="16"/>
    </w:rPr>
  </w:style>
  <w:style w:type="character" w:customStyle="1" w:styleId="SelitetekstiChar">
    <w:name w:val="Seliteteksti Char"/>
    <w:basedOn w:val="Kappaleenoletusfontti"/>
    <w:link w:val="Seliteteksti"/>
    <w:rsid w:val="00A426B8"/>
    <w:rPr>
      <w:rFonts w:ascii="Tahoma" w:hAnsi="Tahoma" w:cs="Tahoma"/>
      <w:sz w:val="16"/>
      <w:szCs w:val="16"/>
      <w:lang w:eastAsia="en-US"/>
    </w:rPr>
  </w:style>
  <w:style w:type="paragraph" w:styleId="Luettelokappale">
    <w:name w:val="List Paragraph"/>
    <w:basedOn w:val="Normaali"/>
    <w:uiPriority w:val="34"/>
    <w:qFormat/>
    <w:rsid w:val="005F60DA"/>
    <w:pPr>
      <w:ind w:left="720"/>
      <w:contextualSpacing/>
    </w:pPr>
  </w:style>
  <w:style w:type="paragraph" w:styleId="Alaviitteenteksti">
    <w:name w:val="footnote text"/>
    <w:basedOn w:val="Normaali"/>
    <w:link w:val="AlaviitteentekstiChar"/>
    <w:uiPriority w:val="99"/>
    <w:unhideWhenUsed/>
    <w:rsid w:val="005F60DA"/>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5F60DA"/>
    <w:rPr>
      <w:rFonts w:asciiTheme="minorHAnsi" w:eastAsiaTheme="minorHAnsi" w:hAnsiTheme="minorHAnsi" w:cstheme="minorBidi"/>
      <w:lang w:eastAsia="en-US"/>
    </w:rPr>
  </w:style>
  <w:style w:type="character" w:styleId="Alaviitteenviite">
    <w:name w:val="footnote reference"/>
    <w:basedOn w:val="Kappaleenoletusfontti"/>
    <w:uiPriority w:val="99"/>
    <w:unhideWhenUsed/>
    <w:rsid w:val="005F60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F60DA"/>
    <w:pPr>
      <w:spacing w:after="200" w:line="276" w:lineRule="auto"/>
    </w:pPr>
    <w:rPr>
      <w:rFonts w:asciiTheme="minorHAnsi" w:eastAsiaTheme="minorHAnsi" w:hAnsiTheme="minorHAnsi" w:cstheme="minorBidi"/>
      <w:sz w:val="22"/>
      <w:szCs w:val="22"/>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A426B8"/>
    <w:rPr>
      <w:rFonts w:ascii="Tahoma" w:hAnsi="Tahoma" w:cs="Tahoma"/>
      <w:sz w:val="16"/>
      <w:szCs w:val="16"/>
    </w:rPr>
  </w:style>
  <w:style w:type="character" w:customStyle="1" w:styleId="SelitetekstiChar">
    <w:name w:val="Seliteteksti Char"/>
    <w:basedOn w:val="Kappaleenoletusfontti"/>
    <w:link w:val="Seliteteksti"/>
    <w:rsid w:val="00A426B8"/>
    <w:rPr>
      <w:rFonts w:ascii="Tahoma" w:hAnsi="Tahoma" w:cs="Tahoma"/>
      <w:sz w:val="16"/>
      <w:szCs w:val="16"/>
      <w:lang w:eastAsia="en-US"/>
    </w:rPr>
  </w:style>
  <w:style w:type="paragraph" w:styleId="Luettelokappale">
    <w:name w:val="List Paragraph"/>
    <w:basedOn w:val="Normaali"/>
    <w:uiPriority w:val="34"/>
    <w:qFormat/>
    <w:rsid w:val="005F60DA"/>
    <w:pPr>
      <w:ind w:left="720"/>
      <w:contextualSpacing/>
    </w:pPr>
  </w:style>
  <w:style w:type="paragraph" w:styleId="Alaviitteenteksti">
    <w:name w:val="footnote text"/>
    <w:basedOn w:val="Normaali"/>
    <w:link w:val="AlaviitteentekstiChar"/>
    <w:uiPriority w:val="99"/>
    <w:unhideWhenUsed/>
    <w:rsid w:val="005F60DA"/>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5F60DA"/>
    <w:rPr>
      <w:rFonts w:asciiTheme="minorHAnsi" w:eastAsiaTheme="minorHAnsi" w:hAnsiTheme="minorHAnsi" w:cstheme="minorBidi"/>
      <w:lang w:eastAsia="en-US"/>
    </w:rPr>
  </w:style>
  <w:style w:type="character" w:styleId="Alaviitteenviite">
    <w:name w:val="footnote reference"/>
    <w:basedOn w:val="Kappaleenoletusfontti"/>
    <w:uiPriority w:val="99"/>
    <w:unhideWhenUsed/>
    <w:rsid w:val="005F6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na01\Data\OM92xx\Pohjat\Asiakirjapohjat\OM_asiakirjapohjat_2015.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4B53-5E04-4866-A5B0-8ED9C62C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OM_asiakirjapohjat_2015.dot</Template>
  <TotalTime>0</TotalTime>
  <Pages>9</Pages>
  <Words>2585</Words>
  <Characters>21610</Characters>
  <Application>Microsoft Office Word</Application>
  <DocSecurity>4</DocSecurity>
  <Lines>180</Lines>
  <Paragraphs>48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24147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Aarre-Ahtio Anna</dc:creator>
  <cp:lastModifiedBy>Ijäs Päivi</cp:lastModifiedBy>
  <cp:revision>2</cp:revision>
  <cp:lastPrinted>2016-01-26T07:42:00Z</cp:lastPrinted>
  <dcterms:created xsi:type="dcterms:W3CDTF">2016-01-26T09:18:00Z</dcterms:created>
  <dcterms:modified xsi:type="dcterms:W3CDTF">2016-01-26T09:18:00Z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KIRJE</vt:lpwstr>
  </property>
  <property fmtid="{D5CDD505-2E9C-101B-9397-08002B2CF9AE}" pid="7" name="DC.Language">
    <vt:lpwstr>fi</vt:lpwstr>
  </property>
  <property fmtid="{D5CDD505-2E9C-101B-9397-08002B2CF9AE}" pid="8" name="DC.Date.Created">
    <vt:lpwstr>20160113</vt:lpwstr>
  </property>
  <property fmtid="{D5CDD505-2E9C-101B-9397-08002B2CF9AE}" pid="9" name="DC.Identifier">
    <vt:lpwstr>om //7</vt:lpwstr>
  </property>
  <property fmtid="{D5CDD505-2E9C-101B-9397-08002B2CF9AE}" pid="10" name="DC.Identifier.Type">
    <vt:lpwstr/>
  </property>
  <property fmtid="{D5CDD505-2E9C-101B-9397-08002B2CF9AE}" pid="11" name="DC.Creator.PersonalName">
    <vt:lpwstr>  </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vt:lpwstr>
  </property>
  <property fmtid="{D5CDD505-2E9C-101B-9397-08002B2CF9AE}" pid="21" name="DC.Identifier.FilePath">
    <vt:lpwstr/>
  </property>
  <property fmtid="{D5CDD505-2E9C-101B-9397-08002B2CF9AE}" pid="22" name="DC.Title">
    <vt:lpwstr>  </vt:lpwstr>
  </property>
</Properties>
</file>