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45" w:rsidRPr="00C502E5" w:rsidRDefault="001F7D45">
      <w:pPr>
        <w:tabs>
          <w:tab w:val="left" w:pos="2608"/>
          <w:tab w:val="left" w:pos="5216"/>
        </w:tabs>
        <w:outlineLvl w:val="0"/>
        <w:rPr>
          <w:rFonts w:cs="Arial"/>
          <w:sz w:val="22"/>
          <w:szCs w:val="22"/>
        </w:rPr>
      </w:pPr>
    </w:p>
    <w:p w:rsidR="001F7D45" w:rsidRPr="00C502E5" w:rsidRDefault="001F7D45">
      <w:pPr>
        <w:tabs>
          <w:tab w:val="left" w:pos="2608"/>
          <w:tab w:val="left" w:pos="5216"/>
        </w:tabs>
        <w:outlineLvl w:val="0"/>
        <w:rPr>
          <w:rFonts w:cs="Arial"/>
          <w:sz w:val="22"/>
          <w:szCs w:val="22"/>
        </w:rPr>
      </w:pPr>
    </w:p>
    <w:p w:rsidR="001F7D45" w:rsidRPr="00161A1C" w:rsidRDefault="00C502E5">
      <w:pPr>
        <w:tabs>
          <w:tab w:val="left" w:pos="2608"/>
          <w:tab w:val="left" w:pos="5216"/>
        </w:tabs>
        <w:outlineLvl w:val="0"/>
        <w:rPr>
          <w:rFonts w:cs="Arial"/>
          <w:b/>
          <w:sz w:val="22"/>
          <w:szCs w:val="22"/>
        </w:rPr>
      </w:pPr>
      <w:r w:rsidRPr="00161A1C">
        <w:rPr>
          <w:rFonts w:cs="Arial"/>
          <w:b/>
          <w:sz w:val="22"/>
          <w:szCs w:val="22"/>
        </w:rPr>
        <w:t xml:space="preserve">Opetus ja kulttuuriministeriö </w:t>
      </w:r>
    </w:p>
    <w:p w:rsidR="001F7D45" w:rsidRPr="00C502E5" w:rsidRDefault="001F7D45">
      <w:pPr>
        <w:tabs>
          <w:tab w:val="left" w:pos="2608"/>
          <w:tab w:val="left" w:pos="5216"/>
        </w:tabs>
        <w:outlineLvl w:val="0"/>
        <w:rPr>
          <w:rFonts w:cs="Arial"/>
          <w:sz w:val="22"/>
          <w:szCs w:val="22"/>
        </w:rPr>
      </w:pPr>
    </w:p>
    <w:p w:rsidR="001F7D45" w:rsidRPr="00C502E5" w:rsidRDefault="001F7D45">
      <w:pPr>
        <w:tabs>
          <w:tab w:val="left" w:pos="2608"/>
          <w:tab w:val="left" w:pos="5216"/>
        </w:tabs>
        <w:outlineLvl w:val="0"/>
        <w:rPr>
          <w:rFonts w:cs="Arial"/>
          <w:sz w:val="22"/>
          <w:szCs w:val="22"/>
        </w:rPr>
      </w:pPr>
    </w:p>
    <w:p w:rsidR="001F7D45" w:rsidRPr="00C502E5" w:rsidRDefault="001F7D45">
      <w:pPr>
        <w:tabs>
          <w:tab w:val="left" w:pos="2608"/>
          <w:tab w:val="left" w:pos="5216"/>
        </w:tabs>
        <w:outlineLvl w:val="0"/>
        <w:rPr>
          <w:rFonts w:cs="Arial"/>
          <w:sz w:val="22"/>
          <w:szCs w:val="22"/>
        </w:rPr>
      </w:pPr>
    </w:p>
    <w:p w:rsidR="001F7D45" w:rsidRPr="00C502E5" w:rsidRDefault="001F7D45">
      <w:pPr>
        <w:tabs>
          <w:tab w:val="left" w:pos="2608"/>
          <w:tab w:val="left" w:pos="5216"/>
        </w:tabs>
        <w:outlineLvl w:val="0"/>
        <w:rPr>
          <w:rFonts w:cs="Arial"/>
          <w:sz w:val="22"/>
          <w:szCs w:val="22"/>
        </w:rPr>
      </w:pPr>
    </w:p>
    <w:p w:rsidR="001F7D45" w:rsidRPr="00C502E5" w:rsidRDefault="001F7D45">
      <w:pPr>
        <w:tabs>
          <w:tab w:val="left" w:pos="2608"/>
          <w:tab w:val="left" w:pos="5216"/>
        </w:tabs>
        <w:outlineLvl w:val="0"/>
        <w:rPr>
          <w:rFonts w:cs="Arial"/>
          <w:sz w:val="22"/>
          <w:szCs w:val="22"/>
        </w:rPr>
      </w:pPr>
    </w:p>
    <w:p w:rsidR="001F7D45" w:rsidRPr="00C502E5" w:rsidRDefault="001F7D45">
      <w:pPr>
        <w:tabs>
          <w:tab w:val="left" w:pos="2608"/>
          <w:tab w:val="left" w:pos="5216"/>
        </w:tabs>
        <w:outlineLvl w:val="0"/>
        <w:rPr>
          <w:rFonts w:cs="Arial"/>
          <w:sz w:val="22"/>
          <w:szCs w:val="22"/>
        </w:rPr>
      </w:pPr>
    </w:p>
    <w:p w:rsidR="001F7D45" w:rsidRPr="00C502E5" w:rsidRDefault="001F7D45">
      <w:pPr>
        <w:tabs>
          <w:tab w:val="left" w:pos="2608"/>
          <w:tab w:val="left" w:pos="5216"/>
        </w:tabs>
        <w:outlineLvl w:val="0"/>
        <w:rPr>
          <w:rFonts w:cs="Arial"/>
          <w:sz w:val="22"/>
          <w:szCs w:val="22"/>
        </w:rPr>
      </w:pPr>
    </w:p>
    <w:p w:rsidR="001F7D45" w:rsidRPr="00161A1C" w:rsidRDefault="0041235C">
      <w:pPr>
        <w:tabs>
          <w:tab w:val="left" w:pos="2608"/>
          <w:tab w:val="left" w:pos="5216"/>
        </w:tabs>
        <w:outlineLvl w:val="0"/>
        <w:rPr>
          <w:rFonts w:cs="Arial"/>
          <w:b/>
          <w:sz w:val="22"/>
          <w:szCs w:val="22"/>
        </w:rPr>
      </w:pPr>
      <w:r w:rsidRPr="00161A1C">
        <w:rPr>
          <w:rFonts w:cs="Arial"/>
          <w:b/>
          <w:sz w:val="22"/>
          <w:szCs w:val="22"/>
          <w:lang w:eastAsia="fi-FI"/>
        </w:rPr>
        <w:t>OKM/35/010/2018</w:t>
      </w:r>
    </w:p>
    <w:p w:rsidR="00161A1C" w:rsidRDefault="00161A1C" w:rsidP="00161A1C">
      <w:pPr>
        <w:autoSpaceDE w:val="0"/>
        <w:autoSpaceDN w:val="0"/>
        <w:adjustRightInd w:val="0"/>
        <w:rPr>
          <w:rFonts w:cs="Arial"/>
          <w:sz w:val="22"/>
          <w:szCs w:val="22"/>
        </w:rPr>
      </w:pPr>
    </w:p>
    <w:p w:rsidR="001F7D45" w:rsidRDefault="00C502E5" w:rsidP="00161A1C">
      <w:pPr>
        <w:autoSpaceDE w:val="0"/>
        <w:autoSpaceDN w:val="0"/>
        <w:adjustRightInd w:val="0"/>
        <w:rPr>
          <w:rFonts w:cs="Arial"/>
          <w:b/>
          <w:sz w:val="22"/>
          <w:szCs w:val="22"/>
        </w:rPr>
      </w:pPr>
      <w:r w:rsidRPr="00C502E5">
        <w:rPr>
          <w:rFonts w:cs="Arial"/>
          <w:b/>
          <w:sz w:val="22"/>
          <w:szCs w:val="22"/>
        </w:rPr>
        <w:t>Tampereen ammattikorkeakoulun lausunto</w:t>
      </w:r>
      <w:r w:rsidR="00161A1C">
        <w:rPr>
          <w:rFonts w:cs="Arial"/>
          <w:b/>
          <w:sz w:val="22"/>
          <w:szCs w:val="22"/>
        </w:rPr>
        <w:t xml:space="preserve"> </w:t>
      </w:r>
      <w:r w:rsidR="00161A1C">
        <w:rPr>
          <w:rFonts w:ascii="ArialBlack,Bold" w:hAnsi="ArialBlack,Bold" w:cs="ArialBlack,Bold"/>
          <w:b/>
          <w:bCs/>
          <w:sz w:val="22"/>
          <w:szCs w:val="22"/>
          <w:lang w:eastAsia="fi-FI"/>
        </w:rPr>
        <w:t xml:space="preserve">OKM </w:t>
      </w:r>
      <w:r w:rsidR="00161A1C" w:rsidRPr="00161A1C">
        <w:rPr>
          <w:rFonts w:ascii="ArialBlack,Bold" w:hAnsi="ArialBlack,Bold" w:cs="ArialBlack,Bold"/>
          <w:b/>
          <w:bCs/>
          <w:sz w:val="22"/>
          <w:szCs w:val="22"/>
          <w:lang w:eastAsia="fi-FI"/>
        </w:rPr>
        <w:t>luonnoksesta hallituksen esitykseksi eduskunnalle</w:t>
      </w:r>
      <w:r w:rsidR="00161A1C">
        <w:rPr>
          <w:rFonts w:ascii="ArialBlack,Bold" w:hAnsi="ArialBlack,Bold" w:cs="ArialBlack,Bold"/>
          <w:b/>
          <w:bCs/>
          <w:sz w:val="22"/>
          <w:szCs w:val="22"/>
          <w:lang w:eastAsia="fi-FI"/>
        </w:rPr>
        <w:t xml:space="preserve"> </w:t>
      </w:r>
      <w:r w:rsidR="00161A1C" w:rsidRPr="00161A1C">
        <w:rPr>
          <w:rFonts w:ascii="ArialBlack,Bold" w:hAnsi="ArialBlack,Bold" w:cs="ArialBlack,Bold"/>
          <w:b/>
          <w:bCs/>
          <w:sz w:val="22"/>
          <w:szCs w:val="22"/>
          <w:lang w:eastAsia="fi-FI"/>
        </w:rPr>
        <w:t>laeiksi yliopistolain ja ammattikorkeakoululain muuttamisesta</w:t>
      </w:r>
    </w:p>
    <w:p w:rsidR="00161A1C" w:rsidRPr="00161A1C" w:rsidRDefault="00161A1C" w:rsidP="00161A1C">
      <w:pPr>
        <w:autoSpaceDE w:val="0"/>
        <w:autoSpaceDN w:val="0"/>
        <w:adjustRightInd w:val="0"/>
        <w:rPr>
          <w:rFonts w:ascii="ArialBlack,Bold" w:hAnsi="ArialBlack,Bold" w:cs="ArialBlack,Bold"/>
          <w:b/>
          <w:bCs/>
          <w:sz w:val="22"/>
          <w:szCs w:val="22"/>
          <w:lang w:eastAsia="fi-FI"/>
        </w:rPr>
      </w:pPr>
    </w:p>
    <w:p w:rsidR="00161A1C" w:rsidRPr="00C502E5" w:rsidRDefault="00161A1C" w:rsidP="001F7D45">
      <w:pPr>
        <w:rPr>
          <w:rFonts w:cs="Arial"/>
          <w:b/>
          <w:sz w:val="22"/>
          <w:szCs w:val="22"/>
        </w:rPr>
      </w:pPr>
    </w:p>
    <w:p w:rsidR="001F7D45" w:rsidRPr="00C502E5" w:rsidRDefault="001F7D45">
      <w:pPr>
        <w:tabs>
          <w:tab w:val="left" w:pos="2608"/>
          <w:tab w:val="left" w:pos="5216"/>
        </w:tabs>
        <w:outlineLvl w:val="0"/>
        <w:rPr>
          <w:rFonts w:cs="Arial"/>
          <w:sz w:val="22"/>
          <w:szCs w:val="22"/>
        </w:rPr>
      </w:pPr>
    </w:p>
    <w:p w:rsidR="00407ADB" w:rsidRPr="00C502E5" w:rsidRDefault="001F7D45" w:rsidP="00407ADB">
      <w:pPr>
        <w:rPr>
          <w:rFonts w:cs="Arial"/>
          <w:b/>
          <w:bCs/>
          <w:sz w:val="22"/>
          <w:szCs w:val="22"/>
        </w:rPr>
      </w:pPr>
      <w:r w:rsidRPr="00C502E5">
        <w:rPr>
          <w:rFonts w:cs="Arial"/>
          <w:sz w:val="22"/>
          <w:szCs w:val="22"/>
        </w:rPr>
        <w:tab/>
      </w:r>
      <w:r w:rsidR="00407ADB" w:rsidRPr="00C502E5">
        <w:rPr>
          <w:rFonts w:cs="Arial"/>
          <w:b/>
          <w:bCs/>
          <w:sz w:val="22"/>
          <w:szCs w:val="22"/>
        </w:rPr>
        <w:t>Korkeakoulujen ohjaus, rahoitus ja talous</w:t>
      </w:r>
    </w:p>
    <w:p w:rsidR="00407ADB" w:rsidRDefault="00407ADB" w:rsidP="00407ADB">
      <w:pPr>
        <w:rPr>
          <w:rFonts w:cs="Arial"/>
          <w:b/>
          <w:bCs/>
          <w:sz w:val="22"/>
          <w:szCs w:val="22"/>
        </w:rPr>
      </w:pPr>
    </w:p>
    <w:p w:rsidR="00BC0100" w:rsidRPr="00C502E5" w:rsidRDefault="00BC0100" w:rsidP="00407ADB">
      <w:pPr>
        <w:rPr>
          <w:rFonts w:cs="Arial"/>
          <w:b/>
          <w:bCs/>
          <w:sz w:val="22"/>
          <w:szCs w:val="22"/>
        </w:rPr>
      </w:pPr>
    </w:p>
    <w:p w:rsidR="00407ADB" w:rsidRPr="00161A1C" w:rsidRDefault="00407ADB" w:rsidP="00407ADB">
      <w:pPr>
        <w:ind w:left="1304"/>
        <w:rPr>
          <w:rFonts w:cs="Arial"/>
          <w:sz w:val="22"/>
          <w:szCs w:val="22"/>
        </w:rPr>
      </w:pPr>
      <w:r w:rsidRPr="00C502E5">
        <w:rPr>
          <w:rFonts w:cs="Arial"/>
          <w:sz w:val="22"/>
          <w:szCs w:val="22"/>
        </w:rPr>
        <w:t xml:space="preserve">Korkeakoulutuksen ja tutkimuksen 2030 -vision tavoitteiden saavuttaminen edellyttää korkeakoulujen sitoutumista uudistuksiin, opetus- ja kulttuuriministeriön ohjausta ja ennen kaikkea korkeakoulujen rahoitusmallien ja niitä </w:t>
      </w:r>
      <w:r w:rsidRPr="00161A1C">
        <w:rPr>
          <w:rFonts w:cs="Arial"/>
          <w:sz w:val="22"/>
          <w:szCs w:val="22"/>
        </w:rPr>
        <w:t xml:space="preserve">säätelevien asetusten uudistamista. Tavoitteiden saavuttamisen kannalta on aivan keskeistä </w:t>
      </w:r>
      <w:r w:rsidR="00D12C98" w:rsidRPr="00161A1C">
        <w:rPr>
          <w:rFonts w:cs="Arial"/>
          <w:sz w:val="22"/>
          <w:szCs w:val="22"/>
        </w:rPr>
        <w:t xml:space="preserve">huolehtia </w:t>
      </w:r>
      <w:r w:rsidRPr="00161A1C">
        <w:rPr>
          <w:rFonts w:cs="Arial"/>
          <w:sz w:val="22"/>
          <w:szCs w:val="22"/>
        </w:rPr>
        <w:t>korkeakoulujen rahoituksen taso</w:t>
      </w:r>
      <w:r w:rsidR="00D12C98" w:rsidRPr="00161A1C">
        <w:rPr>
          <w:rFonts w:cs="Arial"/>
          <w:sz w:val="22"/>
          <w:szCs w:val="22"/>
        </w:rPr>
        <w:t>sta</w:t>
      </w:r>
      <w:r w:rsidRPr="00161A1C">
        <w:rPr>
          <w:rFonts w:cs="Arial"/>
          <w:sz w:val="22"/>
          <w:szCs w:val="22"/>
        </w:rPr>
        <w:t xml:space="preserve"> tulevaisuudessa.</w:t>
      </w:r>
    </w:p>
    <w:p w:rsidR="00407ADB" w:rsidRPr="00161A1C" w:rsidRDefault="00407ADB" w:rsidP="00407ADB">
      <w:pPr>
        <w:ind w:left="1304"/>
        <w:rPr>
          <w:rFonts w:cs="Arial"/>
          <w:sz w:val="22"/>
          <w:szCs w:val="22"/>
        </w:rPr>
      </w:pPr>
    </w:p>
    <w:p w:rsidR="00407ADB" w:rsidRPr="00C502E5" w:rsidRDefault="00407ADB" w:rsidP="00407ADB">
      <w:pPr>
        <w:ind w:left="1304"/>
        <w:rPr>
          <w:rFonts w:cs="Arial"/>
          <w:sz w:val="22"/>
          <w:szCs w:val="22"/>
        </w:rPr>
      </w:pPr>
      <w:r w:rsidRPr="00C502E5">
        <w:rPr>
          <w:rFonts w:cs="Arial"/>
          <w:sz w:val="22"/>
          <w:szCs w:val="22"/>
        </w:rPr>
        <w:t>Nyt lausunnolla olevan yliopisto- ja ammattikorkeakoululakien muutosesitysten lisäksi korkeakouluvision säädöskokonaisuuteen kuuluu korkeakoulujen rahoitusasetusten uusiminen. Esitettyjen lakimuutosten kokonaisvaikutusten ja erityisesti jatkuvan oppimisen edistämistehtävän arvioiminen on vaikeaa, ennen kuin korkeakouluilla on tietoa rahoitusasetusten sisällöstä.</w:t>
      </w:r>
    </w:p>
    <w:p w:rsidR="00407ADB" w:rsidRPr="00C502E5" w:rsidRDefault="00407ADB" w:rsidP="00407ADB">
      <w:pPr>
        <w:ind w:left="1304"/>
        <w:rPr>
          <w:rFonts w:cs="Arial"/>
          <w:sz w:val="22"/>
          <w:szCs w:val="22"/>
        </w:rPr>
      </w:pPr>
    </w:p>
    <w:p w:rsidR="0029467B" w:rsidRDefault="00407ADB" w:rsidP="0029467B">
      <w:pPr>
        <w:shd w:val="clear" w:color="auto" w:fill="FFFFFF" w:themeFill="background1"/>
        <w:ind w:left="1304"/>
        <w:rPr>
          <w:rFonts w:cs="Arial"/>
          <w:sz w:val="22"/>
          <w:szCs w:val="22"/>
        </w:rPr>
      </w:pPr>
      <w:r w:rsidRPr="00C502E5">
        <w:rPr>
          <w:rFonts w:cs="Arial"/>
          <w:sz w:val="22"/>
          <w:szCs w:val="22"/>
        </w:rPr>
        <w:t xml:space="preserve">Lausunnolla olevat esitykset </w:t>
      </w:r>
      <w:r w:rsidRPr="005A2217">
        <w:rPr>
          <w:rFonts w:cs="Arial"/>
          <w:sz w:val="22"/>
          <w:szCs w:val="22"/>
        </w:rPr>
        <w:t>laajentavat korkeakoulujen tehtäviä ilman, että opetus- ja kulttuuriministeriön budjettikehys kasvaa. On vaara, että jatkuvan oppimisen voimakas laa</w:t>
      </w:r>
      <w:r w:rsidR="00D12C98" w:rsidRPr="005A2217">
        <w:rPr>
          <w:rFonts w:cs="Arial"/>
          <w:sz w:val="22"/>
          <w:szCs w:val="22"/>
        </w:rPr>
        <w:t>jeneminen heikentää ammattikorkeakoulun</w:t>
      </w:r>
      <w:r w:rsidR="00EE2084" w:rsidRPr="005A2217">
        <w:rPr>
          <w:rFonts w:cs="Arial"/>
          <w:sz w:val="22"/>
          <w:szCs w:val="22"/>
        </w:rPr>
        <w:t xml:space="preserve"> perustehtävien, tutkintokoulutuksen ja TKI-toiminnan</w:t>
      </w:r>
      <w:r w:rsidRPr="005A2217">
        <w:rPr>
          <w:rFonts w:cs="Arial"/>
          <w:sz w:val="22"/>
          <w:szCs w:val="22"/>
        </w:rPr>
        <w:t xml:space="preserve"> rahoituspohjaa</w:t>
      </w:r>
      <w:r w:rsidR="0029467B" w:rsidRPr="0029467B">
        <w:rPr>
          <w:rFonts w:cs="Arial"/>
          <w:sz w:val="22"/>
          <w:szCs w:val="22"/>
        </w:rPr>
        <w:t>. Jatkuvan oppimisen rahoittamiseksi tulisi rakentaa siirtymäkauden rahoitus, jolla turvataan korkeakouluihin jo sisään otettujen opiskelijoiden koulutus siksi aikaa, että korkeakoulut ehtivät reagoida uuteen rahoitusmalliin.</w:t>
      </w:r>
    </w:p>
    <w:p w:rsidR="0029467B" w:rsidRDefault="0029467B" w:rsidP="0029467B">
      <w:pPr>
        <w:shd w:val="clear" w:color="auto" w:fill="FFFFFF" w:themeFill="background1"/>
        <w:ind w:left="1304"/>
        <w:rPr>
          <w:rFonts w:cs="Arial"/>
          <w:sz w:val="22"/>
          <w:szCs w:val="22"/>
        </w:rPr>
      </w:pPr>
    </w:p>
    <w:p w:rsidR="00407ADB" w:rsidRPr="00C502E5" w:rsidRDefault="00407ADB" w:rsidP="0029467B">
      <w:pPr>
        <w:shd w:val="clear" w:color="auto" w:fill="FFFFFF" w:themeFill="background1"/>
        <w:ind w:left="1304"/>
        <w:rPr>
          <w:rFonts w:cs="Arial"/>
          <w:sz w:val="22"/>
          <w:szCs w:val="22"/>
        </w:rPr>
      </w:pPr>
      <w:r w:rsidRPr="00C502E5">
        <w:rPr>
          <w:rFonts w:cs="Arial"/>
          <w:sz w:val="22"/>
          <w:szCs w:val="22"/>
        </w:rPr>
        <w:t>Elinikäisen oppimisen edistämistehtävän rahoituksesta tulisikin laatia opetus- ja kulttuuriministeriön johdolla kokonaisselvitys, joka koskisi sekä korkeakouluja että ammatillista koulutusta. Jatkuvan koulutuksen rahoitukseen ovat Suomessa osallistuneet julkiset toimijat, työnantajat ja aikuiskoulutettavat itse kukin omalla panoksellaan. Kaikkien osapuolten sekä koulutuksen tarjoajien osallistuminen valmisteluun olisi tärkeää.</w:t>
      </w:r>
    </w:p>
    <w:p w:rsidR="00D12898" w:rsidRDefault="00D12898" w:rsidP="0041235C">
      <w:pPr>
        <w:ind w:left="1304"/>
        <w:rPr>
          <w:rFonts w:cs="Arial"/>
          <w:color w:val="1F4D78"/>
          <w:sz w:val="22"/>
          <w:szCs w:val="22"/>
        </w:rPr>
      </w:pPr>
    </w:p>
    <w:p w:rsidR="00D12898" w:rsidRDefault="00D12898" w:rsidP="0041235C">
      <w:pPr>
        <w:ind w:left="1304"/>
        <w:rPr>
          <w:rFonts w:cs="Arial"/>
          <w:color w:val="1F4D78"/>
          <w:sz w:val="22"/>
          <w:szCs w:val="22"/>
        </w:rPr>
      </w:pPr>
    </w:p>
    <w:p w:rsidR="00407ADB" w:rsidRDefault="00407ADB" w:rsidP="0041235C">
      <w:pPr>
        <w:ind w:left="1304"/>
        <w:rPr>
          <w:rFonts w:cs="Arial"/>
          <w:b/>
          <w:bCs/>
          <w:sz w:val="22"/>
          <w:szCs w:val="22"/>
        </w:rPr>
      </w:pPr>
      <w:r w:rsidRPr="00C502E5">
        <w:rPr>
          <w:rFonts w:cs="Arial"/>
          <w:b/>
          <w:bCs/>
          <w:sz w:val="22"/>
          <w:szCs w:val="22"/>
        </w:rPr>
        <w:t>Elinikäisen oppimisen edistämistehtävä</w:t>
      </w:r>
    </w:p>
    <w:p w:rsidR="00BC0100" w:rsidRDefault="00BC0100" w:rsidP="00407ADB">
      <w:pPr>
        <w:ind w:left="1304"/>
        <w:rPr>
          <w:rFonts w:cs="Arial"/>
          <w:b/>
          <w:bCs/>
          <w:sz w:val="22"/>
          <w:szCs w:val="22"/>
        </w:rPr>
      </w:pPr>
    </w:p>
    <w:p w:rsidR="00BC0100" w:rsidRDefault="00BC0100" w:rsidP="00407ADB">
      <w:pPr>
        <w:ind w:left="1304"/>
        <w:rPr>
          <w:rFonts w:cs="Arial"/>
          <w:b/>
          <w:bCs/>
          <w:sz w:val="22"/>
          <w:szCs w:val="22"/>
        </w:rPr>
      </w:pPr>
    </w:p>
    <w:p w:rsidR="00407ADB" w:rsidRPr="00C502E5" w:rsidRDefault="00407ADB" w:rsidP="00407ADB">
      <w:pPr>
        <w:ind w:left="1304"/>
        <w:rPr>
          <w:rFonts w:cs="Arial"/>
          <w:sz w:val="22"/>
          <w:szCs w:val="22"/>
        </w:rPr>
      </w:pPr>
      <w:r w:rsidRPr="00C502E5">
        <w:rPr>
          <w:rFonts w:cs="Arial"/>
          <w:sz w:val="22"/>
          <w:szCs w:val="22"/>
        </w:rPr>
        <w:t>Esitys korkeakoulujen tehtävien muuttamisesta korostaa ei-tutkintoon johtavaa koulutusta korkeakoulututkintojen rinnalla. Tätä tukee mahdollisuus myydä tutkinnon osia täydennyskoulutuksena.  Esitys on perusteltu, koska osaam</w:t>
      </w:r>
      <w:r w:rsidR="005A2217">
        <w:rPr>
          <w:rFonts w:cs="Arial"/>
          <w:sz w:val="22"/>
          <w:szCs w:val="22"/>
        </w:rPr>
        <w:t>isen tarpeet muuttuvat jatkuvasti työelämän muutosten myötä</w:t>
      </w:r>
      <w:r w:rsidRPr="00C502E5">
        <w:rPr>
          <w:rFonts w:cs="Arial"/>
          <w:sz w:val="22"/>
          <w:szCs w:val="22"/>
        </w:rPr>
        <w:t xml:space="preserve">. </w:t>
      </w:r>
    </w:p>
    <w:p w:rsidR="00D12C98" w:rsidRPr="00C502E5" w:rsidRDefault="00D12C98" w:rsidP="00407ADB">
      <w:pPr>
        <w:ind w:left="1304"/>
        <w:rPr>
          <w:rFonts w:cs="Arial"/>
          <w:sz w:val="22"/>
          <w:szCs w:val="22"/>
        </w:rPr>
      </w:pPr>
    </w:p>
    <w:p w:rsidR="00407ADB" w:rsidRDefault="00407ADB" w:rsidP="00EE2084">
      <w:pPr>
        <w:ind w:left="1304"/>
        <w:rPr>
          <w:rFonts w:cs="Arial"/>
          <w:sz w:val="22"/>
          <w:szCs w:val="22"/>
        </w:rPr>
      </w:pPr>
      <w:r w:rsidRPr="00C502E5">
        <w:rPr>
          <w:rFonts w:cs="Arial"/>
          <w:sz w:val="22"/>
          <w:szCs w:val="22"/>
        </w:rPr>
        <w:t xml:space="preserve">Jo nykyisin korkeakoulujen tarjoamat keinot ja väylät elinikäiseen oppimiseen ovat laajoja. Korkeakoulut järjestävät maksullista täydennystä, erikoistumiskoulutuksia, avointa korkeakouluopetusta ja tarjoavat erillisiä opinto-oikeuksia. Myytävän täydennyskoulutuksen kysyntää on vaikea ennakoida. On todennäköistä, että kysyntä vaihtelee alakohtaisesti ja alueellisesti. Korkeakouluihin kohdistuvaan täydennyskoulutuksen kysyntään vaikuttaa </w:t>
      </w:r>
      <w:proofErr w:type="spellStart"/>
      <w:r w:rsidRPr="00C502E5">
        <w:rPr>
          <w:rFonts w:cs="Arial"/>
          <w:sz w:val="22"/>
          <w:szCs w:val="22"/>
        </w:rPr>
        <w:t>julkisrahoitteisen</w:t>
      </w:r>
      <w:proofErr w:type="spellEnd"/>
      <w:r w:rsidRPr="00C502E5">
        <w:rPr>
          <w:rFonts w:cs="Arial"/>
          <w:sz w:val="22"/>
          <w:szCs w:val="22"/>
        </w:rPr>
        <w:t xml:space="preserve"> avoimen korkeakouluopetuksen, täydennyskoulutuksen ja lisäkoulutuksen tarjonta sekä yksityis</w:t>
      </w:r>
      <w:r w:rsidR="001072B4">
        <w:rPr>
          <w:rFonts w:cs="Arial"/>
          <w:sz w:val="22"/>
          <w:szCs w:val="22"/>
        </w:rPr>
        <w:t>ten koulutusyritysten tarjonta.</w:t>
      </w:r>
    </w:p>
    <w:p w:rsidR="001072B4" w:rsidRDefault="001072B4" w:rsidP="00EE2084">
      <w:pPr>
        <w:ind w:left="1304"/>
        <w:rPr>
          <w:rFonts w:cs="Arial"/>
          <w:sz w:val="22"/>
          <w:szCs w:val="22"/>
        </w:rPr>
      </w:pPr>
    </w:p>
    <w:p w:rsidR="00794574" w:rsidRDefault="00794574" w:rsidP="00EE2084">
      <w:pPr>
        <w:ind w:left="1304"/>
        <w:rPr>
          <w:rFonts w:cs="Arial"/>
          <w:sz w:val="22"/>
          <w:szCs w:val="22"/>
        </w:rPr>
      </w:pPr>
    </w:p>
    <w:p w:rsidR="001072B4" w:rsidRDefault="001072B4" w:rsidP="00EE2084">
      <w:pPr>
        <w:ind w:left="1304"/>
        <w:rPr>
          <w:rFonts w:cs="Arial"/>
          <w:sz w:val="22"/>
          <w:szCs w:val="22"/>
        </w:rPr>
      </w:pPr>
      <w:r>
        <w:rPr>
          <w:rFonts w:cs="Arial"/>
          <w:sz w:val="22"/>
          <w:szCs w:val="22"/>
        </w:rPr>
        <w:t>Seuraavassa</w:t>
      </w:r>
      <w:r w:rsidR="001F7345">
        <w:rPr>
          <w:rFonts w:cs="Arial"/>
          <w:sz w:val="22"/>
          <w:szCs w:val="22"/>
        </w:rPr>
        <w:t xml:space="preserve"> </w:t>
      </w:r>
      <w:r>
        <w:rPr>
          <w:rFonts w:cs="Arial"/>
          <w:sz w:val="22"/>
          <w:szCs w:val="22"/>
        </w:rPr>
        <w:t>ammattikorkeakoululain mu</w:t>
      </w:r>
      <w:r w:rsidR="004654F1">
        <w:rPr>
          <w:rFonts w:cs="Arial"/>
          <w:sz w:val="22"/>
          <w:szCs w:val="22"/>
        </w:rPr>
        <w:t>utosesityksiä k</w:t>
      </w:r>
      <w:r w:rsidR="001F7345">
        <w:rPr>
          <w:rFonts w:cs="Arial"/>
          <w:sz w:val="22"/>
          <w:szCs w:val="22"/>
        </w:rPr>
        <w:t>oskevat tarkemmat</w:t>
      </w:r>
      <w:r w:rsidR="004654F1">
        <w:rPr>
          <w:rFonts w:cs="Arial"/>
          <w:sz w:val="22"/>
          <w:szCs w:val="22"/>
        </w:rPr>
        <w:t xml:space="preserve"> </w:t>
      </w:r>
      <w:r w:rsidR="001F7345">
        <w:rPr>
          <w:rFonts w:cs="Arial"/>
          <w:sz w:val="22"/>
          <w:szCs w:val="22"/>
        </w:rPr>
        <w:t>kannanotot</w:t>
      </w:r>
      <w:r w:rsidR="00794574">
        <w:rPr>
          <w:rFonts w:cs="Arial"/>
          <w:sz w:val="22"/>
          <w:szCs w:val="22"/>
        </w:rPr>
        <w:t>.</w:t>
      </w:r>
    </w:p>
    <w:p w:rsidR="003A07D2" w:rsidRDefault="003A07D2" w:rsidP="00EE2084">
      <w:pPr>
        <w:ind w:left="1304"/>
        <w:rPr>
          <w:rFonts w:cs="Arial"/>
          <w:sz w:val="22"/>
          <w:szCs w:val="22"/>
        </w:rPr>
      </w:pPr>
    </w:p>
    <w:p w:rsidR="003A07D2" w:rsidRPr="00D12898" w:rsidRDefault="003A07D2" w:rsidP="00EE2084">
      <w:pPr>
        <w:ind w:left="1304"/>
        <w:rPr>
          <w:rFonts w:cs="Arial"/>
          <w:sz w:val="22"/>
          <w:szCs w:val="22"/>
        </w:rPr>
      </w:pPr>
    </w:p>
    <w:p w:rsidR="003A07D2" w:rsidRPr="00D12898" w:rsidRDefault="003A07D2" w:rsidP="00EE2084">
      <w:pPr>
        <w:ind w:left="1304"/>
        <w:rPr>
          <w:rFonts w:cs="Arial"/>
          <w:b/>
          <w:sz w:val="22"/>
          <w:szCs w:val="22"/>
        </w:rPr>
      </w:pPr>
      <w:r w:rsidRPr="00D12898">
        <w:rPr>
          <w:rFonts w:cs="Arial"/>
          <w:b/>
          <w:sz w:val="22"/>
          <w:szCs w:val="22"/>
        </w:rPr>
        <w:t>10 § Ammattikorkeakoulussa annettava opetus</w:t>
      </w:r>
    </w:p>
    <w:p w:rsidR="003A07D2" w:rsidRPr="00D12898" w:rsidRDefault="003A07D2" w:rsidP="00EE2084">
      <w:pPr>
        <w:ind w:left="1304"/>
        <w:rPr>
          <w:rFonts w:cs="Arial"/>
          <w:sz w:val="22"/>
          <w:szCs w:val="22"/>
        </w:rPr>
      </w:pPr>
    </w:p>
    <w:p w:rsidR="00D12C98" w:rsidRDefault="0041235C" w:rsidP="00BC0100">
      <w:pPr>
        <w:ind w:left="1304"/>
        <w:rPr>
          <w:rFonts w:cs="Arial"/>
          <w:sz w:val="22"/>
          <w:szCs w:val="22"/>
        </w:rPr>
      </w:pPr>
      <w:r w:rsidRPr="00D12898">
        <w:rPr>
          <w:rFonts w:cs="Arial"/>
          <w:sz w:val="22"/>
          <w:szCs w:val="22"/>
        </w:rPr>
        <w:t xml:space="preserve">Muutosehdotus ko. pykälän osalta tuo esille myös selkeämmin muun kuin tutkintoon johtavan </w:t>
      </w:r>
      <w:r>
        <w:rPr>
          <w:rFonts w:cs="Arial"/>
          <w:sz w:val="22"/>
          <w:szCs w:val="22"/>
        </w:rPr>
        <w:t>koulutuksen ja tukee näin laajempia ja joustavampia mahdollisuuksia jatkuvaan oppimiseen ja osaamisen täydentämiseen. Perusteluissa on kuitenkin nostettu esille myös</w:t>
      </w:r>
      <w:r w:rsidR="00FC66A5">
        <w:rPr>
          <w:rFonts w:cs="Arial"/>
          <w:sz w:val="22"/>
          <w:szCs w:val="22"/>
        </w:rPr>
        <w:t xml:space="preserve"> ehto</w:t>
      </w:r>
      <w:r>
        <w:rPr>
          <w:rFonts w:cs="Arial"/>
          <w:sz w:val="22"/>
          <w:szCs w:val="22"/>
        </w:rPr>
        <w:t>, että liiketoimintana toteutettavan täydennyskoulutus ei kuitenkaan saa vääristää kilpailua ja jota ei ole sallittua tukea ammattikorkeakoulujen julkiseen tehtävään annettav</w:t>
      </w:r>
      <w:r w:rsidR="00D12898">
        <w:rPr>
          <w:rFonts w:cs="Arial"/>
          <w:sz w:val="22"/>
          <w:szCs w:val="22"/>
        </w:rPr>
        <w:t>alla julkisella rahoituksella.</w:t>
      </w:r>
    </w:p>
    <w:p w:rsidR="00BC0100" w:rsidRDefault="00BC0100" w:rsidP="00BC0100">
      <w:pPr>
        <w:ind w:left="1304"/>
        <w:rPr>
          <w:rFonts w:cs="Arial"/>
          <w:sz w:val="22"/>
          <w:szCs w:val="22"/>
        </w:rPr>
      </w:pPr>
    </w:p>
    <w:p w:rsidR="00BC0100" w:rsidRPr="00C502E5" w:rsidRDefault="00BC0100" w:rsidP="00BC0100">
      <w:pPr>
        <w:ind w:left="1304"/>
        <w:rPr>
          <w:rFonts w:cs="Arial"/>
          <w:sz w:val="22"/>
          <w:szCs w:val="22"/>
        </w:rPr>
      </w:pPr>
    </w:p>
    <w:p w:rsidR="00D12C98" w:rsidRPr="0041235C" w:rsidRDefault="008A3C95" w:rsidP="00407ADB">
      <w:pPr>
        <w:ind w:left="1304"/>
        <w:rPr>
          <w:rFonts w:cs="Arial"/>
          <w:b/>
          <w:sz w:val="22"/>
          <w:szCs w:val="22"/>
        </w:rPr>
      </w:pPr>
      <w:r w:rsidRPr="0041235C">
        <w:rPr>
          <w:rFonts w:cs="Arial"/>
          <w:b/>
          <w:sz w:val="22"/>
          <w:szCs w:val="22"/>
        </w:rPr>
        <w:t>13 §</w:t>
      </w:r>
      <w:r w:rsidR="00497E33">
        <w:rPr>
          <w:rFonts w:cs="Arial"/>
          <w:b/>
          <w:sz w:val="22"/>
          <w:szCs w:val="22"/>
        </w:rPr>
        <w:t xml:space="preserve"> </w:t>
      </w:r>
      <w:r w:rsidR="00D12C98" w:rsidRPr="0041235C">
        <w:rPr>
          <w:rFonts w:cs="Arial"/>
          <w:b/>
          <w:sz w:val="22"/>
          <w:szCs w:val="22"/>
        </w:rPr>
        <w:t>Tilauskoulutus</w:t>
      </w:r>
    </w:p>
    <w:p w:rsidR="00407ADB" w:rsidRPr="00C502E5" w:rsidRDefault="00407ADB" w:rsidP="00407ADB">
      <w:pPr>
        <w:ind w:left="1304"/>
        <w:rPr>
          <w:rFonts w:cs="Arial"/>
          <w:sz w:val="22"/>
          <w:szCs w:val="22"/>
        </w:rPr>
      </w:pPr>
    </w:p>
    <w:p w:rsidR="005D2538" w:rsidRDefault="00407ADB" w:rsidP="00BC0100">
      <w:pPr>
        <w:ind w:left="1304"/>
        <w:rPr>
          <w:rFonts w:cs="Arial"/>
          <w:sz w:val="22"/>
          <w:szCs w:val="22"/>
        </w:rPr>
      </w:pPr>
      <w:r w:rsidRPr="00D12898">
        <w:rPr>
          <w:rFonts w:cs="Arial"/>
          <w:sz w:val="22"/>
          <w:szCs w:val="22"/>
        </w:rPr>
        <w:t>Yli</w:t>
      </w:r>
      <w:r w:rsidR="00D12C98" w:rsidRPr="00D12898">
        <w:rPr>
          <w:rFonts w:cs="Arial"/>
          <w:sz w:val="22"/>
          <w:szCs w:val="22"/>
        </w:rPr>
        <w:t>opisto- ja </w:t>
      </w:r>
      <w:r w:rsidRPr="00D12898">
        <w:rPr>
          <w:rFonts w:cs="Arial"/>
          <w:sz w:val="22"/>
          <w:szCs w:val="22"/>
        </w:rPr>
        <w:t xml:space="preserve">ammattikorkeakoululakien muutosesityksiin sisältyy mahdollisuus </w:t>
      </w:r>
      <w:r w:rsidR="00BE7F48" w:rsidRPr="00D12898">
        <w:rPr>
          <w:rFonts w:cs="Arial"/>
          <w:sz w:val="22"/>
          <w:szCs w:val="22"/>
        </w:rPr>
        <w:t>tilau</w:t>
      </w:r>
      <w:r w:rsidR="001F7345">
        <w:rPr>
          <w:rFonts w:cs="Arial"/>
          <w:sz w:val="22"/>
          <w:szCs w:val="22"/>
        </w:rPr>
        <w:t xml:space="preserve">skoulutuksesta suomalaisten ja </w:t>
      </w:r>
      <w:r w:rsidR="00BE7F48" w:rsidRPr="00D12898">
        <w:rPr>
          <w:rFonts w:cs="Arial"/>
          <w:sz w:val="22"/>
          <w:szCs w:val="22"/>
        </w:rPr>
        <w:t>EU/ETA-</w:t>
      </w:r>
      <w:r w:rsidR="001552CB" w:rsidRPr="00D12898">
        <w:rPr>
          <w:rFonts w:cs="Arial"/>
          <w:sz w:val="22"/>
          <w:szCs w:val="22"/>
        </w:rPr>
        <w:t>valtion</w:t>
      </w:r>
      <w:r w:rsidR="00BE7F48" w:rsidRPr="00D12898">
        <w:rPr>
          <w:rFonts w:cs="Arial"/>
          <w:sz w:val="22"/>
          <w:szCs w:val="22"/>
        </w:rPr>
        <w:t xml:space="preserve"> kansalais</w:t>
      </w:r>
      <w:r w:rsidR="001552CB" w:rsidRPr="00D12898">
        <w:rPr>
          <w:rFonts w:cs="Arial"/>
          <w:sz w:val="22"/>
          <w:szCs w:val="22"/>
        </w:rPr>
        <w:t xml:space="preserve">ten tilauskoulutuksesta. </w:t>
      </w:r>
      <w:proofErr w:type="spellStart"/>
      <w:r w:rsidR="00BE7F48" w:rsidRPr="00D12898">
        <w:rPr>
          <w:rFonts w:cs="Arial"/>
          <w:sz w:val="22"/>
          <w:szCs w:val="22"/>
        </w:rPr>
        <w:t>TAMKin</w:t>
      </w:r>
      <w:proofErr w:type="spellEnd"/>
      <w:r w:rsidR="00BE7F48" w:rsidRPr="00D12898">
        <w:rPr>
          <w:rFonts w:cs="Arial"/>
          <w:sz w:val="22"/>
          <w:szCs w:val="22"/>
        </w:rPr>
        <w:t xml:space="preserve"> näkökulmasta tämä on erittäin tärkeä ja kannatettava muutos.</w:t>
      </w:r>
      <w:r w:rsidR="00BE7F48">
        <w:rPr>
          <w:rFonts w:cs="Arial"/>
          <w:sz w:val="22"/>
          <w:szCs w:val="22"/>
        </w:rPr>
        <w:t xml:space="preserve"> </w:t>
      </w:r>
      <w:r w:rsidRPr="0041235C">
        <w:rPr>
          <w:rFonts w:cs="Arial"/>
          <w:sz w:val="22"/>
          <w:szCs w:val="22"/>
        </w:rPr>
        <w:t>Tilauskoulutus ja erillisvalintojen korostaminen viestivät korkeakouluille tarvetta joustavuuteen</w:t>
      </w:r>
      <w:r w:rsidR="008A3C95" w:rsidRPr="0041235C">
        <w:rPr>
          <w:rFonts w:cs="Arial"/>
          <w:sz w:val="22"/>
          <w:szCs w:val="22"/>
        </w:rPr>
        <w:t xml:space="preserve"> ja samalla mahdollistavat vastaamisen nopeisiin rakennemuutoksiin</w:t>
      </w:r>
      <w:r w:rsidRPr="0041235C">
        <w:rPr>
          <w:rFonts w:cs="Arial"/>
          <w:sz w:val="22"/>
          <w:szCs w:val="22"/>
        </w:rPr>
        <w:t xml:space="preserve">. </w:t>
      </w:r>
      <w:r w:rsidR="00EE2084" w:rsidRPr="0041235C">
        <w:rPr>
          <w:rFonts w:cs="Arial"/>
          <w:sz w:val="22"/>
          <w:szCs w:val="22"/>
        </w:rPr>
        <w:t>Samalla kuitenkin on tärkeä ottaa huomioo</w:t>
      </w:r>
      <w:r w:rsidR="00800A0E" w:rsidRPr="0041235C">
        <w:rPr>
          <w:rFonts w:cs="Arial"/>
          <w:sz w:val="22"/>
          <w:szCs w:val="22"/>
        </w:rPr>
        <w:t>n se, että ko. koulutusta ei sisällytetä rahoitusmallissa ammattikorkeakoulujen kanssa sovittuihin määrällisiin tutkintotavoitteisiin.</w:t>
      </w:r>
    </w:p>
    <w:p w:rsidR="00BC0100" w:rsidRDefault="00BC0100" w:rsidP="00BC0100">
      <w:pPr>
        <w:ind w:left="1304"/>
        <w:rPr>
          <w:rFonts w:cs="Arial"/>
          <w:sz w:val="22"/>
          <w:szCs w:val="22"/>
        </w:rPr>
      </w:pPr>
    </w:p>
    <w:p w:rsidR="00BC0100" w:rsidRPr="00C502E5" w:rsidRDefault="00BC0100" w:rsidP="00BC0100">
      <w:pPr>
        <w:ind w:left="1304"/>
        <w:rPr>
          <w:rFonts w:cs="Arial"/>
          <w:sz w:val="22"/>
          <w:szCs w:val="22"/>
        </w:rPr>
      </w:pPr>
    </w:p>
    <w:p w:rsidR="005D2538" w:rsidRPr="0041235C" w:rsidRDefault="008A3C95" w:rsidP="00407ADB">
      <w:pPr>
        <w:ind w:left="1304"/>
        <w:rPr>
          <w:rFonts w:cs="Arial"/>
          <w:b/>
          <w:sz w:val="22"/>
          <w:szCs w:val="22"/>
        </w:rPr>
      </w:pPr>
      <w:r w:rsidRPr="0041235C">
        <w:rPr>
          <w:rFonts w:cs="Arial"/>
          <w:b/>
          <w:sz w:val="22"/>
          <w:szCs w:val="22"/>
        </w:rPr>
        <w:t>14</w:t>
      </w:r>
      <w:r w:rsidR="00497E33">
        <w:rPr>
          <w:rFonts w:cs="Arial"/>
          <w:b/>
          <w:sz w:val="22"/>
          <w:szCs w:val="22"/>
        </w:rPr>
        <w:t xml:space="preserve"> </w:t>
      </w:r>
      <w:r w:rsidRPr="0041235C">
        <w:rPr>
          <w:rFonts w:cs="Arial"/>
          <w:b/>
          <w:sz w:val="22"/>
          <w:szCs w:val="22"/>
        </w:rPr>
        <w:t xml:space="preserve">§ </w:t>
      </w:r>
      <w:r w:rsidR="005D2538" w:rsidRPr="0041235C">
        <w:rPr>
          <w:rFonts w:cs="Arial"/>
          <w:b/>
          <w:sz w:val="22"/>
          <w:szCs w:val="22"/>
        </w:rPr>
        <w:t>Opetussuunnitelma ja opintojen tavoitteelliset suoritusajat</w:t>
      </w:r>
    </w:p>
    <w:p w:rsidR="005D2538" w:rsidRPr="00C502E5" w:rsidRDefault="005D2538" w:rsidP="00407ADB">
      <w:pPr>
        <w:ind w:left="1304"/>
        <w:rPr>
          <w:rFonts w:cs="Arial"/>
          <w:sz w:val="22"/>
          <w:szCs w:val="22"/>
        </w:rPr>
      </w:pPr>
    </w:p>
    <w:p w:rsidR="001552CB" w:rsidRDefault="005D2538" w:rsidP="00BC0100">
      <w:pPr>
        <w:ind w:left="1304"/>
        <w:rPr>
          <w:rFonts w:cs="Arial"/>
          <w:sz w:val="22"/>
          <w:szCs w:val="22"/>
        </w:rPr>
      </w:pPr>
      <w:r w:rsidRPr="00C502E5">
        <w:rPr>
          <w:rFonts w:cs="Arial"/>
          <w:sz w:val="22"/>
          <w:szCs w:val="22"/>
        </w:rPr>
        <w:t xml:space="preserve">TAMK kannattaa esitystä, joka mahdollistaa ammattikorkeakoululle vieraskielisessä tai kansainvälisessä yhteistyössä järjestettävän ylemmän ammattikorkeakoulututkinnon järjestämisen myös 120 op. laajuisena. </w:t>
      </w:r>
      <w:r w:rsidR="008A3C95" w:rsidRPr="00C502E5">
        <w:rPr>
          <w:rFonts w:cs="Arial"/>
          <w:sz w:val="22"/>
          <w:szCs w:val="22"/>
        </w:rPr>
        <w:t xml:space="preserve">Tämä helpottaa kansainvälistä yhteistyötä. </w:t>
      </w:r>
    </w:p>
    <w:p w:rsidR="00BC0100" w:rsidRDefault="00BC0100" w:rsidP="00BC0100">
      <w:pPr>
        <w:ind w:left="1304"/>
        <w:rPr>
          <w:rFonts w:cs="Arial"/>
          <w:sz w:val="22"/>
          <w:szCs w:val="22"/>
        </w:rPr>
      </w:pPr>
    </w:p>
    <w:p w:rsidR="00BC0100" w:rsidRPr="00C502E5" w:rsidRDefault="00BC0100" w:rsidP="00BC0100">
      <w:pPr>
        <w:ind w:left="1304"/>
        <w:rPr>
          <w:rFonts w:cs="Arial"/>
          <w:sz w:val="22"/>
          <w:szCs w:val="22"/>
        </w:rPr>
      </w:pPr>
    </w:p>
    <w:p w:rsidR="004C3B96" w:rsidRPr="00497E33" w:rsidRDefault="008A3C95" w:rsidP="00407ADB">
      <w:pPr>
        <w:ind w:left="1304"/>
        <w:rPr>
          <w:rFonts w:cs="Arial"/>
          <w:b/>
          <w:sz w:val="22"/>
          <w:szCs w:val="22"/>
        </w:rPr>
      </w:pPr>
      <w:r w:rsidRPr="00497E33">
        <w:rPr>
          <w:rFonts w:cs="Arial"/>
          <w:b/>
          <w:sz w:val="22"/>
          <w:szCs w:val="22"/>
        </w:rPr>
        <w:t>25</w:t>
      </w:r>
      <w:r w:rsidR="00497E33">
        <w:rPr>
          <w:rFonts w:cs="Arial"/>
          <w:b/>
          <w:sz w:val="22"/>
          <w:szCs w:val="22"/>
        </w:rPr>
        <w:t xml:space="preserve"> </w:t>
      </w:r>
      <w:r w:rsidRPr="00497E33">
        <w:rPr>
          <w:rFonts w:cs="Arial"/>
          <w:b/>
          <w:sz w:val="22"/>
          <w:szCs w:val="22"/>
        </w:rPr>
        <w:t xml:space="preserve">§ </w:t>
      </w:r>
      <w:r w:rsidR="004C3B96" w:rsidRPr="00497E33">
        <w:rPr>
          <w:rFonts w:cs="Arial"/>
          <w:b/>
          <w:sz w:val="22"/>
          <w:szCs w:val="22"/>
        </w:rPr>
        <w:t>Kelpoisuus ammattikorkeakouluopintoihin</w:t>
      </w:r>
    </w:p>
    <w:p w:rsidR="005D2538" w:rsidRPr="00C502E5" w:rsidRDefault="005D2538" w:rsidP="00407ADB">
      <w:pPr>
        <w:ind w:left="1304"/>
        <w:rPr>
          <w:rFonts w:cs="Arial"/>
          <w:sz w:val="22"/>
          <w:szCs w:val="22"/>
        </w:rPr>
      </w:pPr>
    </w:p>
    <w:p w:rsidR="008A3C95" w:rsidRPr="00BC0100" w:rsidRDefault="00DD3EA0" w:rsidP="00BC0100">
      <w:pPr>
        <w:ind w:left="1304"/>
        <w:rPr>
          <w:rFonts w:cs="Arial"/>
          <w:sz w:val="22"/>
          <w:szCs w:val="22"/>
        </w:rPr>
      </w:pPr>
      <w:r>
        <w:rPr>
          <w:rFonts w:cs="Arial"/>
          <w:sz w:val="22"/>
          <w:szCs w:val="22"/>
        </w:rPr>
        <w:t xml:space="preserve">Ylempään ammattikorkeakoulututkintoon johtavien kelpoisuusvaatimusten joustavoittaminen tukee jatkuvan oppimisen periaatteita. </w:t>
      </w:r>
      <w:r w:rsidR="005D2538" w:rsidRPr="00DD3EA0">
        <w:rPr>
          <w:rFonts w:cs="Arial"/>
          <w:sz w:val="22"/>
          <w:szCs w:val="22"/>
        </w:rPr>
        <w:t>Jatkuvan oppimisen ja osaamisen tunnistamisen</w:t>
      </w:r>
      <w:r>
        <w:rPr>
          <w:rFonts w:cs="Arial"/>
          <w:sz w:val="22"/>
          <w:szCs w:val="22"/>
        </w:rPr>
        <w:t xml:space="preserve"> ja tunnustamisen </w:t>
      </w:r>
      <w:r w:rsidR="005D2538" w:rsidRPr="00DD3EA0">
        <w:rPr>
          <w:rFonts w:cs="Arial"/>
          <w:sz w:val="22"/>
          <w:szCs w:val="22"/>
        </w:rPr>
        <w:t>kannalta esitys</w:t>
      </w:r>
      <w:r w:rsidR="00161A1C">
        <w:rPr>
          <w:rFonts w:cs="Arial"/>
          <w:sz w:val="22"/>
          <w:szCs w:val="22"/>
        </w:rPr>
        <w:t>, joka mahdollistaa ammattikorkeakoululle myös sella</w:t>
      </w:r>
      <w:r w:rsidR="00D22E3D">
        <w:rPr>
          <w:rFonts w:cs="Arial"/>
          <w:sz w:val="22"/>
          <w:szCs w:val="22"/>
        </w:rPr>
        <w:t>isen opiskelijan ottamisen YAMK-</w:t>
      </w:r>
      <w:r w:rsidR="00161A1C">
        <w:rPr>
          <w:rFonts w:cs="Arial"/>
          <w:sz w:val="22"/>
          <w:szCs w:val="22"/>
        </w:rPr>
        <w:t>opintoihin, jolla ei ole soveltuvaa ammattikorkeakoulu tai korkeakoulututkintoa mutta muutoin riittävät tiedot ja taidot, on esityksenä kannatettava.</w:t>
      </w:r>
      <w:r w:rsidR="005D2538" w:rsidRPr="00DD3EA0">
        <w:rPr>
          <w:rFonts w:cs="Arial"/>
          <w:sz w:val="22"/>
          <w:szCs w:val="22"/>
        </w:rPr>
        <w:t xml:space="preserve"> Samoin työkokemuksen määrän laskemin</w:t>
      </w:r>
      <w:r w:rsidRPr="00DD3EA0">
        <w:rPr>
          <w:rFonts w:cs="Arial"/>
          <w:sz w:val="22"/>
          <w:szCs w:val="22"/>
        </w:rPr>
        <w:t>en kahteen vuoteen on perusteltu</w:t>
      </w:r>
      <w:r w:rsidR="005D2538" w:rsidRPr="00DD3EA0">
        <w:rPr>
          <w:rFonts w:cs="Arial"/>
          <w:sz w:val="22"/>
          <w:szCs w:val="22"/>
        </w:rPr>
        <w:t xml:space="preserve">. </w:t>
      </w:r>
      <w:r w:rsidRPr="00DD3EA0">
        <w:rPr>
          <w:rFonts w:cs="Arial"/>
          <w:sz w:val="22"/>
          <w:szCs w:val="22"/>
        </w:rPr>
        <w:t xml:space="preserve">Kannatettava on myös esitys, joka mahdollistaa em. työkokemuksen hankkimisen joko opistoasteen tai ammatillisen korkea-asteen tutkinnon suorittamisen jälkeen. </w:t>
      </w:r>
    </w:p>
    <w:p w:rsidR="00BC0100" w:rsidRDefault="00BC0100" w:rsidP="00E626E2">
      <w:pPr>
        <w:rPr>
          <w:rFonts w:cs="Arial"/>
          <w:b/>
          <w:sz w:val="22"/>
          <w:szCs w:val="22"/>
        </w:rPr>
      </w:pPr>
      <w:bookmarkStart w:id="0" w:name="_GoBack"/>
      <w:bookmarkEnd w:id="0"/>
    </w:p>
    <w:p w:rsidR="00BC0100" w:rsidRDefault="00BC0100" w:rsidP="00407ADB">
      <w:pPr>
        <w:ind w:left="1304"/>
        <w:rPr>
          <w:rFonts w:cs="Arial"/>
          <w:b/>
          <w:sz w:val="22"/>
          <w:szCs w:val="22"/>
        </w:rPr>
      </w:pPr>
    </w:p>
    <w:p w:rsidR="005D2538" w:rsidRPr="00497E33" w:rsidRDefault="008A3C95" w:rsidP="00407ADB">
      <w:pPr>
        <w:ind w:left="1304"/>
        <w:rPr>
          <w:rFonts w:cs="Arial"/>
          <w:b/>
          <w:sz w:val="22"/>
          <w:szCs w:val="22"/>
        </w:rPr>
      </w:pPr>
      <w:r w:rsidRPr="00497E33">
        <w:rPr>
          <w:rFonts w:cs="Arial"/>
          <w:b/>
          <w:sz w:val="22"/>
          <w:szCs w:val="22"/>
        </w:rPr>
        <w:lastRenderedPageBreak/>
        <w:t xml:space="preserve">28 § </w:t>
      </w:r>
      <w:r w:rsidR="005D2538" w:rsidRPr="00497E33">
        <w:rPr>
          <w:rFonts w:cs="Arial"/>
          <w:b/>
          <w:sz w:val="22"/>
          <w:szCs w:val="22"/>
        </w:rPr>
        <w:t>Opiskelijavalinta</w:t>
      </w:r>
    </w:p>
    <w:p w:rsidR="005D2538" w:rsidRPr="00C502E5" w:rsidRDefault="005D2538" w:rsidP="00407ADB">
      <w:pPr>
        <w:ind w:left="1304"/>
        <w:rPr>
          <w:rFonts w:cs="Arial"/>
          <w:sz w:val="22"/>
          <w:szCs w:val="22"/>
        </w:rPr>
      </w:pPr>
    </w:p>
    <w:p w:rsidR="005D2538" w:rsidRDefault="005D2538" w:rsidP="00407ADB">
      <w:pPr>
        <w:ind w:left="1304"/>
        <w:rPr>
          <w:rFonts w:cs="Arial"/>
          <w:sz w:val="22"/>
          <w:szCs w:val="22"/>
        </w:rPr>
      </w:pPr>
      <w:r w:rsidRPr="00C502E5">
        <w:rPr>
          <w:rFonts w:cs="Arial"/>
          <w:sz w:val="22"/>
          <w:szCs w:val="22"/>
        </w:rPr>
        <w:t>Korkeakoulujen sisäisten siirto-opiskelijoiden valinnan joustavoittaminen osaltaan tukee opiskelijoide</w:t>
      </w:r>
      <w:r w:rsidR="00161A1C">
        <w:rPr>
          <w:rFonts w:cs="Arial"/>
          <w:sz w:val="22"/>
          <w:szCs w:val="22"/>
        </w:rPr>
        <w:t>n joustavaa opiskelua, vähentää siirtymistä aiheutuvaa työtä</w:t>
      </w:r>
      <w:r w:rsidRPr="00C502E5">
        <w:rPr>
          <w:rFonts w:cs="Arial"/>
          <w:sz w:val="22"/>
          <w:szCs w:val="22"/>
        </w:rPr>
        <w:t xml:space="preserve"> ja parhaimmillaan nopeuttaa opiskelijan valmistumista. </w:t>
      </w:r>
    </w:p>
    <w:p w:rsidR="00161A1C" w:rsidRDefault="00161A1C" w:rsidP="00407ADB">
      <w:pPr>
        <w:ind w:left="1304"/>
        <w:rPr>
          <w:rFonts w:cs="Arial"/>
          <w:sz w:val="22"/>
          <w:szCs w:val="22"/>
        </w:rPr>
      </w:pPr>
    </w:p>
    <w:p w:rsidR="00161A1C" w:rsidRDefault="00161A1C" w:rsidP="00407ADB">
      <w:pPr>
        <w:ind w:left="1304"/>
        <w:rPr>
          <w:rFonts w:cs="Arial"/>
          <w:sz w:val="22"/>
          <w:szCs w:val="22"/>
        </w:rPr>
      </w:pPr>
    </w:p>
    <w:p w:rsidR="00BC0100" w:rsidRDefault="00BC0100" w:rsidP="00407ADB">
      <w:pPr>
        <w:ind w:left="1304"/>
        <w:rPr>
          <w:rFonts w:cs="Arial"/>
          <w:sz w:val="22"/>
          <w:szCs w:val="22"/>
        </w:rPr>
      </w:pPr>
    </w:p>
    <w:p w:rsidR="00161A1C" w:rsidRDefault="00161A1C" w:rsidP="00407ADB">
      <w:pPr>
        <w:ind w:left="1304"/>
        <w:rPr>
          <w:rFonts w:cs="Arial"/>
          <w:sz w:val="22"/>
          <w:szCs w:val="22"/>
        </w:rPr>
      </w:pPr>
    </w:p>
    <w:p w:rsidR="00161A1C" w:rsidRDefault="00161A1C" w:rsidP="00407ADB">
      <w:pPr>
        <w:ind w:left="1304"/>
        <w:rPr>
          <w:rFonts w:cs="Arial"/>
          <w:sz w:val="22"/>
          <w:szCs w:val="22"/>
        </w:rPr>
      </w:pPr>
      <w:r>
        <w:rPr>
          <w:rFonts w:cs="Arial"/>
          <w:sz w:val="22"/>
          <w:szCs w:val="22"/>
        </w:rPr>
        <w:t>Tampereella</w:t>
      </w:r>
    </w:p>
    <w:p w:rsidR="00161A1C" w:rsidRDefault="00161A1C" w:rsidP="00407ADB">
      <w:pPr>
        <w:ind w:left="1304"/>
        <w:rPr>
          <w:rFonts w:cs="Arial"/>
          <w:sz w:val="22"/>
          <w:szCs w:val="22"/>
        </w:rPr>
      </w:pPr>
    </w:p>
    <w:p w:rsidR="00161A1C" w:rsidRDefault="00161A1C" w:rsidP="00407ADB">
      <w:pPr>
        <w:ind w:left="1304"/>
        <w:rPr>
          <w:rFonts w:cs="Arial"/>
          <w:sz w:val="22"/>
          <w:szCs w:val="22"/>
        </w:rPr>
      </w:pPr>
      <w:r>
        <w:rPr>
          <w:rFonts w:cs="Arial"/>
          <w:sz w:val="22"/>
          <w:szCs w:val="22"/>
        </w:rPr>
        <w:t>Markku Lahtinen</w:t>
      </w:r>
    </w:p>
    <w:p w:rsidR="00161A1C" w:rsidRPr="00C502E5" w:rsidRDefault="00161A1C" w:rsidP="00407ADB">
      <w:pPr>
        <w:ind w:left="1304"/>
        <w:rPr>
          <w:rFonts w:cs="Arial"/>
          <w:sz w:val="22"/>
          <w:szCs w:val="22"/>
        </w:rPr>
      </w:pPr>
      <w:r>
        <w:rPr>
          <w:rFonts w:cs="Arial"/>
          <w:sz w:val="22"/>
          <w:szCs w:val="22"/>
        </w:rPr>
        <w:t>rehtori</w:t>
      </w:r>
    </w:p>
    <w:p w:rsidR="008A3C95" w:rsidRPr="00C502E5" w:rsidRDefault="008A3C95" w:rsidP="00407ADB">
      <w:pPr>
        <w:ind w:left="1304"/>
        <w:rPr>
          <w:rFonts w:cs="Arial"/>
          <w:sz w:val="22"/>
          <w:szCs w:val="22"/>
        </w:rPr>
      </w:pPr>
    </w:p>
    <w:sectPr w:rsidR="008A3C95" w:rsidRPr="00C502E5">
      <w:headerReference w:type="even" r:id="rId7"/>
      <w:headerReference w:type="default" r:id="rId8"/>
      <w:footerReference w:type="default" r:id="rId9"/>
      <w:pgSz w:w="11906" w:h="16838" w:code="9"/>
      <w:pgMar w:top="567" w:right="851" w:bottom="1418" w:left="1134" w:header="567" w:footer="284" w:gutter="0"/>
      <w:pgNumType w:chapStyle="1" w:chapSep="em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E5" w:rsidRDefault="00293BE5">
      <w:r>
        <w:separator/>
      </w:r>
    </w:p>
  </w:endnote>
  <w:endnote w:type="continuationSeparator" w:id="0">
    <w:p w:rsidR="00293BE5" w:rsidRDefault="0029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79" w:rsidRDefault="00D74379" w:rsidP="001F7D45">
    <w:pPr>
      <w:tabs>
        <w:tab w:val="left" w:pos="916"/>
        <w:tab w:val="left" w:pos="1418"/>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cs="Arial"/>
        <w:sz w:val="16"/>
        <w:szCs w:val="14"/>
        <w:lang w:eastAsia="fi-FI"/>
      </w:rPr>
    </w:pPr>
    <w:r w:rsidRPr="00001015">
      <w:rPr>
        <w:rFonts w:cs="Arial"/>
        <w:sz w:val="16"/>
        <w:szCs w:val="14"/>
        <w:lang w:eastAsia="fi-FI"/>
      </w:rPr>
      <w:t>TAMPEREEN AMMATTIKOR</w:t>
    </w:r>
    <w:r>
      <w:rPr>
        <w:rFonts w:cs="Arial"/>
        <w:sz w:val="16"/>
        <w:szCs w:val="14"/>
        <w:lang w:eastAsia="fi-FI"/>
      </w:rPr>
      <w:t>KEAKOULU</w:t>
    </w:r>
  </w:p>
  <w:p w:rsidR="00D74379" w:rsidRDefault="00D74379" w:rsidP="001F7D45">
    <w:pPr>
      <w:tabs>
        <w:tab w:val="left" w:pos="916"/>
        <w:tab w:val="left" w:pos="1418"/>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cs="Arial"/>
        <w:sz w:val="16"/>
        <w:szCs w:val="14"/>
        <w:lang w:eastAsia="fi-FI"/>
      </w:rPr>
    </w:pPr>
    <w:r w:rsidRPr="00001015">
      <w:rPr>
        <w:rFonts w:cs="Arial"/>
        <w:sz w:val="16"/>
        <w:szCs w:val="14"/>
        <w:lang w:eastAsia="fi-FI"/>
      </w:rPr>
      <w:t xml:space="preserve">Kuntokatu 3, 33520 </w:t>
    </w:r>
    <w:proofErr w:type="gramStart"/>
    <w:r w:rsidRPr="00001015">
      <w:rPr>
        <w:rFonts w:cs="Arial"/>
        <w:sz w:val="16"/>
        <w:szCs w:val="14"/>
        <w:lang w:eastAsia="fi-FI"/>
      </w:rPr>
      <w:t xml:space="preserve">Tampere  </w:t>
    </w:r>
    <w:r w:rsidRPr="00001015">
      <w:rPr>
        <w:rFonts w:cs="Arial"/>
        <w:sz w:val="16"/>
        <w:szCs w:val="18"/>
        <w:lang w:eastAsia="fi-FI"/>
      </w:rPr>
      <w:t>|</w:t>
    </w:r>
    <w:proofErr w:type="gramEnd"/>
    <w:r w:rsidRPr="00001015">
      <w:rPr>
        <w:rFonts w:cs="Arial"/>
        <w:sz w:val="16"/>
        <w:szCs w:val="14"/>
        <w:lang w:eastAsia="fi-FI"/>
      </w:rPr>
      <w:t xml:space="preserve">  www.tamk.fi  </w:t>
    </w:r>
    <w:r w:rsidRPr="00001015">
      <w:rPr>
        <w:rFonts w:cs="Arial"/>
        <w:sz w:val="16"/>
        <w:szCs w:val="18"/>
        <w:lang w:eastAsia="fi-FI"/>
      </w:rPr>
      <w:t>|</w:t>
    </w:r>
    <w:r>
      <w:rPr>
        <w:rFonts w:cs="Arial"/>
        <w:sz w:val="16"/>
        <w:szCs w:val="18"/>
        <w:lang w:eastAsia="fi-FI"/>
      </w:rPr>
      <w:t xml:space="preserve">  </w:t>
    </w:r>
    <w:r>
      <w:rPr>
        <w:rFonts w:cs="Arial"/>
        <w:sz w:val="16"/>
        <w:szCs w:val="14"/>
        <w:lang w:eastAsia="fi-FI"/>
      </w:rPr>
      <w:t>p. 03 245 2111</w:t>
    </w:r>
  </w:p>
  <w:p w:rsidR="00D74379" w:rsidRPr="00001015" w:rsidRDefault="00D74379" w:rsidP="001F7D45">
    <w:pPr>
      <w:tabs>
        <w:tab w:val="left" w:pos="916"/>
        <w:tab w:val="left" w:pos="1418"/>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cs="Arial"/>
        <w:sz w:val="16"/>
        <w:szCs w:val="14"/>
        <w:lang w:eastAsia="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E5" w:rsidRDefault="00293BE5">
      <w:r>
        <w:separator/>
      </w:r>
    </w:p>
  </w:footnote>
  <w:footnote w:type="continuationSeparator" w:id="0">
    <w:p w:rsidR="00293BE5" w:rsidRDefault="0029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79" w:rsidRDefault="00D743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4379" w:rsidRDefault="00D743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79" w:rsidRPr="000C73B3" w:rsidRDefault="00D74379">
    <w:pPr>
      <w:pStyle w:val="Header"/>
      <w:framePr w:wrap="around" w:vAnchor="text" w:hAnchor="margin" w:xAlign="right" w:y="1"/>
      <w:rPr>
        <w:rStyle w:val="PageNumber"/>
        <w:sz w:val="22"/>
        <w:szCs w:val="22"/>
      </w:rPr>
    </w:pPr>
  </w:p>
  <w:p w:rsidR="00D74379" w:rsidRDefault="00D74379" w:rsidP="001F7D45">
    <w:pPr>
      <w:pStyle w:val="Header"/>
      <w:tabs>
        <w:tab w:val="clear" w:pos="4819"/>
        <w:tab w:val="clear" w:pos="9638"/>
        <w:tab w:val="left" w:pos="0"/>
        <w:tab w:val="left" w:pos="1820"/>
        <w:tab w:val="left" w:pos="5216"/>
        <w:tab w:val="left" w:pos="9141"/>
      </w:tabs>
      <w:rPr>
        <w:rStyle w:val="PageNumber"/>
        <w:sz w:val="22"/>
        <w:szCs w:val="22"/>
      </w:rPr>
    </w:pPr>
    <w:r>
      <w:rPr>
        <w:noProof/>
        <w:sz w:val="22"/>
        <w:szCs w:val="22"/>
        <w:lang w:val="en-US"/>
      </w:rPr>
      <w:drawing>
        <wp:anchor distT="0" distB="0" distL="114300" distR="114300" simplePos="0" relativeHeight="251658240" behindDoc="1" locked="1" layoutInCell="1" allowOverlap="1">
          <wp:simplePos x="0" y="0"/>
          <wp:positionH relativeFrom="column">
            <wp:posOffset>-281305</wp:posOffset>
          </wp:positionH>
          <wp:positionV relativeFrom="page">
            <wp:posOffset>262890</wp:posOffset>
          </wp:positionV>
          <wp:extent cx="3333750" cy="508000"/>
          <wp:effectExtent l="19050" t="0" r="0" b="0"/>
          <wp:wrapSquare wrapText="bothSides"/>
          <wp:docPr id="1" name="Kuva 14" descr="tamk_fin_vaak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mk_fin_vaaka_CMYK"/>
                  <pic:cNvPicPr>
                    <a:picLocks noChangeAspect="1" noChangeArrowheads="1"/>
                  </pic:cNvPicPr>
                </pic:nvPicPr>
                <pic:blipFill>
                  <a:blip r:embed="rId1"/>
                  <a:srcRect/>
                  <a:stretch>
                    <a:fillRect/>
                  </a:stretch>
                </pic:blipFill>
                <pic:spPr bwMode="auto">
                  <a:xfrm>
                    <a:off x="0" y="0"/>
                    <a:ext cx="3333750" cy="508000"/>
                  </a:xfrm>
                  <a:prstGeom prst="rect">
                    <a:avLst/>
                  </a:prstGeom>
                  <a:noFill/>
                  <a:ln w="9525">
                    <a:noFill/>
                    <a:miter lim="800000"/>
                    <a:headEnd/>
                    <a:tailEnd/>
                  </a:ln>
                </pic:spPr>
              </pic:pic>
            </a:graphicData>
          </a:graphic>
        </wp:anchor>
      </w:drawing>
    </w:r>
    <w:r w:rsidRPr="000C73B3">
      <w:rPr>
        <w:rStyle w:val="PageNumber"/>
        <w:sz w:val="22"/>
        <w:szCs w:val="22"/>
      </w:rPr>
      <w:tab/>
    </w:r>
    <w:r w:rsidRPr="000C73B3">
      <w:rPr>
        <w:rStyle w:val="PageNumber"/>
        <w:sz w:val="22"/>
        <w:szCs w:val="22"/>
      </w:rPr>
      <w:tab/>
    </w:r>
  </w:p>
  <w:p w:rsidR="00D74379" w:rsidRPr="000C73B3" w:rsidRDefault="00D74379" w:rsidP="001F7D45">
    <w:pPr>
      <w:pStyle w:val="Header"/>
      <w:tabs>
        <w:tab w:val="clear" w:pos="4819"/>
        <w:tab w:val="clear" w:pos="9638"/>
        <w:tab w:val="left" w:pos="0"/>
        <w:tab w:val="left" w:pos="1820"/>
        <w:tab w:val="left" w:pos="5216"/>
        <w:tab w:val="left" w:pos="9141"/>
      </w:tabs>
      <w:rPr>
        <w:rStyle w:val="PageNumber"/>
        <w:b/>
        <w:sz w:val="22"/>
        <w:szCs w:val="22"/>
      </w:rPr>
    </w:pPr>
    <w:r>
      <w:rPr>
        <w:b/>
        <w:sz w:val="22"/>
        <w:szCs w:val="22"/>
      </w:rPr>
      <w:t>Lausunto</w:t>
    </w:r>
    <w:r w:rsidRPr="000C73B3">
      <w:rPr>
        <w:b/>
        <w:bCs/>
        <w:sz w:val="22"/>
        <w:szCs w:val="22"/>
      </w:rPr>
      <w:tab/>
    </w:r>
    <w:r w:rsidRPr="000C73B3">
      <w:rPr>
        <w:rStyle w:val="PageNumber"/>
        <w:sz w:val="22"/>
        <w:szCs w:val="22"/>
      </w:rPr>
      <w:fldChar w:fldCharType="begin"/>
    </w:r>
    <w:r w:rsidRPr="000C73B3">
      <w:rPr>
        <w:rStyle w:val="PageNumber"/>
        <w:sz w:val="22"/>
        <w:szCs w:val="22"/>
      </w:rPr>
      <w:instrText xml:space="preserve"> PAGE  </w:instrText>
    </w:r>
    <w:r w:rsidRPr="000C73B3">
      <w:rPr>
        <w:rStyle w:val="PageNumber"/>
        <w:sz w:val="22"/>
        <w:szCs w:val="22"/>
      </w:rPr>
      <w:fldChar w:fldCharType="separate"/>
    </w:r>
    <w:r w:rsidR="00E626E2">
      <w:rPr>
        <w:rStyle w:val="PageNumber"/>
        <w:noProof/>
        <w:sz w:val="22"/>
        <w:szCs w:val="22"/>
      </w:rPr>
      <w:t>3</w:t>
    </w:r>
    <w:r w:rsidRPr="000C73B3">
      <w:rPr>
        <w:rStyle w:val="PageNumber"/>
        <w:sz w:val="22"/>
        <w:szCs w:val="22"/>
      </w:rPr>
      <w:fldChar w:fldCharType="end"/>
    </w:r>
    <w:r w:rsidRPr="000C73B3">
      <w:rPr>
        <w:rStyle w:val="PageNumber"/>
        <w:sz w:val="22"/>
        <w:szCs w:val="22"/>
      </w:rPr>
      <w:t xml:space="preserve"> (</w:t>
    </w:r>
    <w:r w:rsidRPr="000C73B3">
      <w:rPr>
        <w:rStyle w:val="PageNumber"/>
        <w:sz w:val="22"/>
        <w:szCs w:val="22"/>
      </w:rPr>
      <w:fldChar w:fldCharType="begin"/>
    </w:r>
    <w:r w:rsidRPr="000C73B3">
      <w:rPr>
        <w:rStyle w:val="PageNumber"/>
        <w:sz w:val="22"/>
        <w:szCs w:val="22"/>
      </w:rPr>
      <w:instrText xml:space="preserve"> NUMPAGES  </w:instrText>
    </w:r>
    <w:r w:rsidRPr="000C73B3">
      <w:rPr>
        <w:rStyle w:val="PageNumber"/>
        <w:sz w:val="22"/>
        <w:szCs w:val="22"/>
      </w:rPr>
      <w:fldChar w:fldCharType="separate"/>
    </w:r>
    <w:r w:rsidR="00E626E2">
      <w:rPr>
        <w:rStyle w:val="PageNumber"/>
        <w:noProof/>
        <w:sz w:val="22"/>
        <w:szCs w:val="22"/>
      </w:rPr>
      <w:t>3</w:t>
    </w:r>
    <w:r w:rsidRPr="000C73B3">
      <w:rPr>
        <w:rStyle w:val="PageNumber"/>
        <w:sz w:val="22"/>
        <w:szCs w:val="22"/>
      </w:rPr>
      <w:fldChar w:fldCharType="end"/>
    </w:r>
    <w:r w:rsidRPr="000C73B3">
      <w:rPr>
        <w:rStyle w:val="PageNumber"/>
        <w:sz w:val="22"/>
        <w:szCs w:val="22"/>
      </w:rPr>
      <w:t>)</w:t>
    </w:r>
  </w:p>
  <w:p w:rsidR="00D74379" w:rsidRPr="000C73B3" w:rsidRDefault="00D74379" w:rsidP="001F7D45">
    <w:pPr>
      <w:pStyle w:val="Header"/>
      <w:tabs>
        <w:tab w:val="clear" w:pos="4819"/>
        <w:tab w:val="clear" w:pos="9638"/>
        <w:tab w:val="left" w:pos="0"/>
        <w:tab w:val="left" w:pos="1820"/>
        <w:tab w:val="left" w:pos="5216"/>
        <w:tab w:val="left" w:pos="7825"/>
      </w:tabs>
      <w:rPr>
        <w:rStyle w:val="PageNumber"/>
        <w:sz w:val="22"/>
        <w:szCs w:val="22"/>
      </w:rPr>
    </w:pPr>
    <w:r w:rsidRPr="000C73B3">
      <w:rPr>
        <w:rStyle w:val="PageNumber"/>
        <w:sz w:val="22"/>
        <w:szCs w:val="22"/>
      </w:rPr>
      <w:tab/>
    </w:r>
  </w:p>
  <w:p w:rsidR="00D74379" w:rsidRPr="000C73B3" w:rsidRDefault="00D74379" w:rsidP="001F7D45">
    <w:pPr>
      <w:pStyle w:val="Header"/>
      <w:tabs>
        <w:tab w:val="clear" w:pos="4819"/>
        <w:tab w:val="clear" w:pos="9638"/>
        <w:tab w:val="left" w:pos="0"/>
        <w:tab w:val="left" w:pos="1820"/>
        <w:tab w:val="left" w:pos="5216"/>
        <w:tab w:val="left" w:pos="7825"/>
      </w:tabs>
      <w:rPr>
        <w:rStyle w:val="PageNumber"/>
        <w:sz w:val="22"/>
        <w:szCs w:val="22"/>
      </w:rPr>
    </w:pPr>
    <w:r w:rsidRPr="000C73B3">
      <w:rPr>
        <w:rStyle w:val="PageNumber"/>
        <w:sz w:val="22"/>
        <w:szCs w:val="22"/>
      </w:rPr>
      <w:tab/>
    </w:r>
    <w:r w:rsidRPr="000C73B3">
      <w:rPr>
        <w:rStyle w:val="PageNumber"/>
        <w:sz w:val="22"/>
        <w:szCs w:val="22"/>
      </w:rPr>
      <w:tab/>
    </w:r>
  </w:p>
  <w:p w:rsidR="00D74379" w:rsidRPr="000C73B3" w:rsidRDefault="00D74379" w:rsidP="001F7D45">
    <w:pPr>
      <w:pStyle w:val="Header"/>
      <w:tabs>
        <w:tab w:val="clear" w:pos="4819"/>
        <w:tab w:val="clear" w:pos="9638"/>
        <w:tab w:val="left" w:pos="0"/>
        <w:tab w:val="left" w:pos="1820"/>
        <w:tab w:val="left" w:pos="5216"/>
        <w:tab w:val="left" w:pos="7825"/>
      </w:tabs>
      <w:rPr>
        <w:rStyle w:val="PageNumber"/>
        <w:sz w:val="22"/>
        <w:szCs w:val="22"/>
      </w:rPr>
    </w:pPr>
    <w:r w:rsidRPr="000C73B3">
      <w:rPr>
        <w:rStyle w:val="PageNumber"/>
        <w:sz w:val="22"/>
        <w:szCs w:val="22"/>
      </w:rPr>
      <w:tab/>
    </w:r>
    <w:r w:rsidRPr="000C73B3">
      <w:rPr>
        <w:rStyle w:val="PageNumber"/>
        <w:sz w:val="22"/>
        <w:szCs w:val="22"/>
      </w:rPr>
      <w:tab/>
    </w:r>
    <w:r>
      <w:rPr>
        <w:rStyle w:val="PageNumber"/>
        <w:sz w:val="22"/>
        <w:szCs w:val="22"/>
      </w:rPr>
      <w:t>04.09.2018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6612"/>
    <w:multiLevelType w:val="multilevel"/>
    <w:tmpl w:val="FB5ECF4A"/>
    <w:lvl w:ilvl="0">
      <w:start w:val="1"/>
      <w:numFmt w:val="decimal"/>
      <w:lvlText w:val="%1."/>
      <w:lvlJc w:val="left"/>
      <w:pPr>
        <w:tabs>
          <w:tab w:val="num" w:pos="1664"/>
        </w:tabs>
        <w:ind w:left="1664" w:hanging="360"/>
      </w:pPr>
    </w:lvl>
    <w:lvl w:ilvl="1">
      <w:start w:val="1"/>
      <w:numFmt w:val="decimal"/>
      <w:lvlText w:val="%1.%2."/>
      <w:lvlJc w:val="left"/>
      <w:pPr>
        <w:tabs>
          <w:tab w:val="num" w:pos="2096"/>
        </w:tabs>
        <w:ind w:left="2096" w:hanging="432"/>
      </w:pPr>
    </w:lvl>
    <w:lvl w:ilvl="2">
      <w:start w:val="1"/>
      <w:numFmt w:val="decimal"/>
      <w:lvlText w:val="%1.%2.%3."/>
      <w:lvlJc w:val="left"/>
      <w:pPr>
        <w:tabs>
          <w:tab w:val="num" w:pos="2744"/>
        </w:tabs>
        <w:ind w:left="2528" w:hanging="504"/>
      </w:pPr>
    </w:lvl>
    <w:lvl w:ilvl="3">
      <w:start w:val="1"/>
      <w:numFmt w:val="decimal"/>
      <w:lvlText w:val="%1.%2.%3.%4."/>
      <w:lvlJc w:val="left"/>
      <w:pPr>
        <w:tabs>
          <w:tab w:val="num" w:pos="3104"/>
        </w:tabs>
        <w:ind w:left="3032" w:hanging="648"/>
      </w:pPr>
    </w:lvl>
    <w:lvl w:ilvl="4">
      <w:start w:val="1"/>
      <w:numFmt w:val="decimal"/>
      <w:lvlText w:val="%1.%2.%3.%4.%5."/>
      <w:lvlJc w:val="left"/>
      <w:pPr>
        <w:tabs>
          <w:tab w:val="num" w:pos="3824"/>
        </w:tabs>
        <w:ind w:left="3536" w:hanging="792"/>
      </w:pPr>
    </w:lvl>
    <w:lvl w:ilvl="5">
      <w:start w:val="1"/>
      <w:numFmt w:val="decimal"/>
      <w:lvlText w:val="%1.%2.%3.%4.%5.%6."/>
      <w:lvlJc w:val="left"/>
      <w:pPr>
        <w:tabs>
          <w:tab w:val="num" w:pos="4184"/>
        </w:tabs>
        <w:ind w:left="4040" w:hanging="936"/>
      </w:pPr>
    </w:lvl>
    <w:lvl w:ilvl="6">
      <w:start w:val="1"/>
      <w:numFmt w:val="decimal"/>
      <w:lvlText w:val="%1.%2.%3.%4.%5.%6.%7."/>
      <w:lvlJc w:val="left"/>
      <w:pPr>
        <w:tabs>
          <w:tab w:val="num" w:pos="4904"/>
        </w:tabs>
        <w:ind w:left="4544" w:hanging="1080"/>
      </w:pPr>
    </w:lvl>
    <w:lvl w:ilvl="7">
      <w:start w:val="1"/>
      <w:numFmt w:val="decimal"/>
      <w:lvlText w:val="%1.%2.%3.%4.%5.%6.%7.%8."/>
      <w:lvlJc w:val="left"/>
      <w:pPr>
        <w:tabs>
          <w:tab w:val="num" w:pos="5264"/>
        </w:tabs>
        <w:ind w:left="5048" w:hanging="1224"/>
      </w:pPr>
    </w:lvl>
    <w:lvl w:ilvl="8">
      <w:start w:val="1"/>
      <w:numFmt w:val="decimal"/>
      <w:lvlText w:val="%1.%2.%3.%4.%5.%6.%7.%8.%9."/>
      <w:lvlJc w:val="left"/>
      <w:pPr>
        <w:tabs>
          <w:tab w:val="num" w:pos="5984"/>
        </w:tabs>
        <w:ind w:left="5624" w:hanging="1440"/>
      </w:pPr>
    </w:lvl>
  </w:abstractNum>
  <w:abstractNum w:abstractNumId="1" w15:restartNumberingAfterBreak="0">
    <w:nsid w:val="2764707E"/>
    <w:multiLevelType w:val="multilevel"/>
    <w:tmpl w:val="F5987990"/>
    <w:lvl w:ilvl="0">
      <w:start w:val="1"/>
      <w:numFmt w:val="decimal"/>
      <w:lvlText w:val="%1."/>
      <w:lvlJc w:val="left"/>
      <w:pPr>
        <w:tabs>
          <w:tab w:val="num" w:pos="1664"/>
        </w:tabs>
        <w:ind w:left="1661" w:hanging="357"/>
      </w:pPr>
      <w:rPr>
        <w:rFonts w:hint="default"/>
      </w:rPr>
    </w:lvl>
    <w:lvl w:ilvl="1">
      <w:start w:val="1"/>
      <w:numFmt w:val="decimal"/>
      <w:lvlText w:val="%1.%2."/>
      <w:lvlJc w:val="left"/>
      <w:pPr>
        <w:tabs>
          <w:tab w:val="num" w:pos="2096"/>
        </w:tabs>
        <w:ind w:left="2096" w:hanging="432"/>
      </w:pPr>
      <w:rPr>
        <w:rFonts w:hint="default"/>
      </w:rPr>
    </w:lvl>
    <w:lvl w:ilvl="2">
      <w:start w:val="1"/>
      <w:numFmt w:val="decimal"/>
      <w:lvlText w:val="%1.%2.%3."/>
      <w:lvlJc w:val="left"/>
      <w:pPr>
        <w:tabs>
          <w:tab w:val="num" w:pos="2744"/>
        </w:tabs>
        <w:ind w:left="2528" w:hanging="504"/>
      </w:pPr>
      <w:rPr>
        <w:rFonts w:hint="default"/>
      </w:rPr>
    </w:lvl>
    <w:lvl w:ilvl="3">
      <w:start w:val="1"/>
      <w:numFmt w:val="decimal"/>
      <w:lvlText w:val="%1.%2.%3.%4."/>
      <w:lvlJc w:val="left"/>
      <w:pPr>
        <w:tabs>
          <w:tab w:val="num" w:pos="3104"/>
        </w:tabs>
        <w:ind w:left="3032" w:hanging="648"/>
      </w:pPr>
      <w:rPr>
        <w:rFonts w:hint="default"/>
      </w:rPr>
    </w:lvl>
    <w:lvl w:ilvl="4">
      <w:start w:val="1"/>
      <w:numFmt w:val="decimal"/>
      <w:lvlText w:val="%1.%2.%3.%4.%5."/>
      <w:lvlJc w:val="left"/>
      <w:pPr>
        <w:tabs>
          <w:tab w:val="num" w:pos="3824"/>
        </w:tabs>
        <w:ind w:left="3536" w:hanging="792"/>
      </w:pPr>
      <w:rPr>
        <w:rFonts w:hint="default"/>
      </w:rPr>
    </w:lvl>
    <w:lvl w:ilvl="5">
      <w:start w:val="1"/>
      <w:numFmt w:val="decimal"/>
      <w:lvlText w:val="%1.%2.%3.%4.%5.%6."/>
      <w:lvlJc w:val="left"/>
      <w:pPr>
        <w:tabs>
          <w:tab w:val="num" w:pos="4184"/>
        </w:tabs>
        <w:ind w:left="4040" w:hanging="936"/>
      </w:pPr>
      <w:rPr>
        <w:rFonts w:hint="default"/>
      </w:rPr>
    </w:lvl>
    <w:lvl w:ilvl="6">
      <w:start w:val="1"/>
      <w:numFmt w:val="decimal"/>
      <w:lvlText w:val="%1.%2.%3.%4.%5.%6.%7."/>
      <w:lvlJc w:val="left"/>
      <w:pPr>
        <w:tabs>
          <w:tab w:val="num" w:pos="4904"/>
        </w:tabs>
        <w:ind w:left="4544" w:hanging="1080"/>
      </w:pPr>
      <w:rPr>
        <w:rFonts w:hint="default"/>
      </w:rPr>
    </w:lvl>
    <w:lvl w:ilvl="7">
      <w:start w:val="1"/>
      <w:numFmt w:val="decimal"/>
      <w:lvlText w:val="%1.%2.%3.%4.%5.%6.%7.%8."/>
      <w:lvlJc w:val="left"/>
      <w:pPr>
        <w:tabs>
          <w:tab w:val="num" w:pos="5264"/>
        </w:tabs>
        <w:ind w:left="5048" w:hanging="1224"/>
      </w:pPr>
      <w:rPr>
        <w:rFonts w:hint="default"/>
      </w:rPr>
    </w:lvl>
    <w:lvl w:ilvl="8">
      <w:start w:val="1"/>
      <w:numFmt w:val="decimal"/>
      <w:lvlText w:val="%1.%2.%3.%4.%5.%6.%7.%8.%9."/>
      <w:lvlJc w:val="left"/>
      <w:pPr>
        <w:tabs>
          <w:tab w:val="num" w:pos="5984"/>
        </w:tabs>
        <w:ind w:left="5624" w:hanging="1440"/>
      </w:pPr>
      <w:rPr>
        <w:rFonts w:hint="default"/>
      </w:rPr>
    </w:lvl>
  </w:abstractNum>
  <w:abstractNum w:abstractNumId="2" w15:restartNumberingAfterBreak="0">
    <w:nsid w:val="51155128"/>
    <w:multiLevelType w:val="hybridMultilevel"/>
    <w:tmpl w:val="54022134"/>
    <w:lvl w:ilvl="0" w:tplc="2D0A27BA">
      <w:numFmt w:val="bullet"/>
      <w:lvlText w:val="-"/>
      <w:lvlJc w:val="left"/>
      <w:pPr>
        <w:ind w:left="720" w:hanging="360"/>
      </w:pPr>
      <w:rPr>
        <w:rFonts w:ascii="Arial" w:eastAsia="Calibr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53BA6025"/>
    <w:multiLevelType w:val="multilevel"/>
    <w:tmpl w:val="54A0083E"/>
    <w:lvl w:ilvl="0">
      <w:start w:val="1"/>
      <w:numFmt w:val="decimal"/>
      <w:lvlText w:val="%1."/>
      <w:lvlJc w:val="left"/>
      <w:pPr>
        <w:tabs>
          <w:tab w:val="num" w:pos="1664"/>
        </w:tabs>
        <w:ind w:left="1661" w:hanging="357"/>
      </w:pPr>
      <w:rPr>
        <w:rFonts w:hint="default"/>
      </w:rPr>
    </w:lvl>
    <w:lvl w:ilvl="1">
      <w:start w:val="1"/>
      <w:numFmt w:val="decimal"/>
      <w:lvlText w:val="%1.%2."/>
      <w:lvlJc w:val="left"/>
      <w:pPr>
        <w:tabs>
          <w:tab w:val="num" w:pos="2096"/>
        </w:tabs>
        <w:ind w:left="2096" w:hanging="432"/>
      </w:pPr>
      <w:rPr>
        <w:rFonts w:hint="default"/>
      </w:rPr>
    </w:lvl>
    <w:lvl w:ilvl="2">
      <w:start w:val="1"/>
      <w:numFmt w:val="decimal"/>
      <w:lvlText w:val="%1.%2.%3."/>
      <w:lvlJc w:val="left"/>
      <w:pPr>
        <w:tabs>
          <w:tab w:val="num" w:pos="2744"/>
        </w:tabs>
        <w:ind w:left="2528" w:hanging="504"/>
      </w:pPr>
      <w:rPr>
        <w:rFonts w:hint="default"/>
      </w:rPr>
    </w:lvl>
    <w:lvl w:ilvl="3">
      <w:start w:val="1"/>
      <w:numFmt w:val="decimal"/>
      <w:lvlText w:val="%1.%2.%3.%4."/>
      <w:lvlJc w:val="left"/>
      <w:pPr>
        <w:tabs>
          <w:tab w:val="num" w:pos="3104"/>
        </w:tabs>
        <w:ind w:left="3032" w:hanging="648"/>
      </w:pPr>
      <w:rPr>
        <w:rFonts w:hint="default"/>
      </w:rPr>
    </w:lvl>
    <w:lvl w:ilvl="4">
      <w:start w:val="1"/>
      <w:numFmt w:val="decimal"/>
      <w:lvlText w:val="%1.%2.%3.%4.%5."/>
      <w:lvlJc w:val="left"/>
      <w:pPr>
        <w:tabs>
          <w:tab w:val="num" w:pos="3824"/>
        </w:tabs>
        <w:ind w:left="3536" w:hanging="792"/>
      </w:pPr>
      <w:rPr>
        <w:rFonts w:hint="default"/>
      </w:rPr>
    </w:lvl>
    <w:lvl w:ilvl="5">
      <w:start w:val="1"/>
      <w:numFmt w:val="decimal"/>
      <w:lvlText w:val="%1.%2.%3.%4.%5.%6."/>
      <w:lvlJc w:val="left"/>
      <w:pPr>
        <w:tabs>
          <w:tab w:val="num" w:pos="4184"/>
        </w:tabs>
        <w:ind w:left="4040" w:hanging="936"/>
      </w:pPr>
      <w:rPr>
        <w:rFonts w:hint="default"/>
      </w:rPr>
    </w:lvl>
    <w:lvl w:ilvl="6">
      <w:start w:val="1"/>
      <w:numFmt w:val="decimal"/>
      <w:lvlText w:val="%1.%2.%3.%4.%5.%6.%7."/>
      <w:lvlJc w:val="left"/>
      <w:pPr>
        <w:tabs>
          <w:tab w:val="num" w:pos="4904"/>
        </w:tabs>
        <w:ind w:left="4544" w:hanging="1080"/>
      </w:pPr>
      <w:rPr>
        <w:rFonts w:hint="default"/>
      </w:rPr>
    </w:lvl>
    <w:lvl w:ilvl="7">
      <w:start w:val="1"/>
      <w:numFmt w:val="decimal"/>
      <w:lvlText w:val="%1.%2.%3.%4.%5.%6.%7.%8."/>
      <w:lvlJc w:val="left"/>
      <w:pPr>
        <w:tabs>
          <w:tab w:val="num" w:pos="5264"/>
        </w:tabs>
        <w:ind w:left="5048" w:hanging="1224"/>
      </w:pPr>
      <w:rPr>
        <w:rFonts w:hint="default"/>
      </w:rPr>
    </w:lvl>
    <w:lvl w:ilvl="8">
      <w:start w:val="1"/>
      <w:numFmt w:val="decimal"/>
      <w:lvlText w:val="%1.%2.%3.%4.%5.%6.%7.%8.%9."/>
      <w:lvlJc w:val="left"/>
      <w:pPr>
        <w:tabs>
          <w:tab w:val="num" w:pos="5984"/>
        </w:tabs>
        <w:ind w:left="5624" w:hanging="1440"/>
      </w:pPr>
      <w:rPr>
        <w:rFonts w:hint="default"/>
      </w:rPr>
    </w:lvl>
  </w:abstractNum>
  <w:abstractNum w:abstractNumId="4" w15:restartNumberingAfterBreak="0">
    <w:nsid w:val="5CCC569D"/>
    <w:multiLevelType w:val="multilevel"/>
    <w:tmpl w:val="D4C65A62"/>
    <w:lvl w:ilvl="0">
      <w:start w:val="1"/>
      <w:numFmt w:val="decimal"/>
      <w:lvlText w:val="%1."/>
      <w:lvlJc w:val="left"/>
      <w:pPr>
        <w:tabs>
          <w:tab w:val="num" w:pos="2608"/>
        </w:tabs>
        <w:ind w:left="2608" w:hanging="260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6A"/>
    <w:rsid w:val="00020868"/>
    <w:rsid w:val="000C73B3"/>
    <w:rsid w:val="001072B4"/>
    <w:rsid w:val="0013061B"/>
    <w:rsid w:val="001552CB"/>
    <w:rsid w:val="00161A1C"/>
    <w:rsid w:val="001C23E8"/>
    <w:rsid w:val="001F7345"/>
    <w:rsid w:val="001F7D45"/>
    <w:rsid w:val="0023726A"/>
    <w:rsid w:val="00281446"/>
    <w:rsid w:val="00293BE5"/>
    <w:rsid w:val="0029467B"/>
    <w:rsid w:val="002C5048"/>
    <w:rsid w:val="003650FD"/>
    <w:rsid w:val="003A07D2"/>
    <w:rsid w:val="00407ADB"/>
    <w:rsid w:val="0041235C"/>
    <w:rsid w:val="004654F1"/>
    <w:rsid w:val="0048608B"/>
    <w:rsid w:val="00497E33"/>
    <w:rsid w:val="004C3B96"/>
    <w:rsid w:val="005A2217"/>
    <w:rsid w:val="005D2538"/>
    <w:rsid w:val="00697FE3"/>
    <w:rsid w:val="006F2838"/>
    <w:rsid w:val="00794574"/>
    <w:rsid w:val="007C0088"/>
    <w:rsid w:val="00800A0E"/>
    <w:rsid w:val="008A3C95"/>
    <w:rsid w:val="00B67AFB"/>
    <w:rsid w:val="00BC0100"/>
    <w:rsid w:val="00BD376B"/>
    <w:rsid w:val="00BE76A1"/>
    <w:rsid w:val="00BE7F48"/>
    <w:rsid w:val="00C502E5"/>
    <w:rsid w:val="00D12898"/>
    <w:rsid w:val="00D12C98"/>
    <w:rsid w:val="00D22E3D"/>
    <w:rsid w:val="00D74379"/>
    <w:rsid w:val="00DD3EA0"/>
    <w:rsid w:val="00E474DF"/>
    <w:rsid w:val="00E568D9"/>
    <w:rsid w:val="00E626E2"/>
    <w:rsid w:val="00EE2084"/>
    <w:rsid w:val="00F17044"/>
    <w:rsid w:val="00FC1B93"/>
    <w:rsid w:val="00FC66A5"/>
    <w:rsid w:val="00FF4F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CBFE1"/>
  <w15:docId w15:val="{B7043575-3D67-45CE-951C-9F029AAA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3">
    <w:name w:val="heading 3"/>
    <w:basedOn w:val="Normal"/>
    <w:link w:val="Heading3Char"/>
    <w:uiPriority w:val="9"/>
    <w:semiHidden/>
    <w:unhideWhenUsed/>
    <w:qFormat/>
    <w:rsid w:val="00407ADB"/>
    <w:pPr>
      <w:keepNext/>
      <w:spacing w:before="40" w:line="252" w:lineRule="auto"/>
      <w:outlineLvl w:val="2"/>
    </w:pPr>
    <w:rPr>
      <w:rFonts w:ascii="Calibri Light" w:eastAsiaTheme="minorHAnsi" w:hAnsi="Calibri Light" w:cs="Calibri Light"/>
      <w:color w:val="1F4D7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character" w:styleId="PageNumber">
    <w:name w:val="page number"/>
    <w:basedOn w:val="DefaultParagraphFont"/>
  </w:style>
  <w:style w:type="paragraph" w:styleId="Footer">
    <w:name w:val="footer"/>
    <w:basedOn w:val="Normal"/>
    <w:pPr>
      <w:tabs>
        <w:tab w:val="center" w:pos="4819"/>
        <w:tab w:val="right" w:pos="9638"/>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spacing w:after="60"/>
      <w:jc w:val="center"/>
      <w:outlineLvl w:val="1"/>
    </w:pPr>
    <w:rPr>
      <w:rFonts w:cs="Arial"/>
      <w:szCs w:val="24"/>
    </w:rPr>
  </w:style>
  <w:style w:type="paragraph" w:customStyle="1" w:styleId="Riippuvasisennys">
    <w:name w:val="Riippuva sisennys"/>
    <w:basedOn w:val="Normal"/>
    <w:pPr>
      <w:spacing w:after="120"/>
      <w:ind w:left="2608" w:hanging="2608"/>
    </w:pPr>
  </w:style>
  <w:style w:type="paragraph" w:customStyle="1" w:styleId="OTSIKKO">
    <w:name w:val="OTSIKKO"/>
    <w:basedOn w:val="Normal"/>
    <w:rPr>
      <w:caps/>
    </w:rPr>
  </w:style>
  <w:style w:type="paragraph" w:styleId="Title">
    <w:name w:val="Title"/>
    <w:basedOn w:val="Normal"/>
    <w:qFormat/>
    <w:rPr>
      <w:caps/>
    </w:rPr>
  </w:style>
  <w:style w:type="paragraph" w:styleId="BalloonText">
    <w:name w:val="Balloon Text"/>
    <w:basedOn w:val="Normal"/>
    <w:link w:val="BalloonTextChar"/>
    <w:rsid w:val="00F86522"/>
    <w:rPr>
      <w:rFonts w:ascii="Tahoma" w:hAnsi="Tahoma" w:cs="Tahoma"/>
      <w:sz w:val="16"/>
      <w:szCs w:val="16"/>
    </w:rPr>
  </w:style>
  <w:style w:type="character" w:customStyle="1" w:styleId="BalloonTextChar">
    <w:name w:val="Balloon Text Char"/>
    <w:basedOn w:val="DefaultParagraphFont"/>
    <w:link w:val="BalloonText"/>
    <w:rsid w:val="00F86522"/>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407ADB"/>
    <w:rPr>
      <w:rFonts w:ascii="Calibri Light" w:eastAsiaTheme="minorHAnsi" w:hAnsi="Calibri Light" w:cs="Calibri Light"/>
      <w:color w:val="1F4D78"/>
      <w:sz w:val="24"/>
      <w:szCs w:val="24"/>
      <w:lang w:val="en-US" w:eastAsia="en-US"/>
    </w:rPr>
  </w:style>
  <w:style w:type="paragraph" w:styleId="ListParagraph">
    <w:name w:val="List Paragraph"/>
    <w:basedOn w:val="Normal"/>
    <w:uiPriority w:val="34"/>
    <w:qFormat/>
    <w:rsid w:val="004C3B96"/>
    <w:pPr>
      <w:ind w:left="720"/>
    </w:pPr>
    <w:rPr>
      <w:rFonts w:ascii="Calibri" w:eastAsiaTheme="minorHAnsi" w:hAnsi="Calibri" w:cs="Calibri"/>
      <w:sz w:val="22"/>
      <w:szCs w:val="22"/>
      <w:lang w:val="en-US"/>
    </w:rPr>
  </w:style>
  <w:style w:type="character" w:styleId="Emphasis">
    <w:name w:val="Emphasis"/>
    <w:basedOn w:val="DefaultParagraphFont"/>
    <w:uiPriority w:val="20"/>
    <w:qFormat/>
    <w:rsid w:val="004C3B96"/>
    <w:rPr>
      <w:i/>
      <w:iCs/>
    </w:rPr>
  </w:style>
  <w:style w:type="character" w:styleId="CommentReference">
    <w:name w:val="annotation reference"/>
    <w:basedOn w:val="DefaultParagraphFont"/>
    <w:semiHidden/>
    <w:unhideWhenUsed/>
    <w:rsid w:val="00EE2084"/>
    <w:rPr>
      <w:sz w:val="16"/>
      <w:szCs w:val="16"/>
    </w:rPr>
  </w:style>
  <w:style w:type="paragraph" w:styleId="CommentText">
    <w:name w:val="annotation text"/>
    <w:basedOn w:val="Normal"/>
    <w:link w:val="CommentTextChar"/>
    <w:semiHidden/>
    <w:unhideWhenUsed/>
    <w:rsid w:val="00EE2084"/>
    <w:rPr>
      <w:sz w:val="20"/>
    </w:rPr>
  </w:style>
  <w:style w:type="character" w:customStyle="1" w:styleId="CommentTextChar">
    <w:name w:val="Comment Text Char"/>
    <w:basedOn w:val="DefaultParagraphFont"/>
    <w:link w:val="CommentText"/>
    <w:semiHidden/>
    <w:rsid w:val="00EE2084"/>
    <w:rPr>
      <w:rFonts w:ascii="Arial" w:hAnsi="Arial"/>
      <w:lang w:eastAsia="en-US"/>
    </w:rPr>
  </w:style>
  <w:style w:type="paragraph" w:styleId="CommentSubject">
    <w:name w:val="annotation subject"/>
    <w:basedOn w:val="CommentText"/>
    <w:next w:val="CommentText"/>
    <w:link w:val="CommentSubjectChar"/>
    <w:semiHidden/>
    <w:unhideWhenUsed/>
    <w:rsid w:val="00EE2084"/>
    <w:rPr>
      <w:b/>
      <w:bCs/>
    </w:rPr>
  </w:style>
  <w:style w:type="character" w:customStyle="1" w:styleId="CommentSubjectChar">
    <w:name w:val="Comment Subject Char"/>
    <w:basedOn w:val="CommentTextChar"/>
    <w:link w:val="CommentSubject"/>
    <w:semiHidden/>
    <w:rsid w:val="00EE208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5555">
      <w:bodyDiv w:val="1"/>
      <w:marLeft w:val="0"/>
      <w:marRight w:val="0"/>
      <w:marTop w:val="0"/>
      <w:marBottom w:val="0"/>
      <w:divBdr>
        <w:top w:val="none" w:sz="0" w:space="0" w:color="auto"/>
        <w:left w:val="none" w:sz="0" w:space="0" w:color="auto"/>
        <w:bottom w:val="none" w:sz="0" w:space="0" w:color="auto"/>
        <w:right w:val="none" w:sz="0" w:space="0" w:color="auto"/>
      </w:divBdr>
    </w:div>
    <w:div w:id="1335064727">
      <w:bodyDiv w:val="1"/>
      <w:marLeft w:val="0"/>
      <w:marRight w:val="0"/>
      <w:marTop w:val="0"/>
      <w:marBottom w:val="0"/>
      <w:divBdr>
        <w:top w:val="none" w:sz="0" w:space="0" w:color="auto"/>
        <w:left w:val="none" w:sz="0" w:space="0" w:color="auto"/>
        <w:bottom w:val="none" w:sz="0" w:space="0" w:color="auto"/>
        <w:right w:val="none" w:sz="0" w:space="0" w:color="auto"/>
      </w:divBdr>
    </w:div>
    <w:div w:id="20496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YYEIJ\LOCALS~1\TEMP\Asiakirjapohja-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Asiakirjapohja-2</Template>
  <TotalTime>18</TotalTime>
  <Pages>3</Pages>
  <Words>801</Words>
  <Characters>4571</Characters>
  <Application>Microsoft Office Word</Application>
  <DocSecurity>0</DocSecurity>
  <Lines>38</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Vastaanottaja</vt:lpstr>
      <vt:lpstr>Vastaanottaja</vt:lpstr>
    </vt:vector>
  </TitlesOfParts>
  <Company>Tampereen kaupunki</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Administrator</dc:creator>
  <cp:lastModifiedBy>Päivi Karttunen</cp:lastModifiedBy>
  <cp:revision>10</cp:revision>
  <cp:lastPrinted>2011-09-19T05:51:00Z</cp:lastPrinted>
  <dcterms:created xsi:type="dcterms:W3CDTF">2018-09-04T15:34:00Z</dcterms:created>
  <dcterms:modified xsi:type="dcterms:W3CDTF">2018-09-04T16:12:00Z</dcterms:modified>
</cp:coreProperties>
</file>