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4536"/>
        <w:gridCol w:w="648"/>
        <w:gridCol w:w="5184"/>
      </w:tblGrid>
      <w:tr w:rsidR="00D436E9">
        <w:trPr>
          <w:trHeight w:hRule="exact" w:val="1440"/>
        </w:trPr>
        <w:tc>
          <w:tcPr>
            <w:tcW w:w="4536" w:type="dxa"/>
          </w:tcPr>
          <w:p w:rsidR="00D436E9" w:rsidRDefault="00BF4E5B">
            <w:pPr>
              <w:pStyle w:val="Leiptekstivasen"/>
            </w:pPr>
            <w:bookmarkStart w:id="0" w:name="_GoBack"/>
            <w:bookmarkEnd w:id="0"/>
            <w:r>
              <w:t>Ympäristöministeriö</w:t>
            </w:r>
            <w:r>
              <w:br/>
              <w:t>kirjaamo@ym.fi</w:t>
            </w:r>
          </w:p>
        </w:tc>
        <w:tc>
          <w:tcPr>
            <w:tcW w:w="648" w:type="dxa"/>
          </w:tcPr>
          <w:p w:rsidR="00D436E9" w:rsidRDefault="00D436E9"/>
        </w:tc>
        <w:tc>
          <w:tcPr>
            <w:tcW w:w="5184" w:type="dxa"/>
          </w:tcPr>
          <w:p w:rsidR="00D436E9" w:rsidRDefault="00D436E9">
            <w:pPr>
              <w:pStyle w:val="Leiptekstivasen"/>
            </w:pPr>
          </w:p>
        </w:tc>
      </w:tr>
      <w:tr w:rsidR="00D436E9">
        <w:trPr>
          <w:trHeight w:hRule="exact" w:val="480"/>
        </w:trPr>
        <w:tc>
          <w:tcPr>
            <w:tcW w:w="10368" w:type="dxa"/>
            <w:gridSpan w:val="3"/>
          </w:tcPr>
          <w:p w:rsidR="00D436E9" w:rsidRDefault="00D436E9">
            <w:pPr>
              <w:pStyle w:val="Leiptekstivasen"/>
              <w:rPr>
                <w:caps/>
              </w:rPr>
            </w:pPr>
          </w:p>
        </w:tc>
      </w:tr>
      <w:tr w:rsidR="00D436E9">
        <w:trPr>
          <w:trHeight w:hRule="exact" w:val="280"/>
        </w:trPr>
        <w:tc>
          <w:tcPr>
            <w:tcW w:w="10368" w:type="dxa"/>
            <w:gridSpan w:val="3"/>
          </w:tcPr>
          <w:p w:rsidR="00D436E9" w:rsidRPr="002B1CD8" w:rsidRDefault="00D436E9" w:rsidP="002B1CD8">
            <w:pPr>
              <w:pStyle w:val="Leiptekstivasen"/>
              <w:rPr>
                <w:szCs w:val="22"/>
              </w:rPr>
            </w:pPr>
            <w:bookmarkStart w:id="1" w:name="DM_X_REFERENCE"/>
            <w:bookmarkEnd w:id="1"/>
          </w:p>
        </w:tc>
      </w:tr>
      <w:tr w:rsidR="00D436E9" w:rsidTr="00BF4E5B">
        <w:trPr>
          <w:trHeight w:hRule="exact" w:val="355"/>
        </w:trPr>
        <w:tc>
          <w:tcPr>
            <w:tcW w:w="10368" w:type="dxa"/>
            <w:gridSpan w:val="3"/>
          </w:tcPr>
          <w:p w:rsidR="00D436E9" w:rsidRDefault="00BF4E5B" w:rsidP="002B1CD8">
            <w:pPr>
              <w:pStyle w:val="Leiptekstivasen"/>
            </w:pPr>
            <w:r>
              <w:t>Viite: Ympäristöministeriön lausuntopyyntö 22.6.2016; YM019:00/2015</w:t>
            </w:r>
          </w:p>
        </w:tc>
      </w:tr>
    </w:tbl>
    <w:p w:rsidR="00D436E9" w:rsidRDefault="00BF4E5B">
      <w:pPr>
        <w:pStyle w:val="Asiakirjannimi"/>
      </w:pPr>
      <w:bookmarkStart w:id="2" w:name="DM_DOCNAME"/>
      <w:r>
        <w:t>Maa- ja metsätalousministeriön lausunto luonnoksesta hallituksen es</w:t>
      </w:r>
      <w:r>
        <w:t>i</w:t>
      </w:r>
      <w:r>
        <w:t>tykseksi maankäyttö- ja rakennuslain muuttamisesta</w:t>
      </w:r>
      <w:bookmarkEnd w:id="2"/>
    </w:p>
    <w:p w:rsidR="00BF4E5B" w:rsidRDefault="00BF4E5B" w:rsidP="00BF4E5B">
      <w:pPr>
        <w:pStyle w:val="Leipteksti"/>
      </w:pPr>
    </w:p>
    <w:p w:rsidR="00BF4E5B" w:rsidRDefault="00BF4E5B" w:rsidP="00BF4E5B">
      <w:pPr>
        <w:pStyle w:val="Leipteksti"/>
      </w:pPr>
      <w:r>
        <w:t>Ympäristöministeriö on pyytänyt lausuntoa luonnoksesta hallituksen esitykseksi maankäyttö- ja rakennuslain muuttamisesta.</w:t>
      </w:r>
    </w:p>
    <w:p w:rsidR="00BF4E5B" w:rsidRDefault="00BF4E5B" w:rsidP="00BF4E5B">
      <w:pPr>
        <w:pStyle w:val="Leipteksti"/>
      </w:pPr>
      <w:r>
        <w:t>Maa- ja metsätalousministeriö esittää oman toimialansa osalta lausuntonaan seuraavaa:</w:t>
      </w:r>
      <w:r w:rsidR="00D00EBB">
        <w:br/>
      </w:r>
    </w:p>
    <w:p w:rsidR="00BF4E5B" w:rsidRPr="00D00EBB" w:rsidRDefault="00D00EBB" w:rsidP="00BF4E5B">
      <w:pPr>
        <w:pStyle w:val="Leipteksti"/>
        <w:rPr>
          <w:i/>
        </w:rPr>
      </w:pPr>
      <w:r>
        <w:rPr>
          <w:i/>
        </w:rPr>
        <w:t>Yleistä</w:t>
      </w:r>
    </w:p>
    <w:p w:rsidR="00BF4E5B" w:rsidRDefault="00BF4E5B" w:rsidP="00BF4E5B">
      <w:pPr>
        <w:pStyle w:val="Leipteksti"/>
      </w:pPr>
      <w:r>
        <w:t>Luonnoksen hallituksen esitykseksi on valmistellut työryhmä, jonka tavoitteeksi oli määritelty hallitusohjelman kirjausten mukaisesti turhan sääntelyn purkaminen ja hallinnollisen taakan keventäminen. Maa- ja metsätalousministeriöstä ei ollut edustusta esitystä valmistelleessa ty</w:t>
      </w:r>
      <w:r>
        <w:t>ö</w:t>
      </w:r>
      <w:r>
        <w:t>ryhmässä.</w:t>
      </w:r>
    </w:p>
    <w:p w:rsidR="00BF4E5B" w:rsidRDefault="00BF4E5B" w:rsidP="00BF4E5B">
      <w:pPr>
        <w:pStyle w:val="Leipteksti"/>
      </w:pPr>
      <w:r>
        <w:t>Maa- ja metsätalousministeriö toteaa, että maankäyttö- ja rakennuslain (MRL) muutosesityksen tavoite on oikeansuuntainen. Kaavoitukseen ja rakentamiseen liittyy runsaasti sääntelyä, ja sen vähentäminen on tarpeellista. Ehdotuksella lisättäisiin joiltakin osin kuntien itsenäistä valmist</w:t>
      </w:r>
      <w:r>
        <w:t>e</w:t>
      </w:r>
      <w:r>
        <w:t xml:space="preserve">lua ja päätöksentekoa kaavoituksessa ja rakentamisessa </w:t>
      </w:r>
      <w:r w:rsidR="00D00EBB">
        <w:t>sekä</w:t>
      </w:r>
      <w:r>
        <w:t xml:space="preserve"> vähennettäisiin viranomaisohjau</w:t>
      </w:r>
      <w:r>
        <w:t>s</w:t>
      </w:r>
      <w:r>
        <w:t>ta. Lakiesityksessä varsinaiset kaavoitusta ja rakentamisen muun ohjauksen helpottamista ko</w:t>
      </w:r>
      <w:r>
        <w:t>s</w:t>
      </w:r>
      <w:r>
        <w:t>kevat muutokset ovat kuitenkin vähäisiä ja osin näennäisiä maa- ja metsätalousministeriön ha</w:t>
      </w:r>
      <w:r>
        <w:t>l</w:t>
      </w:r>
      <w:r>
        <w:t>linnonalan ja yleensäkin maaseudun kehittämisen näkökulmasta. Joistakin ehdotetuista esity</w:t>
      </w:r>
      <w:r>
        <w:t>k</w:t>
      </w:r>
      <w:r>
        <w:t>sistä voisi seurata lisää sääntelyä ja kustannuksia. Lakiesitystä tarkennettaisiin muutoksilla maankäyttö- ja rakennusasetukseen, jota ei lausuntovaiheessa ole ollut käytettävissä. Muuto</w:t>
      </w:r>
      <w:r>
        <w:t>k</w:t>
      </w:r>
      <w:r>
        <w:t>sen sisällön ohella muotoutuvista käytännöistä riippuisi, lisäisikö muutos tavoiteltuja rakent</w:t>
      </w:r>
      <w:r>
        <w:t>a</w:t>
      </w:r>
      <w:r>
        <w:t xml:space="preserve">mismahdollisuuksia taajamissa ja maaseudulla. </w:t>
      </w:r>
    </w:p>
    <w:p w:rsidR="00BF4E5B" w:rsidRDefault="00BF4E5B" w:rsidP="00BF4E5B">
      <w:pPr>
        <w:pStyle w:val="Leipteksti"/>
      </w:pPr>
      <w:r>
        <w:t>Esityksen yleis- ja yksityiskohtaiset perustelut ja esimerkit ovat niukkoja tai viitteellisiä. Tek</w:t>
      </w:r>
      <w:r>
        <w:t>s</w:t>
      </w:r>
      <w:r>
        <w:t xml:space="preserve">tejä on syytä täydentää, </w:t>
      </w:r>
      <w:r w:rsidR="00D00EBB">
        <w:t xml:space="preserve">kuten </w:t>
      </w:r>
      <w:r w:rsidR="00D00EBB" w:rsidRPr="00D00EBB">
        <w:t xml:space="preserve">täsmentää </w:t>
      </w:r>
      <w:r>
        <w:t>perusteluja ja antaa esimerkkejä toteutuksesta tulki</w:t>
      </w:r>
      <w:r>
        <w:t>n</w:t>
      </w:r>
      <w:r>
        <w:t>nallisuuksien vähentämiseksi.</w:t>
      </w:r>
    </w:p>
    <w:p w:rsidR="00BF4E5B" w:rsidRDefault="00BF4E5B" w:rsidP="00BF4E5B">
      <w:pPr>
        <w:pStyle w:val="Leipteksti"/>
      </w:pPr>
      <w:r>
        <w:t>Maa- ja metsätalousministeriö pitää tärkeänä, että lain perusteellisempi uudistaminen käynni</w:t>
      </w:r>
      <w:r>
        <w:t>s</w:t>
      </w:r>
      <w:r>
        <w:t xml:space="preserve">tettäisiin pikaisesti. Ajantasaisia ohjausvälineitä tarvitaan muun muassa valmisteilla olevan maakuntahallinnon toteutuessa ja kuntien tehtävien muuttuessa. </w:t>
      </w:r>
      <w:proofErr w:type="spellStart"/>
      <w:r>
        <w:t>MRL:iin</w:t>
      </w:r>
      <w:proofErr w:type="spellEnd"/>
      <w:r>
        <w:t xml:space="preserve"> 16 vuoden aikana tehdyt osamuutokset yhdessä monitasoisen, osin päällekkäisten ohjausjärjestelmien ja vaihtel</w:t>
      </w:r>
      <w:r>
        <w:t>e</w:t>
      </w:r>
      <w:r>
        <w:t xml:space="preserve">vien viranomaistulkintojen kanssa ovat osaltaan vaikeuttamassa järjestelmän kokonaisuuden hahmottamista ja toimivuutta. </w:t>
      </w:r>
    </w:p>
    <w:p w:rsidR="00BF4E5B" w:rsidRDefault="00BF4E5B" w:rsidP="00BF4E5B">
      <w:pPr>
        <w:pStyle w:val="Leipteksti"/>
      </w:pPr>
      <w:r>
        <w:lastRenderedPageBreak/>
        <w:t xml:space="preserve">Ympäristöministeriö kuuli sidosryhmiä arvioidessaan </w:t>
      </w:r>
      <w:proofErr w:type="spellStart"/>
      <w:r>
        <w:t>MRL:n</w:t>
      </w:r>
      <w:proofErr w:type="spellEnd"/>
      <w:r>
        <w:t xml:space="preserve"> toimivuutta vuonna 2013 päätt</w:t>
      </w:r>
      <w:r>
        <w:t>y</w:t>
      </w:r>
      <w:r>
        <w:t xml:space="preserve">neessä työssä. Maa- ja metsätalousministeriö esitti arviointityön kuluessa ja työstä antamassaan lausumassa muun muassa tarpeen poistaa päällekkäinen säätely </w:t>
      </w:r>
      <w:proofErr w:type="spellStart"/>
      <w:r>
        <w:t>MRL:n</w:t>
      </w:r>
      <w:proofErr w:type="spellEnd"/>
      <w:r>
        <w:t xml:space="preserve"> ja sektorisäädösten v</w:t>
      </w:r>
      <w:r>
        <w:t>ä</w:t>
      </w:r>
      <w:r>
        <w:t>lillä. Maa- ja metsätalousministeriö katsoo myös lausunnolla olevan esityksen yhdeksi tavoi</w:t>
      </w:r>
      <w:r>
        <w:t>t</w:t>
      </w:r>
      <w:r>
        <w:t>teeksi päällekkäissäätelyn poistamisen.</w:t>
      </w:r>
    </w:p>
    <w:p w:rsidR="00BF4E5B" w:rsidRDefault="00BF4E5B" w:rsidP="00BF4E5B">
      <w:pPr>
        <w:pStyle w:val="Leipteksti"/>
      </w:pPr>
      <w:r>
        <w:t>Suomessa rakennetun alueen määrä (alle 4,5</w:t>
      </w:r>
      <w:r w:rsidR="00E95AAB">
        <w:t xml:space="preserve"> </w:t>
      </w:r>
      <w:r>
        <w:t>% maapinta-alasta) ja taajama-aste ovat muihin Euroopan maihin verrattuna poikkeuksellisen vähäisiä. Maaseutumaisten, erittäin harvaan asu</w:t>
      </w:r>
      <w:r>
        <w:t>t</w:t>
      </w:r>
      <w:r>
        <w:t>tujen alueiden osuus on erityisen suuri (lähes 70</w:t>
      </w:r>
      <w:r w:rsidR="00E95AAB">
        <w:t xml:space="preserve"> </w:t>
      </w:r>
      <w:r>
        <w:t>%). Joka maakunnassa ja kunnassa pääosa pi</w:t>
      </w:r>
      <w:r>
        <w:t>n</w:t>
      </w:r>
      <w:r>
        <w:t>ta-alasta on maa- ja metsätalousvaltaista maaseutua. Maaseutualueet ovat erityisesti maan ru</w:t>
      </w:r>
      <w:r>
        <w:t>o</w:t>
      </w:r>
      <w:r>
        <w:t>kahuollon, uusiutuvien luonnonvararesurssien ja niihin pohjautuvien moninaisten elinkeino- ja yritystoimintojen kannalta keskeisiä. Taajamarakentamisesta poiketen luonnonvarojen käy</w:t>
      </w:r>
      <w:r>
        <w:t>t</w:t>
      </w:r>
      <w:r>
        <w:t>töön, hoitoon ja jalostukseen liittyvä rakentamistarve on useimmiten sidoksissa tiettyyn alue</w:t>
      </w:r>
      <w:r>
        <w:t>e</w:t>
      </w:r>
      <w:r>
        <w:t>seen ja paikkaan. Maa- ja metsätalousalueita koskevat ajanmukaiset sektorisäädökset. Taajam</w:t>
      </w:r>
      <w:r>
        <w:t>a</w:t>
      </w:r>
      <w:r>
        <w:t>rakentamisen ulkopuolisiin rakentamistarpeisiin on viranomaisohjauksessa suhtauduttu kuite</w:t>
      </w:r>
      <w:r>
        <w:t>n</w:t>
      </w:r>
      <w:r>
        <w:t xml:space="preserve">kin lähtökohtaisesti varoen ja suojelunäkökohtia painottaen. </w:t>
      </w:r>
      <w:proofErr w:type="spellStart"/>
      <w:r>
        <w:t>MRL:n</w:t>
      </w:r>
      <w:proofErr w:type="spellEnd"/>
      <w:r>
        <w:t xml:space="preserve"> ja em. sektorisäädösten y</w:t>
      </w:r>
      <w:r>
        <w:t>h</w:t>
      </w:r>
      <w:r>
        <w:t>teensovitusta ja päällekkäistä ohjausta poissulkevaa tarkastelua ei käytännössä näy tehtävän. Moniportainen kaavajärjestelmä lisää mahdollisuutta päällekkäisyyksiin ja ristiriitaisuuksiin sektorilakien kanssa. Eri kaavatasoilta voidaan kohdistaa esimerkiksi kokonaan tai pääosin maa- ja metsätalouskäyttöön jääville alueille merkintöjä ja määräyksiä luonnon- ja maisema-arvojen hoitamiseksi. Vaikka kaavan määräyksistä ei voi seurata juridista hoitopakkoa maa- ja metsätalouteen, muodostuu kaavasta pysyväisluonteinen, ajallisesti rajaamaton kielto tai me</w:t>
      </w:r>
      <w:r>
        <w:t>r</w:t>
      </w:r>
      <w:r>
        <w:t xml:space="preserve">kittävä rajoitus sekä tulonmenetyksiä elinkeinotoiminnalle. </w:t>
      </w:r>
    </w:p>
    <w:p w:rsidR="00BF4E5B" w:rsidRDefault="00BF4E5B" w:rsidP="00BF4E5B">
      <w:pPr>
        <w:pStyle w:val="Leipteksti"/>
      </w:pPr>
      <w:proofErr w:type="spellStart"/>
      <w:r>
        <w:t>MRL:n</w:t>
      </w:r>
      <w:proofErr w:type="spellEnd"/>
      <w:r>
        <w:t xml:space="preserve"> kaava- ja lupaohjauksen ulottuvuutta ja nykyisiä ohjausvälineitä on tarpeen tarkastella laaja-alaisesti, ettei niiden käytöllä tahattomasti estyisi maan eri osien toimintojen kehittämine</w:t>
      </w:r>
      <w:r w:rsidR="00E95AAB">
        <w:t>n ja vahvuuksien hyödyntäminen.</w:t>
      </w:r>
      <w:r>
        <w:t xml:space="preserve"> Usean hallinnonalan ohjausvälineet sisältävät alueidenkäytön ohjausta. Maankäyttö- ja rakennuslain alueidenkäyttöä koskevan ohjauksen ulottuvuus tulee kaavoituksessa tarkentaa koskemaan rakentamisen ohjaukseen liittyviä seikkoja.</w:t>
      </w:r>
    </w:p>
    <w:p w:rsidR="00BF4E5B" w:rsidRDefault="00BF4E5B" w:rsidP="00BF4E5B">
      <w:pPr>
        <w:pStyle w:val="Leipteksti"/>
      </w:pPr>
      <w:r>
        <w:t>Maa- ja metsätalousministeriö käsittelee lausunnossaan esitystä maaseudun maankäytön, rake</w:t>
      </w:r>
      <w:r>
        <w:t>n</w:t>
      </w:r>
      <w:r>
        <w:t xml:space="preserve">tamisen ja maaseudun muun kehittämisen näkökulmasta. </w:t>
      </w:r>
      <w:r w:rsidR="00E95AAB">
        <w:br/>
      </w:r>
    </w:p>
    <w:p w:rsidR="00BF4E5B" w:rsidRPr="00E95AAB" w:rsidRDefault="00BF4E5B" w:rsidP="00BF4E5B">
      <w:pPr>
        <w:pStyle w:val="Leipteksti"/>
        <w:rPr>
          <w:i/>
        </w:rPr>
      </w:pPr>
      <w:r w:rsidRPr="00E95AAB">
        <w:rPr>
          <w:i/>
        </w:rPr>
        <w:t>Yleisperustelut / 2 Nykytila</w:t>
      </w:r>
    </w:p>
    <w:p w:rsidR="00BF4E5B" w:rsidRDefault="00BF4E5B" w:rsidP="00BF4E5B">
      <w:pPr>
        <w:pStyle w:val="Leipteksti"/>
      </w:pPr>
      <w:r>
        <w:t>Yleisperusteluihin tulisi lisätä maaseutualueita koskevia tietoja ja tarkasteluja ohjausvälineiden käytöstä ja vaikutuksista. Kasvuseutujen taajamien lähialueiden rakennusvolyymit ja rakent</w:t>
      </w:r>
      <w:r>
        <w:t>a</w:t>
      </w:r>
      <w:r>
        <w:t>mispaineet ovat usein merkittäviä ja</w:t>
      </w:r>
      <w:r w:rsidR="00E95AAB">
        <w:t xml:space="preserve"> </w:t>
      </w:r>
      <w:r>
        <w:t>poikkeavat maaseutualueiden vastaavista. Esimerkiksi yleiskaavan käyttämisellä rakennusluvan perusteena, suunnittelutarvealueilla ja - ratkaisulla, maisematyöluvalla tai vapaa-ajan asuntojen käyttötarkoituksen muutoksilla voi maaseudulla o</w:t>
      </w:r>
      <w:r>
        <w:t>l</w:t>
      </w:r>
      <w:r>
        <w:t xml:space="preserve">la suhteessa huomattavasti suurempia elinkeino- ja aluetaloudellisia vaikutuksia kuin taajamien läheisyydessä. </w:t>
      </w:r>
    </w:p>
    <w:p w:rsidR="00BF4E5B" w:rsidRDefault="00BF4E5B" w:rsidP="00BF4E5B">
      <w:pPr>
        <w:pStyle w:val="Leipteksti"/>
      </w:pPr>
      <w:r>
        <w:t>Nykytilan kansainvälistä kehitystä ja lainsäädäntöä koskevassa osassa on keskitytty vain ka</w:t>
      </w:r>
      <w:r>
        <w:t>u</w:t>
      </w:r>
      <w:r>
        <w:t>pan säätelyn kuvaamiseen. Tekstiin olisi hyvä lisätä esimerkkejä, kuten Ruotsin kevyt säätely maa- ja metsätalouden ja maaseuturakentamisen osalta sekä muutoinkin varsin selkeät rake</w:t>
      </w:r>
      <w:r>
        <w:t>n</w:t>
      </w:r>
      <w:r>
        <w:t xml:space="preserve">tamisen lupamenettelyt sekä viranomaisten että kansalaisten kannalta.   </w:t>
      </w:r>
    </w:p>
    <w:p w:rsidR="00BF4E5B" w:rsidRDefault="00BF4E5B" w:rsidP="00BF4E5B">
      <w:pPr>
        <w:pStyle w:val="Leipteksti"/>
      </w:pPr>
      <w:r>
        <w:t>Vapaa-ajan asunnon käyttötarkoituksen muuttamista pysyvään asumiseen on käsitelty muutt</w:t>
      </w:r>
      <w:r>
        <w:t>a</w:t>
      </w:r>
      <w:r>
        <w:t>jasta kunnalle johtuvien mahdo</w:t>
      </w:r>
      <w:r w:rsidR="00E95AAB">
        <w:t>llisten velvoitteiden kannalta.</w:t>
      </w:r>
      <w:r>
        <w:t xml:space="preserve"> </w:t>
      </w:r>
      <w:proofErr w:type="spellStart"/>
      <w:r>
        <w:t>MRL:n</w:t>
      </w:r>
      <w:proofErr w:type="spellEnd"/>
      <w:r>
        <w:t xml:space="preserve"> muutoksen kannalta myös rakentamiseen liittyvät näkökohdat olisivat nykytilan arvioinnissa oleellisia.</w:t>
      </w:r>
    </w:p>
    <w:p w:rsidR="00BF4E5B" w:rsidRDefault="00BF4E5B" w:rsidP="00BF4E5B">
      <w:pPr>
        <w:pStyle w:val="Leipteksti"/>
      </w:pPr>
      <w:r>
        <w:lastRenderedPageBreak/>
        <w:t>Maisematyölupaa koskeva tarkastelu vaikuttaa osin asiantuntemattomalta, ja siksi erityisesti ensimmäisen ja viimeisen kappaleen tarkistaminen tai poistamien olisi suotavaa. Tekstissä olisi syytä mainita metsälaista, joka koskee jokaista metsäalan toimijaa Suomessa. Metsänhakkuu, avohakkuu, metsämaan muokkaus ja vastaavat toimet ovat metsälain mukaisia. Kaavoitus ei tuo alueen metsänhoidolle lisäarvoa, mutta siitä seuraa päällekkäistä säätelyä, kalliita lupam</w:t>
      </w:r>
      <w:r>
        <w:t>e</w:t>
      </w:r>
      <w:r>
        <w:t>nettelyjä ja epäselviä vastuukysymyksiä. Luonnonsuojelusta on säädetty erikseen luonnonsu</w:t>
      </w:r>
      <w:r>
        <w:t>o</w:t>
      </w:r>
      <w:r>
        <w:t>jelulailla, jonka vastaisesti ei voi toimia kaavoittamattomilla eikä kaavoitetuilla alueilla.  Myöskään lakisääteistä suojelua ei voi kaavalla muuttaa, vaan siihen tarvittaisiin luonnonsuoj</w:t>
      </w:r>
      <w:r>
        <w:t>e</w:t>
      </w:r>
      <w:r>
        <w:t>lulain muutos. Mikäli kunta tarvitsee yksityisessä omistuksessa olevaa metsää esimerkiksi as</w:t>
      </w:r>
      <w:r>
        <w:t>u</w:t>
      </w:r>
      <w:r>
        <w:t>tuksen virkistyskäyttöön tai haluaa rajoittaa jonkin metsäalueen käsittelyä virkistyssyistä, ta</w:t>
      </w:r>
      <w:r>
        <w:t>r</w:t>
      </w:r>
      <w:r>
        <w:t>vittava alue tulisi kaavoittaa ja hankkia virkistyskäyttöön. Vastaavat seikat koskevat maatalo</w:t>
      </w:r>
      <w:r>
        <w:t>u</w:t>
      </w:r>
      <w:r>
        <w:t xml:space="preserve">den käytössä olevia peltoja, niittyjä ja laitumia. </w:t>
      </w:r>
    </w:p>
    <w:p w:rsidR="00BF4E5B" w:rsidRDefault="00BF4E5B" w:rsidP="00BF4E5B">
      <w:pPr>
        <w:pStyle w:val="Leipteksti"/>
      </w:pPr>
      <w:r>
        <w:t>Yksityisellä maanomistajalla ei ole Suomen lakien nojalla velvoitetta hoitaa talousmetsää, pe</w:t>
      </w:r>
      <w:r>
        <w:t>l</w:t>
      </w:r>
      <w:r>
        <w:t>toa, niittyä tai vastaavaa aluetta rakentamisen ulkopuolista aluetta mahdollisella kaavassa mä</w:t>
      </w:r>
      <w:r>
        <w:t>ä</w:t>
      </w:r>
      <w:r>
        <w:t xml:space="preserve">rätyllä tavalla tai muutoinkaan yleisen käytön tarpeisiin, eikä jokamiehenoikeutta voi kaavoittaa tai sitä kaavalla laventaa. Myöskään </w:t>
      </w:r>
      <w:proofErr w:type="spellStart"/>
      <w:r>
        <w:t>MRL:ssä</w:t>
      </w:r>
      <w:proofErr w:type="spellEnd"/>
      <w:r>
        <w:t xml:space="preserve"> ei ole säädöksiä tämänkaltaisesta toiminnasta. Sopimusmenettelyillä ja asianmukaisilla korvauksilla voi kunta tai valtio sopia yksityismaan vuokraamisesta tai ostaa alueita yhteiskunnan tarpeisiin. Maisematyöluvan voikin todeta olevan tarpeeton maa- ja metsätalousalueilla.</w:t>
      </w:r>
    </w:p>
    <w:p w:rsidR="00BF4E5B" w:rsidRDefault="00BF4E5B" w:rsidP="00BF4E5B">
      <w:pPr>
        <w:pStyle w:val="Leipteksti"/>
      </w:pPr>
      <w:r>
        <w:t>Perustelutekstiin tulisi lisätä arviointi maisematyölupamenettelyn mahdollisuuksista ja vaik</w:t>
      </w:r>
      <w:r>
        <w:t>u</w:t>
      </w:r>
      <w:r>
        <w:t>tuksista taajamien kaavoitettavissa ja kaavoitetuissa rakennuskortteleissa, joissa erityisesti ka</w:t>
      </w:r>
      <w:r>
        <w:t>u</w:t>
      </w:r>
      <w:r>
        <w:t>punkikuvallisista syistä puuryhmien, siirtokivilohkareiden tms</w:t>
      </w:r>
      <w:r w:rsidR="00E95AAB">
        <w:t>.</w:t>
      </w:r>
      <w:r>
        <w:t xml:space="preserve"> säilyttämistä voi viihtyisyys- ja monimuotoisuussyistä pitää tärkeänä. </w:t>
      </w:r>
      <w:r w:rsidR="00E95AAB">
        <w:br/>
      </w:r>
    </w:p>
    <w:p w:rsidR="00BF4E5B" w:rsidRPr="00E95AAB" w:rsidRDefault="00BF4E5B" w:rsidP="00BF4E5B">
      <w:pPr>
        <w:pStyle w:val="Leipteksti"/>
        <w:rPr>
          <w:i/>
        </w:rPr>
      </w:pPr>
      <w:r w:rsidRPr="00E95AAB">
        <w:rPr>
          <w:i/>
        </w:rPr>
        <w:t>Yksityiskohtaiset perustelut ja lakiehdotus</w:t>
      </w:r>
    </w:p>
    <w:p w:rsidR="00BF4E5B" w:rsidRDefault="00E95AAB" w:rsidP="00BF4E5B">
      <w:pPr>
        <w:pStyle w:val="Leipteksti"/>
      </w:pPr>
      <w:r>
        <w:t>Elinkeino-, liikenne</w:t>
      </w:r>
      <w:r w:rsidR="00BF4E5B">
        <w:t>-</w:t>
      </w:r>
      <w:r>
        <w:t xml:space="preserve"> </w:t>
      </w:r>
      <w:r w:rsidR="00BF4E5B">
        <w:t>j</w:t>
      </w:r>
      <w:r>
        <w:t>a ympäristökeskuksen tehtävät (18§), Viranomaisneuvottelu (</w:t>
      </w:r>
      <w:r w:rsidR="00BF4E5B">
        <w:t>66§)</w:t>
      </w:r>
    </w:p>
    <w:p w:rsidR="00BF4E5B" w:rsidRDefault="00E95AAB" w:rsidP="00BF4E5B">
      <w:pPr>
        <w:pStyle w:val="Leipteksti"/>
      </w:pPr>
      <w:proofErr w:type="spellStart"/>
      <w:r>
        <w:t>ELY-</w:t>
      </w:r>
      <w:r w:rsidR="00BF4E5B">
        <w:t>keskuksen</w:t>
      </w:r>
      <w:proofErr w:type="spellEnd"/>
      <w:r w:rsidR="00BF4E5B">
        <w:t xml:space="preserve"> tehtäviä ja valvontaroolia kuntien suuntaan esitetään muutettavaksi siten, että se koskisi vaikutuksiltaan valtakunnallisia ja merkittäviä maakunnallisia asioita. </w:t>
      </w:r>
      <w:proofErr w:type="spellStart"/>
      <w:r w:rsidR="00BF4E5B">
        <w:t>ELY:ssä</w:t>
      </w:r>
      <w:proofErr w:type="spellEnd"/>
      <w:r w:rsidR="00BF4E5B">
        <w:t xml:space="preserve"> toimii useampia valtion aluehallinnon viranomaistahoja, ja esityksen 18§:n 1 momentissa tulisi ko</w:t>
      </w:r>
      <w:r w:rsidR="00BF4E5B">
        <w:t>h</w:t>
      </w:r>
      <w:r w:rsidR="00BF4E5B">
        <w:t>dentua asianomainen ministeriön viranomaisiin. On hyvä tunnistaa, että kaavoitusasioihin vo</w:t>
      </w:r>
      <w:r w:rsidR="00BF4E5B">
        <w:t>i</w:t>
      </w:r>
      <w:r w:rsidR="00BF4E5B">
        <w:t xml:space="preserve">vat esittää näkökohtia toimialansa asioissa myös </w:t>
      </w:r>
      <w:proofErr w:type="spellStart"/>
      <w:r w:rsidR="00BF4E5B">
        <w:t>ELY-keskuksen</w:t>
      </w:r>
      <w:proofErr w:type="spellEnd"/>
      <w:r w:rsidR="00BF4E5B">
        <w:t xml:space="preserve"> muiden hallintojen edustajat.</w:t>
      </w:r>
    </w:p>
    <w:p w:rsidR="00BF4E5B" w:rsidRDefault="00BF4E5B" w:rsidP="00BF4E5B">
      <w:pPr>
        <w:pStyle w:val="Leipteksti"/>
      </w:pPr>
      <w:r>
        <w:t>Hallitusohjelman mukaisesti on parhaillaan valmistelussa useita hallintorakenteiden uudistam</w:t>
      </w:r>
      <w:r>
        <w:t>i</w:t>
      </w:r>
      <w:r>
        <w:t>seen tähtääviä toimia. Valmisteilla on maakuntauudistus, johon liittyen valtion aluehallintoa järjestellään u</w:t>
      </w:r>
      <w:r w:rsidR="00E95AAB">
        <w:t xml:space="preserve">udelleen ja muun muassa </w:t>
      </w:r>
      <w:proofErr w:type="spellStart"/>
      <w:r w:rsidR="00E95AAB">
        <w:t>ELY</w:t>
      </w:r>
      <w:r>
        <w:t>-keskukset</w:t>
      </w:r>
      <w:proofErr w:type="spellEnd"/>
      <w:r>
        <w:t xml:space="preserve"> lakkautetaan ja toiminnat järjestellään uudelleen. Valmisteilla olevan aluekehittämisjärjestelmä tulee toimimaan valtion ja maakuntien substanssiasioihin liittyvän yhteistyön ja aluekehittämisen kehikkona. Myös kuntien tehtävissä tapahtuu muutoksia. Valtakunnallisten alueidenkäyttötavoitteiden uudistaminen on parhaillaan käynnissä. Kaavoitusjärjestelmän ohjaukseen tehtiin tänä vuonna muutoksia. Maakuntakaavan vahvistamisesta luovuttiin ja säädettiin ministeriöiden ja </w:t>
      </w:r>
      <w:proofErr w:type="spellStart"/>
      <w:r>
        <w:t>E</w:t>
      </w:r>
      <w:r w:rsidR="00E95AAB">
        <w:t>LY-</w:t>
      </w:r>
      <w:r>
        <w:t>keskusten</w:t>
      </w:r>
      <w:proofErr w:type="spellEnd"/>
      <w:r>
        <w:t xml:space="preserve"> osallistumisesta ma</w:t>
      </w:r>
      <w:r>
        <w:t>a</w:t>
      </w:r>
      <w:r>
        <w:t xml:space="preserve">kuntakaavan neuvotteluihin kaavan laadintaan liittyvien valtakunnallisten ja muiden keskeisten tavoitteiden toteamiseksi.  </w:t>
      </w:r>
    </w:p>
    <w:p w:rsidR="00BF4E5B" w:rsidRDefault="00BF4E5B" w:rsidP="00BF4E5B">
      <w:pPr>
        <w:pStyle w:val="Leipteksti"/>
      </w:pPr>
      <w:r>
        <w:t>Maakunnan strategista suunnittelua ja muuta kehittämistä tullaan tekemään entistä enemmän eri toimijoiden yhteistyönä. Maakuntahallinnon toteutuessa kuntien yhteistyö kaavoituksessa tulee lisääntymään maakuntasuunnittelun ja eri hallinn</w:t>
      </w:r>
      <w:r w:rsidR="00131EC8">
        <w:t>onalojen viranomaisten kanssa.</w:t>
      </w:r>
      <w:r>
        <w:t xml:space="preserve"> Tässä vaihee</w:t>
      </w:r>
      <w:r>
        <w:t>s</w:t>
      </w:r>
      <w:r>
        <w:t xml:space="preserve">sa kunnille tulisikin tarjota mahdollisuudet verkottua eri yhteistyötahojen kanssa. </w:t>
      </w:r>
    </w:p>
    <w:p w:rsidR="00BF4E5B" w:rsidRDefault="00BF4E5B" w:rsidP="00BF4E5B">
      <w:pPr>
        <w:pStyle w:val="Leipteksti"/>
      </w:pPr>
      <w:r>
        <w:lastRenderedPageBreak/>
        <w:t>Maa- ja metsätalousministeriö pitää kaavajärjestelmän moniportaisuuden vähentämistä tärke</w:t>
      </w:r>
      <w:r>
        <w:t>ä</w:t>
      </w:r>
      <w:r>
        <w:t>nä. Valtakunnalliset ja merkittävät maakunnalliset asiat olisivat uusi, epäselvä ohjausväline. Niiden sisällöstä tai valintamekanismista ei erikseen säädettäisi, joten niistä saattaisi myös muodostua päällekkäinen säätelykeino valtakunnallisten alueidenkäyttötavoitteiden kanssa, m</w:t>
      </w:r>
      <w:r>
        <w:t>i</w:t>
      </w:r>
      <w:r>
        <w:t>kä heikentäisi ohjauksen selkiyttämistä. Valtakunnalliset alueidenkäyttötavoitteet kytkeytyvät erityisesti maakuntien maankäytön suunnitteluohjaukseen, ja maakuntakaava puolestaan antaa lähtökohtia merkittävien maakunnallisten seikkojen huomioon ottamiseksi kuntien kaavoitu</w:t>
      </w:r>
      <w:r>
        <w:t>k</w:t>
      </w:r>
      <w:r>
        <w:t xml:space="preserve">sen ja rakentamisen ohjauksessa. Kunnat osallistuvat maakuntakaavoitusprosessiin, jota kautta tietoa eri aiheita ja alueita koskevista merkittävistä </w:t>
      </w:r>
      <w:r w:rsidR="00033C47">
        <w:t>kysymyksistä välittyy kuntaan.</w:t>
      </w:r>
      <w:r>
        <w:t xml:space="preserve"> Yhteisty</w:t>
      </w:r>
      <w:r>
        <w:t>ö</w:t>
      </w:r>
      <w:r>
        <w:t>hön kannustanee myös maakunnan liittojen valitusoikeus kaavaa koskevista päätöksistä, vaikka sitä onkin harvoin käytetty.</w:t>
      </w:r>
    </w:p>
    <w:p w:rsidR="00BF4E5B" w:rsidRDefault="00033C47" w:rsidP="00BF4E5B">
      <w:pPr>
        <w:pStyle w:val="Leipteksti"/>
      </w:pPr>
      <w:proofErr w:type="spellStart"/>
      <w:r>
        <w:t>MRL:n</w:t>
      </w:r>
      <w:proofErr w:type="spellEnd"/>
      <w:r>
        <w:t xml:space="preserve"> 2</w:t>
      </w:r>
      <w:r w:rsidR="00CB2F73">
        <w:t xml:space="preserve"> </w:t>
      </w:r>
      <w:r>
        <w:t>§:n mukaan (21.12.2012)</w:t>
      </w:r>
      <w:r w:rsidR="00BF4E5B">
        <w:t xml:space="preserve"> lain soveltamisalasta on säädetty: ”Tässä laissa säädetään alueiden ja rakennusten suunnittelusta, rakentamisesta ja käytöstä.” Tehtävät koskevat rake</w:t>
      </w:r>
      <w:r w:rsidR="00BF4E5B">
        <w:t>n</w:t>
      </w:r>
      <w:r w:rsidR="00BF4E5B">
        <w:t>tamiseen tulevia alueita. Maa- ja metsätalousministe</w:t>
      </w:r>
      <w:r>
        <w:t>riö katsoo, että ehdotuksen 18</w:t>
      </w:r>
      <w:r w:rsidR="00BF4E5B">
        <w:t>.1</w:t>
      </w:r>
      <w:r w:rsidR="00CB2F73">
        <w:t xml:space="preserve"> </w:t>
      </w:r>
      <w:r w:rsidR="00BF4E5B">
        <w:t>§:n ”ku</w:t>
      </w:r>
      <w:r w:rsidR="00BF4E5B">
        <w:t>n</w:t>
      </w:r>
      <w:r w:rsidR="00BF4E5B">
        <w:t>nan alueiden käytön suunnittelu” ja 18.2</w:t>
      </w:r>
      <w:r w:rsidR="00CB2F73">
        <w:t xml:space="preserve"> </w:t>
      </w:r>
      <w:r w:rsidR="00BF4E5B">
        <w:t>§:n ”muussa alueidenkäytössä”- ilmaisut ovat ha</w:t>
      </w:r>
      <w:r w:rsidR="00BF4E5B">
        <w:t>r</w:t>
      </w:r>
      <w:r w:rsidR="00BF4E5B">
        <w:t>haanjohtavia, ja ne tulisi poistaa, jos niiden voi ymmärtää tarkoittavan esimerkiksi maa- ja me</w:t>
      </w:r>
      <w:r w:rsidR="00BF4E5B">
        <w:t>t</w:t>
      </w:r>
      <w:r w:rsidR="00BF4E5B">
        <w:t>sätalousalueiden käyttöön tai hoitoon kohdistuvia suunnitelmia. Näitä alueita koskevasta sä</w:t>
      </w:r>
      <w:r w:rsidR="00BF4E5B">
        <w:t>ä</w:t>
      </w:r>
      <w:r w:rsidR="00BF4E5B">
        <w:t>dösvalmistelusta ja viranomaistehtävistä vastaa maa- ja metsätalousministeriön hallinto. Saman hallinnon tehtävänä on määritellä ja tulkita myös niitä koskevat vaikutuksiltaan valtakunnalliset ja merkittävät maakunnallisesti asiat kaavaprosesseissa. Yksityiskohtaisiin perusteluihin tulee lisätä täsmennys, että 18</w:t>
      </w:r>
      <w:r w:rsidR="00CB2F73">
        <w:t xml:space="preserve"> </w:t>
      </w:r>
      <w:r w:rsidR="00BF4E5B">
        <w:t xml:space="preserve">§:n viranomaisohjauksessa ja valvonnassa on erityisesti </w:t>
      </w:r>
      <w:r w:rsidR="00CB2F73">
        <w:t>katsottava, ettei</w:t>
      </w:r>
      <w:r w:rsidR="00BF4E5B">
        <w:t xml:space="preserve"> se johda muiden hallinnonalojen, kuten maa- ja metsätaloutta ja maaseutuasioita koskevan ohjauksen kanssa päällekkäiseen säätelyyn. </w:t>
      </w:r>
    </w:p>
    <w:p w:rsidR="003A2BBA" w:rsidRDefault="003A2BBA" w:rsidP="00BF4E5B">
      <w:pPr>
        <w:pStyle w:val="Leipteksti"/>
      </w:pPr>
      <w:r>
        <w:t>Kun useat alueiden kehittämistä koskevat järjestelyt ovat vielä valmisteluvaiheessa ja ELY- keskusten asema muuttumassa, maa- ja metsätalousministeriö suhtautuu varauksella tässä va</w:t>
      </w:r>
      <w:r>
        <w:t>i</w:t>
      </w:r>
      <w:r>
        <w:t>heessa järjestelyyn, jossa lailla säädettäisiin yhden aluehallinnon osapuolen valvontaroolista kuntaan nähden valtakunnallisissa ja merkittävissä maakunnallisissa asioissa.</w:t>
      </w:r>
    </w:p>
    <w:p w:rsidR="00BF4E5B" w:rsidRDefault="00BF4E5B" w:rsidP="00BF4E5B">
      <w:pPr>
        <w:pStyle w:val="Leipteksti"/>
      </w:pPr>
      <w:r>
        <w:t>Maa- ja metsätal</w:t>
      </w:r>
      <w:r w:rsidR="008F66FC">
        <w:t xml:space="preserve">ousministeriö toteaa, että </w:t>
      </w:r>
      <w:proofErr w:type="spellStart"/>
      <w:r w:rsidR="008F66FC">
        <w:t>ELY-</w:t>
      </w:r>
      <w:r>
        <w:t>keskukselle</w:t>
      </w:r>
      <w:proofErr w:type="spellEnd"/>
      <w:r>
        <w:t xml:space="preserve"> jä</w:t>
      </w:r>
      <w:r w:rsidR="003A2BBA">
        <w:t>isi</w:t>
      </w:r>
      <w:r>
        <w:t xml:space="preserve"> voimassaolevan </w:t>
      </w:r>
      <w:proofErr w:type="spellStart"/>
      <w:r>
        <w:t>MRL:n</w:t>
      </w:r>
      <w:proofErr w:type="spellEnd"/>
      <w:r>
        <w:t xml:space="preserve"> m</w:t>
      </w:r>
      <w:r>
        <w:t>u</w:t>
      </w:r>
      <w:r>
        <w:t>kaan useita kuntien kaavoituksen ja rakentamisen ohjaukseen liittyviä tehtäviä, kuten MRL 174.4</w:t>
      </w:r>
      <w:r w:rsidR="00CB2F73">
        <w:t xml:space="preserve"> </w:t>
      </w:r>
      <w:r>
        <w:t>§:n lausunto kunnalle poikkeamisluvasta ja suunnittelutarveratkaisun myöntämisestä.</w:t>
      </w:r>
      <w:r w:rsidR="008F66FC">
        <w:br/>
      </w:r>
      <w:r>
        <w:t xml:space="preserve"> </w:t>
      </w:r>
    </w:p>
    <w:p w:rsidR="00BF4E5B" w:rsidRPr="008F66FC" w:rsidRDefault="00BF4E5B" w:rsidP="00BF4E5B">
      <w:pPr>
        <w:pStyle w:val="Leipteksti"/>
        <w:rPr>
          <w:i/>
        </w:rPr>
      </w:pPr>
      <w:r w:rsidRPr="008F66FC">
        <w:rPr>
          <w:i/>
        </w:rPr>
        <w:t>38</w:t>
      </w:r>
      <w:r w:rsidR="00CB2F73">
        <w:rPr>
          <w:i/>
        </w:rPr>
        <w:t xml:space="preserve"> </w:t>
      </w:r>
      <w:r w:rsidRPr="008F66FC">
        <w:rPr>
          <w:i/>
        </w:rPr>
        <w:t>§ Kiellot yleiskaavaa laadittaessa</w:t>
      </w:r>
    </w:p>
    <w:p w:rsidR="00BF4E5B" w:rsidRDefault="00BF4E5B" w:rsidP="00BF4E5B">
      <w:pPr>
        <w:pStyle w:val="Leipteksti"/>
      </w:pPr>
      <w:r>
        <w:t>Esitystä ei tulisi toteuttaa 15 vuoden pituisena. Kieltojen ja toimenpiderajoitusten voimassaol</w:t>
      </w:r>
      <w:r>
        <w:t>o</w:t>
      </w:r>
      <w:r>
        <w:t>ajaksi esitetty 15 vuotta on erittäin pitkä aika esimerkiksi yleiskaava-alueella olevien elinkein</w:t>
      </w:r>
      <w:r>
        <w:t>o</w:t>
      </w:r>
      <w:r>
        <w:t xml:space="preserve">toiminnan harjoittajien kannalta. </w:t>
      </w:r>
    </w:p>
    <w:p w:rsidR="00BF4E5B" w:rsidRDefault="00BF4E5B" w:rsidP="00BF4E5B">
      <w:pPr>
        <w:pStyle w:val="Leipteksti"/>
      </w:pPr>
      <w:r>
        <w:t>Voimassa olevan lain mukaan (MRL 204/ 2015) kaavoituksessa ja rakentamisen ohjauksessa tulee edistää myös elinkeinoelämän toimintaedellytyksiä ja toimivan kilpailun kehittymistä. Pitkät kiellot ja rajoitukset vaikeuttavat kaikkien kaavoituksen osapuolten toimintaa, lisäävät byrokratiaa ja voivat hidastaa tai pysäyttää toimintojen kehittämisen. Kaavoitusta tulisi joust</w:t>
      </w:r>
      <w:r>
        <w:t>a</w:t>
      </w:r>
      <w:r>
        <w:t>voittaa ja nopeuttaa nykyisestä, mihin lainmuutoksella tulisi tarjota välineitä. Koska kunnan t</w:t>
      </w:r>
      <w:r>
        <w:t>u</w:t>
      </w:r>
      <w:r>
        <w:t>lee kaavoittaa alueita kehityksen mukaan, se voi määritellä kaava-alueelle tarkoituksenmuka</w:t>
      </w:r>
      <w:r>
        <w:t>i</w:t>
      </w:r>
      <w:r>
        <w:t>sen suunnittelukokonaisuuden. Yleiskaava on kaavamuotona erityisen joustava, ja kunta voi yhden tai muutaman pinta-alaltaan ja asukasmäärältään suuren yleiskaavan sijaan laatia usea</w:t>
      </w:r>
      <w:r>
        <w:t>m</w:t>
      </w:r>
      <w:r>
        <w:t>pia pienialaisempia yleiskaavoja. Kunnassa kyetään tavallisesti ennakoimaan myös aluekohta</w:t>
      </w:r>
      <w:r>
        <w:t>i</w:t>
      </w:r>
      <w:r>
        <w:t>sesti käsiteltävistä toiminnoista aiheutuva valitusherkkyys.</w:t>
      </w:r>
    </w:p>
    <w:p w:rsidR="00BF4E5B" w:rsidRDefault="00BF4E5B" w:rsidP="00BF4E5B">
      <w:pPr>
        <w:pStyle w:val="Leipteksti"/>
      </w:pPr>
      <w:r>
        <w:lastRenderedPageBreak/>
        <w:t>Maa- ja metsätalousministeriö katsoo, että yleiskaavan laatimista koskevat kiellot ja toimenp</w:t>
      </w:r>
      <w:r>
        <w:t>i</w:t>
      </w:r>
      <w:r>
        <w:t>derajoitukset tulisi rajata enimmillään 10 vuoteen, esimerkiksi 5+3+2 vuotta.  Tällä voidaan l</w:t>
      </w:r>
      <w:r>
        <w:t>i</w:t>
      </w:r>
      <w:r>
        <w:t xml:space="preserve">sätä ja edistää myös perustuslain 15§:n omaisuudensuojaa. </w:t>
      </w:r>
      <w:r w:rsidR="008F66FC">
        <w:br/>
      </w:r>
    </w:p>
    <w:p w:rsidR="00BF4E5B" w:rsidRPr="008F66FC" w:rsidRDefault="00BF4E5B" w:rsidP="00BF4E5B">
      <w:pPr>
        <w:pStyle w:val="Leipteksti"/>
        <w:rPr>
          <w:i/>
        </w:rPr>
      </w:pPr>
      <w:r w:rsidRPr="008F66FC">
        <w:rPr>
          <w:i/>
        </w:rPr>
        <w:t>42</w:t>
      </w:r>
      <w:r w:rsidR="00CB2F73">
        <w:rPr>
          <w:i/>
        </w:rPr>
        <w:t xml:space="preserve"> </w:t>
      </w:r>
      <w:r w:rsidRPr="008F66FC">
        <w:rPr>
          <w:i/>
        </w:rPr>
        <w:t>§ Yleiskaavan oikeusvaikutukset muuhun suunnitteluun ja viranomaistoimintaan</w:t>
      </w:r>
    </w:p>
    <w:p w:rsidR="00BF4E5B" w:rsidRDefault="00BF4E5B" w:rsidP="00BF4E5B">
      <w:pPr>
        <w:pStyle w:val="Leipteksti"/>
      </w:pPr>
      <w:r>
        <w:t>Ehdotus laatia asemakaava ilmeisen vanhentuneen yleiskaavan vastaisesti on kannatettava. Sen avulla voidaan vähentää vain teknisistä syistä tehtävää työtä ja resurssien varaamista raskais</w:t>
      </w:r>
      <w:r w:rsidR="008F66FC">
        <w:t>iin yleiskaavaprosesseihin.</w:t>
      </w:r>
      <w:r>
        <w:t xml:space="preserve"> Kunnan voimavaroja voidaan suunnata asemakaavoituksella varmiste</w:t>
      </w:r>
      <w:r>
        <w:t>t</w:t>
      </w:r>
      <w:r>
        <w:t>tavaan toteutussuunnitteluun. Lain yksityiskohtaisissa perusteluissa tulee täsmentää esimerkein, millaisia rakentamiseen liittyvien perusteltujen syiden katsotaan olevan. Perustelujen esimer</w:t>
      </w:r>
      <w:r>
        <w:t>k</w:t>
      </w:r>
      <w:r>
        <w:t>kinä mainittu ”viheryhteys” on poistettava. Lainvalmistelussa ei saa antaa virheellisesti käsity</w:t>
      </w:r>
      <w:r>
        <w:t>s</w:t>
      </w:r>
      <w:r>
        <w:t xml:space="preserve">tä, että yleiskaavalla tai muullakaan kaavoituksella voisi määrätä maa- ja metsätalouskäyttöön jääville alueille päällekkäistä käyttöä. </w:t>
      </w:r>
      <w:r w:rsidR="008F66FC">
        <w:br/>
      </w:r>
      <w:r>
        <w:t xml:space="preserve"> </w:t>
      </w:r>
    </w:p>
    <w:p w:rsidR="00BF4E5B" w:rsidRPr="008F66FC" w:rsidRDefault="00BF4E5B" w:rsidP="00BF4E5B">
      <w:pPr>
        <w:pStyle w:val="Leipteksti"/>
        <w:rPr>
          <w:i/>
        </w:rPr>
      </w:pPr>
      <w:r w:rsidRPr="008F66FC">
        <w:rPr>
          <w:i/>
        </w:rPr>
        <w:t>44</w:t>
      </w:r>
      <w:r w:rsidR="00CB2F73">
        <w:rPr>
          <w:i/>
        </w:rPr>
        <w:t xml:space="preserve"> </w:t>
      </w:r>
      <w:r w:rsidRPr="008F66FC">
        <w:rPr>
          <w:i/>
        </w:rPr>
        <w:t>§ Yleiskaavan käyttö rakennusluvan perusteena</w:t>
      </w:r>
    </w:p>
    <w:p w:rsidR="00BF4E5B" w:rsidRDefault="00BF4E5B" w:rsidP="00BF4E5B">
      <w:pPr>
        <w:pStyle w:val="Leipteksti"/>
      </w:pPr>
      <w:r>
        <w:t>Ns. kyläyleiskaavan säädössisällön korjaaminen rakentamisen mahdollistavaksi on erityisen kannatettavaa. Ehdotus mahdollistaa erityisesti maaseutuvaltaisissa kunnissa asutuksen ja mu</w:t>
      </w:r>
      <w:r>
        <w:t>i</w:t>
      </w:r>
      <w:r>
        <w:t>den toimintojen tarkoituksenmukaista sijoittamista ja laajentamista päätaajamien ulkopuolisille alueille, jossa usein voi ryhtyä hyödyntämään esimerkiksi verkottuneesti uusiutuvaa energiaa. Kunnan houkuttelevuutta asuinpaikkana lisää, jos se voi osoittaa erityyppisiä alueita asutuksen käyttöön. Esimerkiksi Pohjanmaalla ja Lapissa on perinteisesti asutettu nauhamaisesti jokiva</w:t>
      </w:r>
      <w:r>
        <w:t>r</w:t>
      </w:r>
      <w:r>
        <w:t>sia, ja rakennuspaikan mitoitus on perustunut myös maaston ominaisuuksiin. Tällaista rakent</w:t>
      </w:r>
      <w:r>
        <w:t>a</w:t>
      </w:r>
      <w:r>
        <w:t>mista ei tule ohjata 73§:n ranta-alueiden loma-asutuksen säädöksen mukaisesti.</w:t>
      </w:r>
    </w:p>
    <w:p w:rsidR="00BF4E5B" w:rsidRDefault="00BF4E5B" w:rsidP="00BF4E5B">
      <w:pPr>
        <w:pStyle w:val="Leipteksti"/>
      </w:pPr>
      <w:r>
        <w:t>Maaseudulla kaikkea rakentamista ei ole tarpeen eikä mahdollista ohjata kaavoituksella.  Ka</w:t>
      </w:r>
      <w:r>
        <w:t>a</w:t>
      </w:r>
      <w:r>
        <w:t>voituksen ulkopuolista toimintaa ovat esimerkiksi maaseudun luontaiset elinkeinot, kuten maa- ja metsätalous ja niiden liitännäiselinkeinot. Näitä ohjataan alan säädöksillä. Ne ovat paikkap</w:t>
      </w:r>
      <w:r>
        <w:t>e</w:t>
      </w:r>
      <w:r>
        <w:t>rusteista toimintaa, usein tietystä paikasta riippuvaisia ja niiden kehitystarpeita on vaikea e</w:t>
      </w:r>
      <w:r>
        <w:t>n</w:t>
      </w:r>
      <w:r>
        <w:t xml:space="preserve">nustaa esimerkiksi EU-säädösten muutosten vuoksi. </w:t>
      </w:r>
      <w:r w:rsidR="008F66FC">
        <w:br/>
      </w:r>
      <w:r>
        <w:t xml:space="preserve"> </w:t>
      </w:r>
    </w:p>
    <w:p w:rsidR="00BF4E5B" w:rsidRPr="008F66FC" w:rsidRDefault="00BF4E5B" w:rsidP="00BF4E5B">
      <w:pPr>
        <w:pStyle w:val="Leipteksti"/>
        <w:rPr>
          <w:i/>
        </w:rPr>
      </w:pPr>
      <w:r w:rsidRPr="008F66FC">
        <w:rPr>
          <w:i/>
        </w:rPr>
        <w:t>71</w:t>
      </w:r>
      <w:r w:rsidR="00CB2F73">
        <w:rPr>
          <w:i/>
        </w:rPr>
        <w:t xml:space="preserve"> </w:t>
      </w:r>
      <w:r w:rsidRPr="008F66FC">
        <w:rPr>
          <w:i/>
        </w:rPr>
        <w:t>c</w:t>
      </w:r>
      <w:r w:rsidR="00CB2F73">
        <w:rPr>
          <w:i/>
        </w:rPr>
        <w:t xml:space="preserve"> </w:t>
      </w:r>
      <w:r w:rsidRPr="008F66FC">
        <w:rPr>
          <w:i/>
        </w:rPr>
        <w:t>§ Vähittäiskaupan suuryksikön sijoittuminen</w:t>
      </w:r>
    </w:p>
    <w:p w:rsidR="00BF4E5B" w:rsidRDefault="00BF4E5B" w:rsidP="00BF4E5B">
      <w:pPr>
        <w:pStyle w:val="Leipteksti"/>
      </w:pPr>
      <w:r>
        <w:t>Lakimuutos on kannatettava.</w:t>
      </w:r>
      <w:r w:rsidR="008F66FC">
        <w:t xml:space="preserve"> </w:t>
      </w:r>
      <w:r>
        <w:t>Sijaintipaikan ensisijaisena perusteena ollut kaupan laatu esitetään muutoksella korvattavaksi palvelujen saavutettavuudella, mikä mahdollistaa vähittäiskaupan suuryksikön sijoittamisen muu</w:t>
      </w:r>
      <w:r w:rsidR="008F66FC">
        <w:t>allekin kuin keskusta-alueelle.</w:t>
      </w:r>
      <w:r>
        <w:t xml:space="preserve"> Maaseudun palveluverkko on myös kaupan osalta merkittävästi harventunut. Suurella osalla maaseutualueita mahdollisen suuryksikön sijoittuminen mahdollisesti lisäisi asukkaiden ja yritysten tarvitsemia lähipalvel</w:t>
      </w:r>
      <w:r>
        <w:t>u</w:t>
      </w:r>
      <w:r>
        <w:t xml:space="preserve">ja. Kaupallisten yritysten konseptikehityksestä kuitenkin riippuu, sijoitetaanko niiden yhteyteen esimerkiksi posti- tai terveyspalveluja. </w:t>
      </w:r>
    </w:p>
    <w:p w:rsidR="00BF4E5B" w:rsidRDefault="00BF4E5B" w:rsidP="00BF4E5B">
      <w:pPr>
        <w:pStyle w:val="Leipteksti"/>
      </w:pPr>
      <w:r>
        <w:t>Kriteeriesimerkkejä palvelujen saavutettavuuden arvioimiseksi tulee lisätä perustelutekstiin. Kriteereissä tulisi ottaa huomioon esimerkiksi seudulla jo tapahtunut joukkoliikenteen lopp</w:t>
      </w:r>
      <w:r>
        <w:t>u</w:t>
      </w:r>
      <w:r>
        <w:t>minen tai merkittävä vähentyminen. Tavallisesti joukkoliikenne puuttuu tai on vaikeasti saav</w:t>
      </w:r>
      <w:r>
        <w:t>u</w:t>
      </w:r>
      <w:r>
        <w:t xml:space="preserve">tettavissa maaseututaajamien ulkopuolisilla alueilla. Maaseututaajamissakin se voi puuttua tai harvat vuorovälit voivat olla asioinnin kannalta hankalia. Kaupallisten palvelujen tavoittaminen maaseutualueilla edellyttää käytännössä nykyisin yksityisauton käyttämistä. Saavutettavuutta tulisikin realistisesti arvioida esimerkiksi kohteeseen liikennöitävyyden, esimerkiksi alueella </w:t>
      </w:r>
      <w:r>
        <w:lastRenderedPageBreak/>
        <w:t xml:space="preserve">olevan tai sinne rakennettavan tiestön avulla. </w:t>
      </w:r>
      <w:r w:rsidR="008F66FC">
        <w:br/>
      </w:r>
    </w:p>
    <w:p w:rsidR="00BF4E5B" w:rsidRPr="008F66FC" w:rsidRDefault="00BF4E5B" w:rsidP="00BF4E5B">
      <w:pPr>
        <w:pStyle w:val="Leipteksti"/>
        <w:rPr>
          <w:i/>
        </w:rPr>
      </w:pPr>
      <w:r w:rsidRPr="008F66FC">
        <w:rPr>
          <w:i/>
        </w:rPr>
        <w:t>73</w:t>
      </w:r>
      <w:r w:rsidR="00CB2F73">
        <w:rPr>
          <w:i/>
        </w:rPr>
        <w:t xml:space="preserve"> </w:t>
      </w:r>
      <w:r w:rsidRPr="008F66FC">
        <w:rPr>
          <w:i/>
        </w:rPr>
        <w:t>§ Ranta-alueiden loma-asutusta koskevan yleis- ja asemakaavan erityiset sisältövaatimukset</w:t>
      </w:r>
    </w:p>
    <w:p w:rsidR="00BF4E5B" w:rsidRDefault="00BF4E5B" w:rsidP="00BF4E5B">
      <w:pPr>
        <w:pStyle w:val="Leipteksti"/>
      </w:pPr>
      <w:r>
        <w:t>Esitys vaikuttaa 44</w:t>
      </w:r>
      <w:r w:rsidR="00CB2F73">
        <w:t xml:space="preserve"> </w:t>
      </w:r>
      <w:r>
        <w:t xml:space="preserve">§:n kyläalueiden suunnitteluun ja luo sille mahdollisuuksia. </w:t>
      </w:r>
    </w:p>
    <w:p w:rsidR="00BF4E5B" w:rsidRDefault="00BF4E5B" w:rsidP="00BF4E5B">
      <w:pPr>
        <w:pStyle w:val="Leipteksti"/>
      </w:pPr>
      <w:r>
        <w:t>Maa- ja metsätalousministeriö on esittänyt useaan otteeseen, että ranta-alueita koskeva sääntely tulisi ottaa erilliseen tarkasteluun. Esitetyn kaltaiset pienet muutokset eivät tosin juurikaan p</w:t>
      </w:r>
      <w:r>
        <w:t>a</w:t>
      </w:r>
      <w:r>
        <w:t>ranna nykytilaa. Nyt rantojen suunnittelussa ei voi hyödyntää ympäristön mahdollisuuksia, vaan ohjaus edellyttää suunnittelun perustamista kaavamaisiin mitoituslukuihin, rantaviivan ja erilaisten</w:t>
      </w:r>
      <w:r w:rsidR="008F66FC">
        <w:t xml:space="preserve"> etäisyyksien mittaamiseen sekä</w:t>
      </w:r>
      <w:r>
        <w:t xml:space="preserve"> rypäsmäisen rakentamisen vaatimuksiin teknisesti y</w:t>
      </w:r>
      <w:r>
        <w:t>h</w:t>
      </w:r>
      <w:r>
        <w:t>tenäisen rantaviivan säilyttämiseksi. Ohjauksella on estetty kylämäisten yhteisöjen muodost</w:t>
      </w:r>
      <w:r>
        <w:t>u</w:t>
      </w:r>
      <w:r>
        <w:t>misen mahdollisuuksia, ja monissa osin Suomea perinteinen rannoille rakentamisen ja täyde</w:t>
      </w:r>
      <w:r>
        <w:t>n</w:t>
      </w:r>
      <w:r>
        <w:t>nysrakentamisen tradition jatkuminen on poistunut, mikä vähentää alueen kulttuurisia arvoja.</w:t>
      </w:r>
      <w:r w:rsidR="008F66FC">
        <w:br/>
      </w:r>
    </w:p>
    <w:p w:rsidR="00BF4E5B" w:rsidRPr="008F66FC" w:rsidRDefault="00BF4E5B" w:rsidP="00BF4E5B">
      <w:pPr>
        <w:pStyle w:val="Leipteksti"/>
        <w:rPr>
          <w:i/>
        </w:rPr>
      </w:pPr>
      <w:r w:rsidRPr="008F66FC">
        <w:rPr>
          <w:i/>
        </w:rPr>
        <w:t>126</w:t>
      </w:r>
      <w:r w:rsidR="00CB2F73">
        <w:rPr>
          <w:i/>
        </w:rPr>
        <w:t xml:space="preserve"> </w:t>
      </w:r>
      <w:r w:rsidRPr="008F66FC">
        <w:rPr>
          <w:i/>
        </w:rPr>
        <w:t xml:space="preserve">a </w:t>
      </w:r>
      <w:r w:rsidR="00CB2F73">
        <w:rPr>
          <w:i/>
        </w:rPr>
        <w:t xml:space="preserve">§ </w:t>
      </w:r>
      <w:r w:rsidRPr="008F66FC">
        <w:rPr>
          <w:i/>
        </w:rPr>
        <w:t>Toimenpideluvan varaiset toimenpiteet</w:t>
      </w:r>
    </w:p>
    <w:p w:rsidR="00BF4E5B" w:rsidRDefault="00BF4E5B" w:rsidP="00BF4E5B">
      <w:pPr>
        <w:pStyle w:val="Leipteksti"/>
      </w:pPr>
      <w:r>
        <w:t>Aurinkopan</w:t>
      </w:r>
      <w:r w:rsidR="008F66FC">
        <w:t>e</w:t>
      </w:r>
      <w:r>
        <w:t xml:space="preserve">eleilla ja </w:t>
      </w:r>
      <w:proofErr w:type="spellStart"/>
      <w:r>
        <w:t>-keräimillä</w:t>
      </w:r>
      <w:proofErr w:type="spellEnd"/>
      <w:r>
        <w:t xml:space="preserve"> voidaan edistää uusiutuvan energian käyttöä kotitalouksissa, yrityksissä ja myös julkisella sektorilla. Ehdotus vaikuttaa maaseuturakentamisen näkökulmasta tarpeettomalta säätelyltä, mutta voinee olla tarpeen taajamissa. Aurinkoenergian hyödyntämistä ja laitteiden asianmukaista sijoittamista voitaisiin edistää monipuolisilla oppailla, joita laaditta</w:t>
      </w:r>
      <w:r>
        <w:t>i</w:t>
      </w:r>
      <w:r>
        <w:t>siin esimerkiksi valmistajien, kaupan sekä energia- ja rakennusalan asiantuntijoiden yhteisty</w:t>
      </w:r>
      <w:r>
        <w:t>ö</w:t>
      </w:r>
      <w:r>
        <w:t xml:space="preserve">nä. </w:t>
      </w:r>
      <w:r w:rsidR="008F66FC">
        <w:br/>
      </w:r>
    </w:p>
    <w:p w:rsidR="00BF4E5B" w:rsidRPr="008F66FC" w:rsidRDefault="00BF4E5B" w:rsidP="00BF4E5B">
      <w:pPr>
        <w:pStyle w:val="Leipteksti"/>
        <w:rPr>
          <w:i/>
        </w:rPr>
      </w:pPr>
      <w:r w:rsidRPr="008F66FC">
        <w:rPr>
          <w:i/>
        </w:rPr>
        <w:t>128</w:t>
      </w:r>
      <w:r w:rsidR="00CB2F73">
        <w:rPr>
          <w:i/>
        </w:rPr>
        <w:t xml:space="preserve"> </w:t>
      </w:r>
      <w:r w:rsidRPr="008F66FC">
        <w:rPr>
          <w:i/>
        </w:rPr>
        <w:t xml:space="preserve">§ Maisematyölupa </w:t>
      </w:r>
    </w:p>
    <w:p w:rsidR="00BF4E5B" w:rsidRDefault="00BF4E5B" w:rsidP="00BF4E5B">
      <w:pPr>
        <w:pStyle w:val="Leipteksti"/>
      </w:pPr>
      <w:r>
        <w:t>Maa- ja metsätalousministeriö pitää maisematyöluvasta esitettyä muutosta riittämättömänä, ja</w:t>
      </w:r>
      <w:r w:rsidR="003A2BBA">
        <w:t xml:space="preserve"> esittää sen muuttamista</w:t>
      </w:r>
      <w:r>
        <w:t xml:space="preserve">. </w:t>
      </w:r>
    </w:p>
    <w:p w:rsidR="000F451D" w:rsidRPr="000F451D" w:rsidRDefault="00870F53" w:rsidP="00870F53">
      <w:pPr>
        <w:pStyle w:val="Leipteksti"/>
        <w:rPr>
          <w:i/>
        </w:rPr>
      </w:pPr>
      <w:r w:rsidRPr="00870F53">
        <w:t>Ministeriö esittää, että ehdotetun 128 §:n 1 momentin 3 kohta muutetaan muotoon ”</w:t>
      </w:r>
      <w:r w:rsidRPr="000F451D">
        <w:rPr>
          <w:i/>
        </w:rPr>
        <w:t>yleiskaava-alueella, jos yleiskaavassa niin määrätään</w:t>
      </w:r>
      <w:r w:rsidR="00CB2F73">
        <w:rPr>
          <w:i/>
        </w:rPr>
        <w:t>;</w:t>
      </w:r>
      <w:r w:rsidR="000F451D" w:rsidRPr="000F451D">
        <w:rPr>
          <w:i/>
        </w:rPr>
        <w:t>”</w:t>
      </w:r>
    </w:p>
    <w:p w:rsidR="00870F53" w:rsidRPr="00870F53" w:rsidRDefault="000F451D" w:rsidP="00870F53">
      <w:pPr>
        <w:pStyle w:val="Leipteksti"/>
      </w:pPr>
      <w:r>
        <w:t>Lisäksi 128</w:t>
      </w:r>
      <w:r w:rsidR="00CB2F73">
        <w:t xml:space="preserve"> </w:t>
      </w:r>
      <w:r>
        <w:t xml:space="preserve">§:n </w:t>
      </w:r>
      <w:r w:rsidR="00CB2F73">
        <w:t>tulisi lisätä</w:t>
      </w:r>
      <w:r w:rsidR="00870F53" w:rsidRPr="00870F53">
        <w:t xml:space="preserve"> 2 momentti seuraavasti: </w:t>
      </w:r>
      <w:r w:rsidR="00870F53" w:rsidRPr="00730472">
        <w:rPr>
          <w:i/>
        </w:rPr>
        <w:t>”Mitä 1 momentissa säädetään, ei koske alueita, joilla metsän hoitamiseen ja käyttämiseen so</w:t>
      </w:r>
      <w:r w:rsidR="00730472">
        <w:rPr>
          <w:i/>
        </w:rPr>
        <w:t>velletaan metsälain (1093/1996)</w:t>
      </w:r>
      <w:r w:rsidR="00870F53" w:rsidRPr="00730472">
        <w:rPr>
          <w:i/>
        </w:rPr>
        <w:t> 2 §:n mukaan metsälakia, eikä pelto-, laidun-, niitty- ja vastaavilla maataloustuotannon alueilla.”</w:t>
      </w:r>
    </w:p>
    <w:p w:rsidR="00BF4E5B" w:rsidRDefault="00BF4E5B" w:rsidP="00870F53">
      <w:pPr>
        <w:pStyle w:val="Leipteksti"/>
      </w:pPr>
      <w:r>
        <w:t xml:space="preserve">Ministeriö esittää, että lakiesityksen maisematyölupaa koskeva kohta 3 tulee poistaa ja kohta 4 muutetaan kohdaksi 3.  </w:t>
      </w:r>
    </w:p>
    <w:p w:rsidR="00BF4E5B" w:rsidRDefault="00BF4E5B" w:rsidP="00BF4E5B">
      <w:pPr>
        <w:pStyle w:val="Leipteksti"/>
      </w:pPr>
      <w:r>
        <w:t>Ehdotukseen lisätään uusi 4 momentti: ”Maisematyölupaa ei voi käyttää alueilla, joilla mets</w:t>
      </w:r>
      <w:r>
        <w:t>ä</w:t>
      </w:r>
      <w:r>
        <w:t xml:space="preserve">laki on voimassa eikä pelto-, laidun-, niitty- ja vastaavilla maataloustuotannon alueilla”. </w:t>
      </w:r>
    </w:p>
    <w:p w:rsidR="00BF4E5B" w:rsidRDefault="00BF4E5B" w:rsidP="00BF4E5B">
      <w:pPr>
        <w:pStyle w:val="Leipteksti"/>
      </w:pPr>
      <w:r>
        <w:t>Hallituksen esityksessä maisematyölupaa esitetään rajattavaksi siten, että maisematyölupa ei koskisi metsän hakkuuta yleiskaavojen maa- ja metsätalousvaltaisilla alueilla. Ranta-asemakaavojen suoraan lain mukaan määräytyvä maisematyölupa ehdotetaan poistettavaksi. S</w:t>
      </w:r>
      <w:r>
        <w:t>i</w:t>
      </w:r>
      <w:r>
        <w:t>ten maisematyölupa tarvittaisiin ranta-asemakaava-alueilla vain silloin, jos kaavassa niin mä</w:t>
      </w:r>
      <w:r>
        <w:t>ä</w:t>
      </w:r>
      <w:r>
        <w:t xml:space="preserve">rättäisiin. Esityksen johdosta metsälaki ja maisematyölupavaatimus olisivat edelleen yhtä aikaa voimassa yleiskaavan virkistykseen varatuilla alueilla ja asemakaavan maa- ja metsätalouteen osoitetuilla alueilla, jos kaavoissa on niin määrätty. </w:t>
      </w:r>
    </w:p>
    <w:p w:rsidR="00802992" w:rsidRPr="00730472" w:rsidRDefault="00BF4E5B" w:rsidP="00730472">
      <w:pPr>
        <w:pStyle w:val="Leipteksti"/>
      </w:pPr>
      <w:r>
        <w:lastRenderedPageBreak/>
        <w:t xml:space="preserve">Ministeriö esitti </w:t>
      </w:r>
      <w:proofErr w:type="spellStart"/>
      <w:r>
        <w:t>MRL:n</w:t>
      </w:r>
      <w:proofErr w:type="spellEnd"/>
      <w:r>
        <w:t xml:space="preserve"> toimivuudesta antamassaan lausumassa, että maankäyttö- ja rakennu</w:t>
      </w:r>
      <w:r>
        <w:t>s</w:t>
      </w:r>
      <w:r>
        <w:t>lain ja maa- ja metsätaloutta ohjaavien säädösten rajapintoja on selkeytettävä niin, että päälle</w:t>
      </w:r>
      <w:r>
        <w:t>k</w:t>
      </w:r>
      <w:r>
        <w:t>käinen ohjaus poistuu. Myös kansalliseen metsästrategiaan on kirjattu, että metsälain ja maa</w:t>
      </w:r>
      <w:r>
        <w:t>n</w:t>
      </w:r>
      <w:r>
        <w:t>käyttö- ja rakennuslain rajapintoja selkeytetään päällekkäi</w:t>
      </w:r>
      <w:r w:rsidR="00BD25B3">
        <w:t>s</w:t>
      </w:r>
      <w:r>
        <w:t xml:space="preserve">en ohjauksen poistamiseksi. </w:t>
      </w:r>
    </w:p>
    <w:p w:rsidR="00BF4E5B" w:rsidRDefault="00BF4E5B" w:rsidP="00BF4E5B">
      <w:pPr>
        <w:pStyle w:val="Leipteksti"/>
      </w:pPr>
      <w:r>
        <w:t xml:space="preserve">Perustuslain mukaan yksilön oikeuksien ja velvollisuuksien perusteista on säädettävä lailla. Maa- ja metsätalousministeriö katsoo, ettei </w:t>
      </w:r>
      <w:proofErr w:type="spellStart"/>
      <w:r>
        <w:t>MRL:ssä</w:t>
      </w:r>
      <w:proofErr w:type="spellEnd"/>
      <w:r>
        <w:t xml:space="preserve"> voi säätää maanomistajalle </w:t>
      </w:r>
      <w:r w:rsidR="00995981">
        <w:t>tarkemmin y</w:t>
      </w:r>
      <w:r w:rsidR="00995981">
        <w:t>k</w:t>
      </w:r>
      <w:r w:rsidR="00995981">
        <w:t xml:space="preserve">silöimätöntä </w:t>
      </w:r>
      <w:r>
        <w:t xml:space="preserve">velvoitetta noudattaa esimerkiksi metsänhoitoon tai pellon viljelyyn velvoittavia kaavamääräyksiä. </w:t>
      </w:r>
    </w:p>
    <w:p w:rsidR="00BF4E5B" w:rsidRDefault="00BF4E5B" w:rsidP="00BF4E5B">
      <w:pPr>
        <w:pStyle w:val="Leipteksti"/>
      </w:pPr>
      <w:proofErr w:type="spellStart"/>
      <w:r>
        <w:t>MRL:a</w:t>
      </w:r>
      <w:proofErr w:type="spellEnd"/>
      <w:r>
        <w:t xml:space="preserve"> säädettäessä lainsäätäjän tavoitteena on ollut kaavan tavoitteiden toteuttaminen eri v</w:t>
      </w:r>
      <w:r>
        <w:t>i</w:t>
      </w:r>
      <w:r>
        <w:t>ranomaisten edistämisvelvoitteen ja lupajärjestelmien kautta. Tämä näkyy mm. lain 42 §:</w:t>
      </w:r>
      <w:proofErr w:type="spellStart"/>
      <w:r>
        <w:t>ssä</w:t>
      </w:r>
      <w:proofErr w:type="spellEnd"/>
      <w:r>
        <w:t>. Sen sijaan lain alkuperäisten</w:t>
      </w:r>
      <w:r w:rsidR="007A4569">
        <w:t xml:space="preserve"> </w:t>
      </w:r>
      <w:r>
        <w:t>perustelujen valossa näyttäisi siltä, että yksittäise</w:t>
      </w:r>
      <w:r w:rsidR="007A4569">
        <w:t>e</w:t>
      </w:r>
      <w:r>
        <w:t>n metsänomist</w:t>
      </w:r>
      <w:r>
        <w:t>a</w:t>
      </w:r>
      <w:r>
        <w:t>ja</w:t>
      </w:r>
      <w:r w:rsidR="007A4569">
        <w:t>a</w:t>
      </w:r>
      <w:r>
        <w:t>n ylettyvien oikeusvaikutusten on ajateltu rajoittuvan ainoastaan ehdolliseen rakentamisr</w:t>
      </w:r>
      <w:r>
        <w:t>a</w:t>
      </w:r>
      <w:r>
        <w:t>joitukseen ja suojelumääräykseen. Alkuperäisen lain perusteluissa todetaan: ”Ehdollinen rake</w:t>
      </w:r>
      <w:r>
        <w:t>n</w:t>
      </w:r>
      <w:r>
        <w:t>tamisrajoitus olisi suojelumääräyksen ohella ainoa yleiskaavasta johtuva automaattinen suor</w:t>
      </w:r>
      <w:r>
        <w:t>a</w:t>
      </w:r>
      <w:r>
        <w:t xml:space="preserve">nainen maanomistajaan kohdistuva oikeusvaikutus.” Lain maanomistajalle tuomia velvoitteita ei pidä pyrkiä laajentamaan alkuperäisestä tarkoituksesta. </w:t>
      </w:r>
    </w:p>
    <w:p w:rsidR="00BF4E5B" w:rsidRDefault="00BF4E5B" w:rsidP="00BF4E5B">
      <w:pPr>
        <w:pStyle w:val="Leipteksti"/>
      </w:pPr>
      <w:r>
        <w:t xml:space="preserve">Maisematyölupavaatimuksen poistaminen ei saa johtaa siihen, että metsänkäsittelyä tai </w:t>
      </w:r>
      <w:r w:rsidR="00B13774">
        <w:t>pelt</w:t>
      </w:r>
      <w:r w:rsidR="00B13774">
        <w:t>o</w:t>
      </w:r>
      <w:r>
        <w:t xml:space="preserve">viljelyä alettaisiin ohjata </w:t>
      </w:r>
      <w:r w:rsidR="00B13774">
        <w:t xml:space="preserve">esimerkiksi yleiskaavan </w:t>
      </w:r>
      <w:r>
        <w:t xml:space="preserve">kaavamääräyksillä. </w:t>
      </w:r>
    </w:p>
    <w:p w:rsidR="00B13774" w:rsidRDefault="00BF4E5B" w:rsidP="00BF4E5B">
      <w:pPr>
        <w:pStyle w:val="Leipteksti"/>
      </w:pPr>
      <w:r>
        <w:t>Yleiskaavoissa on tarpeen merkitä ja merkinnöin ja määräyksin ohjata taajamia ja muita va</w:t>
      </w:r>
      <w:r>
        <w:t>s</w:t>
      </w:r>
      <w:r>
        <w:t>taavia rakentamiskäyttöön tulevia alueita. Maa- ja metsätalousalueelle kaavoitetuilla MU-, MY- tai vastaavilla merkinnöillä kuitenkin suunnataan alueille yleistä ulkoilua ja virkistyskäyttöä tai halutaan va</w:t>
      </w:r>
      <w:r w:rsidR="007A4569">
        <w:t>rjella ympäristöarvoja</w:t>
      </w:r>
      <w:r>
        <w:t xml:space="preserve"> ilman</w:t>
      </w:r>
      <w:r w:rsidR="007A4569">
        <w:t>,</w:t>
      </w:r>
      <w:r>
        <w:t xml:space="preserve"> että käytön tai rajoitusten laajuudesta ja haitoista oso</w:t>
      </w:r>
      <w:r>
        <w:t>i</w:t>
      </w:r>
      <w:r>
        <w:t>tetaan vastuutahoja maanomistajalle. Jokamiehenoikeuden laventaminen kaavalla ei ole ma</w:t>
      </w:r>
      <w:r>
        <w:t>h</w:t>
      </w:r>
      <w:r>
        <w:t xml:space="preserve">dollista, ja kaavalla päällekkäiskäytön osoittaminen johtaa maanomistajan elinkeinotoiminnan häiriöihin ja rajoituksiin ilman, että tällaisia ohjauskäytäntöjä olisi </w:t>
      </w:r>
      <w:proofErr w:type="spellStart"/>
      <w:r>
        <w:t>MRL:n</w:t>
      </w:r>
      <w:proofErr w:type="spellEnd"/>
      <w:r>
        <w:t xml:space="preserve"> korvaussäädöksissä aikanaan ennakoitu. </w:t>
      </w:r>
    </w:p>
    <w:p w:rsidR="00BF4E5B" w:rsidRDefault="00BF4E5B" w:rsidP="00BF4E5B">
      <w:pPr>
        <w:pStyle w:val="Leipteksti"/>
      </w:pPr>
      <w:r>
        <w:t>Ministeriö katsookin, että maa- ja metsätalouskäyttöön jäävät alueet on syytä jättää kaavoitu</w:t>
      </w:r>
      <w:r>
        <w:t>k</w:t>
      </w:r>
      <w:r>
        <w:t xml:space="preserve">sen ulkopuolelle, mikä estää päällekkäisestä säätelystä johtuvat moninaiset ongelmat. </w:t>
      </w:r>
    </w:p>
    <w:p w:rsidR="00BF4E5B" w:rsidRDefault="00BF4E5B" w:rsidP="00BF4E5B">
      <w:pPr>
        <w:pStyle w:val="Leipteksti"/>
      </w:pPr>
      <w:r>
        <w:t>Maa- ja metsätalousministeriö esittää, että maisematyölupaa koskevia perusteluja täsmennettä</w:t>
      </w:r>
      <w:r>
        <w:t>i</w:t>
      </w:r>
      <w:r>
        <w:t>siin toteamuksella, että muutoksen tarkoituksena on poistaa metsälain ja maakäyttö- ja rake</w:t>
      </w:r>
      <w:r>
        <w:t>n</w:t>
      </w:r>
      <w:r>
        <w:t>nuslain päällekkä</w:t>
      </w:r>
      <w:r w:rsidR="007A4569">
        <w:t xml:space="preserve">inen ohjaus metsienhoidon </w:t>
      </w:r>
      <w:r>
        <w:t xml:space="preserve">ja </w:t>
      </w:r>
      <w:r w:rsidR="007A4569">
        <w:t>-</w:t>
      </w:r>
      <w:r>
        <w:t>käsittelyn osalta ja vastaavasti viljelyä ja muuta maatalouden harjoittamista ohjaavan moninaisen säätel</w:t>
      </w:r>
      <w:r w:rsidR="007A4569">
        <w:t>yn ja maankäyttö- ja rakennuslai</w:t>
      </w:r>
      <w:r>
        <w:t>n pää</w:t>
      </w:r>
      <w:r>
        <w:t>l</w:t>
      </w:r>
      <w:r>
        <w:t>lekkäinen ohjaus. Perusteluihin tulee lisätä, että metsänkäsittelyä tai viljelymenetelmiä ei voi kaavalla ohjata</w:t>
      </w:r>
      <w:r w:rsidR="000E5F30">
        <w:t xml:space="preserve"> eikä maanomistajalla ole niitä</w:t>
      </w:r>
      <w:r>
        <w:t xml:space="preserve"> ohjaavia määräyksiä velvollisuus noudattaa, josta syystä niitä koskevia kaavamääräyksiä ei tule antaa (valitusperuste).  Maisematyöluvan poist</w:t>
      </w:r>
      <w:r>
        <w:t>u</w:t>
      </w:r>
      <w:r>
        <w:t>minen maa- ja metsätalousvaltaisilta alueilta tarkoittaa, ettei kaavalla olisi oikeusvaikutuksia tuotannossa tarpeelliseen metsän tai viljelyalueen käsittelyyn. Metsänkäsittelyä ohjaa vain me</w:t>
      </w:r>
      <w:r>
        <w:t>t</w:t>
      </w:r>
      <w:r>
        <w:t>sälaki, ja maatalouden harjoittamista sitä koskevat useat kansalliset ja EU-säädökset. Täsme</w:t>
      </w:r>
      <w:r>
        <w:t>n</w:t>
      </w:r>
      <w:r>
        <w:t>nykset ovat tarpeen maanomistajan oikeuksien ja velvollisuuksien täsmentämiseksi sekä peru</w:t>
      </w:r>
      <w:r>
        <w:t>s</w:t>
      </w:r>
      <w:r>
        <w:t>tuslain omaisuuden suojaa koskevan 15</w:t>
      </w:r>
      <w:r w:rsidR="00CB2F73">
        <w:t xml:space="preserve"> </w:t>
      </w:r>
      <w:r>
        <w:t>§:n perusoikeuden kannalta omaisuuden suojan tu</w:t>
      </w:r>
      <w:r>
        <w:t>r</w:t>
      </w:r>
      <w:r>
        <w:t xml:space="preserve">vaamiseksi. </w:t>
      </w:r>
      <w:r w:rsidR="000E5F30">
        <w:br/>
      </w:r>
    </w:p>
    <w:p w:rsidR="00BF4E5B" w:rsidRPr="000E5F30" w:rsidRDefault="00BF4E5B" w:rsidP="00CB2F73">
      <w:pPr>
        <w:pStyle w:val="Leipteksti"/>
        <w:keepNext/>
        <w:ind w:left="1298"/>
        <w:rPr>
          <w:i/>
        </w:rPr>
      </w:pPr>
      <w:r w:rsidRPr="000E5F30">
        <w:rPr>
          <w:i/>
        </w:rPr>
        <w:lastRenderedPageBreak/>
        <w:t>129</w:t>
      </w:r>
      <w:r w:rsidR="00CB2F73">
        <w:rPr>
          <w:i/>
        </w:rPr>
        <w:t xml:space="preserve"> </w:t>
      </w:r>
      <w:r w:rsidRPr="000E5F30">
        <w:rPr>
          <w:i/>
        </w:rPr>
        <w:t>a</w:t>
      </w:r>
      <w:r w:rsidR="00CB2F73">
        <w:rPr>
          <w:i/>
        </w:rPr>
        <w:t xml:space="preserve"> </w:t>
      </w:r>
      <w:r w:rsidRPr="000E5F30">
        <w:rPr>
          <w:i/>
        </w:rPr>
        <w:t>§ Rakennusjärjestyksen määräys vapaa-ajan asunnon käyttötarkoituksen muuttamisesta</w:t>
      </w:r>
    </w:p>
    <w:p w:rsidR="00BF4E5B" w:rsidRDefault="00BF4E5B" w:rsidP="00BF4E5B">
      <w:pPr>
        <w:pStyle w:val="Leipteksti"/>
      </w:pPr>
      <w:r>
        <w:t>Ehdotus on kannatettava. Perusteluihin voisi lisätä muutoksen positiivisista vaikutuksista ku</w:t>
      </w:r>
      <w:r>
        <w:t>n</w:t>
      </w:r>
      <w:r>
        <w:t>nan asukasmäärään ja palvelujen ylläpitämiseen. Ehdotuksen 2 momentin haitallisia vaikutu</w:t>
      </w:r>
      <w:r>
        <w:t>k</w:t>
      </w:r>
      <w:r>
        <w:t>sia kunnan toimintaan on perustelutekstissä selvennetty.</w:t>
      </w:r>
      <w:r w:rsidR="000E5F30">
        <w:br/>
      </w:r>
    </w:p>
    <w:p w:rsidR="00BF4E5B" w:rsidRPr="000E5F30" w:rsidRDefault="00BF4E5B" w:rsidP="00BF4E5B">
      <w:pPr>
        <w:pStyle w:val="Leipteksti"/>
        <w:rPr>
          <w:i/>
        </w:rPr>
      </w:pPr>
      <w:r w:rsidRPr="000E5F30">
        <w:rPr>
          <w:i/>
        </w:rPr>
        <w:t>137</w:t>
      </w:r>
      <w:r w:rsidR="00CB2F73">
        <w:rPr>
          <w:i/>
        </w:rPr>
        <w:t xml:space="preserve"> </w:t>
      </w:r>
      <w:r w:rsidRPr="000E5F30">
        <w:rPr>
          <w:i/>
        </w:rPr>
        <w:t>§ Rakennusluvan erityiset edellytykset suunnittelutarvealueella</w:t>
      </w:r>
    </w:p>
    <w:p w:rsidR="00BF4E5B" w:rsidRDefault="00BF4E5B" w:rsidP="00BF4E5B">
      <w:pPr>
        <w:pStyle w:val="Leipteksti"/>
      </w:pPr>
      <w:r>
        <w:t xml:space="preserve">Tarpeellisen rakentamisen edistäminen erilaisilla menettelyillä on kannatettavaa. </w:t>
      </w:r>
    </w:p>
    <w:p w:rsidR="00BF4E5B" w:rsidRDefault="00BF4E5B" w:rsidP="00BF4E5B">
      <w:pPr>
        <w:pStyle w:val="Leipteksti"/>
      </w:pPr>
      <w:r>
        <w:t>Esitys on kuitenkin menettelyllisesti raskas, ehdoiltaan epäselvä ja keskeneräinen, ja jättää sijaa tulkinnallisuuksille. Esitetyssä muodossaan se entisestään kasvattaisi nykyistä suunnittelutarv</w:t>
      </w:r>
      <w:r>
        <w:t>e</w:t>
      </w:r>
      <w:r>
        <w:t>alueelle rakentamisen sijoittamisen monivaiheist</w:t>
      </w:r>
      <w:r w:rsidR="000E5F30">
        <w:t>a arviointi- ja lupamenettelyä.</w:t>
      </w:r>
      <w:r>
        <w:t xml:space="preserve"> Lisäksi se ko</w:t>
      </w:r>
      <w:r>
        <w:t>s</w:t>
      </w:r>
      <w:r>
        <w:t>kisi pääosin yksittäistä asuinrakentamista. Raskas menettely ei houkuttaisi etsimään asuinpai</w:t>
      </w:r>
      <w:r>
        <w:t>k</w:t>
      </w:r>
      <w:r>
        <w:t xml:space="preserve">kaa mm. taajaman läheisiltä attraktiivisilta alueilta. Monimutkaisesta, hallinnollisesti raskaasta ja epätasapuolisesta suunnittelutarvemenettelystä luopuminen on syytä ottaa yhdeksi </w:t>
      </w:r>
      <w:proofErr w:type="spellStart"/>
      <w:r>
        <w:t>MRL:n</w:t>
      </w:r>
      <w:proofErr w:type="spellEnd"/>
      <w:r>
        <w:t xml:space="preserve"> uudistamisen tavoitteeksi. </w:t>
      </w:r>
    </w:p>
    <w:p w:rsidR="00BF4E5B" w:rsidRDefault="00BF4E5B" w:rsidP="00BF4E5B">
      <w:pPr>
        <w:pStyle w:val="Leipteksti"/>
      </w:pPr>
      <w:r>
        <w:t>Esityksen 2-kohdan edellytyksillä viitataan kaupunkimaisiin olosuhteisiin. Maaseudulla vaadi</w:t>
      </w:r>
      <w:r>
        <w:t>t</w:t>
      </w:r>
      <w:r>
        <w:t xml:space="preserve">tavia edellytyksiä ei kunnan palveluina ole </w:t>
      </w:r>
      <w:proofErr w:type="gramStart"/>
      <w:r>
        <w:t>juurikaan</w:t>
      </w:r>
      <w:proofErr w:type="gramEnd"/>
      <w:r>
        <w:t xml:space="preserve"> tarjolla. Yhdyskuntatekniset verkostot ovat tavallisesti asukkaiden ylläpitämiä yksityisteitä ja vesiosuuskuntia. Palvelujen saavutett</w:t>
      </w:r>
      <w:r>
        <w:t>a</w:t>
      </w:r>
      <w:r>
        <w:t>vuus</w:t>
      </w:r>
      <w:r w:rsidR="000E5F30">
        <w:t xml:space="preserve"> </w:t>
      </w:r>
      <w:r>
        <w:t>-kohtaa olisi myös syytä tarkentaa. Suurella osalla maaseutua palvelukonseptit ovat muu</w:t>
      </w:r>
      <w:r>
        <w:t>t</w:t>
      </w:r>
      <w:r>
        <w:t xml:space="preserve">tuneet, ja mikäli lähipalveluita on saatavilla, ne voivat olla yksityisten tarjoamia, liikkuvia tai ns. </w:t>
      </w:r>
      <w:proofErr w:type="spellStart"/>
      <w:r>
        <w:t>mobiilipalveluja</w:t>
      </w:r>
      <w:proofErr w:type="spellEnd"/>
      <w:r>
        <w:t xml:space="preserve">. </w:t>
      </w:r>
    </w:p>
    <w:p w:rsidR="00BF4E5B" w:rsidRPr="00730472" w:rsidRDefault="00BF4E5B" w:rsidP="00BF4E5B">
      <w:pPr>
        <w:pStyle w:val="Leipteksti"/>
      </w:pPr>
      <w:r>
        <w:t>Esityksen 2 momentissa poikkeus voisi sallia olevan asunnon tai maatilan talousrakennuksen rakentamisen. Kuntien suunnittelutarvealuerajausten ei tule olla esteenä pitkäjänteiseen ja suunnitelmalliseen elinkeinon harjoittamiseen. Maataloustuotanto on paikkaperustaista, jossa tuotantovälineenä on useimmiten ympäröivä maa. Tuotantoa ohjaavissa säädöksissä on vaat</w:t>
      </w:r>
      <w:r>
        <w:t>i</w:t>
      </w:r>
      <w:r>
        <w:t>muksia esimerkiksi tuotteiden käsittelylle ja varastoinnille, mikä lisää tarvittavien rakennusten määrää. Lisäksi Suomen oloissa rakennuksia tarvitaan sääolojen vuoksi. Esityksessä tulee ottaa huomioon maaseutuelinkeinoihin kohdistuvan alan säätelyn vaatimukset sekä myös elinkein</w:t>
      </w:r>
      <w:r>
        <w:t>o</w:t>
      </w:r>
      <w:r>
        <w:t>jen muuttuminen. Maaseutuyrityksen rakennustarvetta ei tule rajoittaa hiukan tulkinnalliseen ma</w:t>
      </w:r>
      <w:r w:rsidR="00924567">
        <w:t>a- ja metsätalousrakentamiseen.</w:t>
      </w:r>
      <w:r>
        <w:t xml:space="preserve"> Luonnonvaraelinkeinojen reunaehdot voivat muuttua eli</w:t>
      </w:r>
      <w:r>
        <w:t>n</w:t>
      </w:r>
      <w:r>
        <w:t>keinonharjoittajasta riippumatta esimerkiksi EU- järjestelmien vuoksi, ja toiminnanharjoittajan tulee voida hyödyntää rakennuspaikkaansa sop</w:t>
      </w:r>
      <w:r w:rsidR="00924567">
        <w:t>ivilla liitännäiselinkeinoilla.</w:t>
      </w:r>
      <w:r>
        <w:t xml:space="preserve"> Tällaisesta </w:t>
      </w:r>
      <w:r w:rsidRPr="00730472">
        <w:t>toimi</w:t>
      </w:r>
      <w:r w:rsidRPr="00730472">
        <w:t>n</w:t>
      </w:r>
      <w:r w:rsidRPr="00730472">
        <w:t xml:space="preserve">nasta on hyöty myös muulle yhteiskunnalle. </w:t>
      </w:r>
    </w:p>
    <w:p w:rsidR="00BF4E5B" w:rsidRPr="00730472" w:rsidRDefault="00BF4E5B" w:rsidP="00BF4E5B">
      <w:pPr>
        <w:pStyle w:val="Leipteksti"/>
      </w:pPr>
      <w:r w:rsidRPr="00730472">
        <w:t>Esityksen 2-momentin sanamuotoa tulee muuttaa seuraavasti</w:t>
      </w:r>
      <w:r w:rsidR="00924567" w:rsidRPr="00730472">
        <w:t xml:space="preserve"> ”…</w:t>
      </w:r>
      <w:r w:rsidRPr="00730472">
        <w:rPr>
          <w:i/>
        </w:rPr>
        <w:t>olevaan maaseutuyritykseen kuuluvan elinkeinonharjoittamista varten tarvittavan rakennuksen”.</w:t>
      </w:r>
      <w:r w:rsidR="00924567" w:rsidRPr="00730472">
        <w:rPr>
          <w:i/>
        </w:rPr>
        <w:br/>
      </w:r>
    </w:p>
    <w:p w:rsidR="00BF4E5B" w:rsidRPr="00924567" w:rsidRDefault="00BF4E5B" w:rsidP="00BF4E5B">
      <w:pPr>
        <w:pStyle w:val="Leipteksti"/>
        <w:rPr>
          <w:i/>
        </w:rPr>
      </w:pPr>
      <w:r w:rsidRPr="00924567">
        <w:rPr>
          <w:i/>
        </w:rPr>
        <w:t>137 a § Alueellinen päätös rakennusluvan erityisistä edellytyksistä suunnittelutarvealueella</w:t>
      </w:r>
    </w:p>
    <w:p w:rsidR="00BF4E5B" w:rsidRDefault="00BF4E5B" w:rsidP="00BF4E5B">
      <w:pPr>
        <w:pStyle w:val="Leipteksti"/>
      </w:pPr>
      <w:r>
        <w:t xml:space="preserve">Esityksen tavoite on kannatettava. Menettely muistuttaa rakennuslain aikana käytössä ollutta alueellista poikkeuslupaa, ja menettelyn uudelleennimeämistä tulisikin harkita, esimerkiksi ”alueellinen poikkeuslupa”. Ehdotettu prosessi on kuitenkin tarpeettoman monivaiheinen, muodostuu hallinnollisesti raskaaksi ja prosessuaalinen osuus jäänee kunkin kunnan omaan harkintaan. Lisäksi vain kerrallinen 10 vuoden enimmäisvoimassaoloaika soveltuu huonosti maaseutumaisen rakentamisen hitaaseen sykliin. </w:t>
      </w:r>
    </w:p>
    <w:p w:rsidR="00BF4E5B" w:rsidRDefault="00BF4E5B" w:rsidP="00BF4E5B">
      <w:pPr>
        <w:pStyle w:val="Leipteksti"/>
      </w:pPr>
      <w:r>
        <w:lastRenderedPageBreak/>
        <w:t xml:space="preserve">Ministeriö esittää, että 10 vuoden voimassaoloajan uusiminen tulee olla mahdollista kunnan päätöksellä. Kunta pystyy arvioimaan alueellisen päätöksen jatkamisen tarpeellisuuden.  </w:t>
      </w:r>
      <w:r w:rsidR="00924567">
        <w:br/>
      </w:r>
      <w:r>
        <w:t xml:space="preserve"> </w:t>
      </w:r>
    </w:p>
    <w:p w:rsidR="00BF4E5B" w:rsidRPr="00924567" w:rsidRDefault="00BF4E5B" w:rsidP="00BF4E5B">
      <w:pPr>
        <w:pStyle w:val="Leipteksti"/>
        <w:rPr>
          <w:i/>
        </w:rPr>
      </w:pPr>
      <w:r w:rsidRPr="00924567">
        <w:rPr>
          <w:i/>
        </w:rPr>
        <w:t>192</w:t>
      </w:r>
      <w:r w:rsidR="00CB2F73">
        <w:rPr>
          <w:i/>
        </w:rPr>
        <w:t xml:space="preserve"> </w:t>
      </w:r>
      <w:r w:rsidRPr="00924567">
        <w:rPr>
          <w:i/>
        </w:rPr>
        <w:t>§ Valitusoikeus rakennus- ja toimenpidelupapäätöksestä sekä maisematyölupa- ja purk</w:t>
      </w:r>
      <w:r w:rsidRPr="00924567">
        <w:rPr>
          <w:i/>
        </w:rPr>
        <w:t>a</w:t>
      </w:r>
      <w:r w:rsidRPr="00924567">
        <w:rPr>
          <w:i/>
        </w:rPr>
        <w:t>mispäätöksestä</w:t>
      </w:r>
    </w:p>
    <w:p w:rsidR="00BF4E5B" w:rsidRPr="00DC3DA2" w:rsidRDefault="00BF4E5B" w:rsidP="00BF4E5B">
      <w:pPr>
        <w:pStyle w:val="Leipteksti"/>
      </w:pPr>
      <w:proofErr w:type="spellStart"/>
      <w:r>
        <w:t>ELY-keskuksella</w:t>
      </w:r>
      <w:proofErr w:type="spellEnd"/>
      <w:r>
        <w:t xml:space="preserve"> säilyisi valitusoikeus toimivaltansa puitteissa. Esitykseen tulee tehdä oikaisu, että ELY- keskuksen tehtävistä säädetään nyt erillisessä laissa, mikä on eri asia kuin </w:t>
      </w:r>
      <w:proofErr w:type="spellStart"/>
      <w:r>
        <w:t>MRL:n</w:t>
      </w:r>
      <w:proofErr w:type="spellEnd"/>
      <w:r>
        <w:t xml:space="preserve"> mukaiset suppeat tehtävät. Lisäksi valmisteilla olevat hallinnonuudistukset muuttavat organ</w:t>
      </w:r>
      <w:r>
        <w:t>i</w:t>
      </w:r>
      <w:r>
        <w:t>saatioita ja tehtäviä. Ehdotuksen perustelutekstiin tulee lisätä esimerkkejä, mikä taho määritt</w:t>
      </w:r>
      <w:r>
        <w:t>e</w:t>
      </w:r>
      <w:r>
        <w:t xml:space="preserve">lee ja millä tavoin purkamisen kohteen valtakunnallisen tai maakunnallisen merkityksen, miten omistaja- ja viranomaistahot voivat osallistua </w:t>
      </w:r>
      <w:r w:rsidRPr="00DC3DA2">
        <w:t xml:space="preserve">merkitysten määrittelyyn, ja mistä kyseistä tietoa on saatavilla. </w:t>
      </w:r>
      <w:r w:rsidR="00924567" w:rsidRPr="00DC3DA2">
        <w:br/>
      </w:r>
    </w:p>
    <w:p w:rsidR="00BF4E5B" w:rsidRPr="00DC3DA2" w:rsidRDefault="00BF4E5B" w:rsidP="00BF4E5B">
      <w:pPr>
        <w:pStyle w:val="Leipteksti"/>
        <w:rPr>
          <w:i/>
        </w:rPr>
      </w:pPr>
      <w:r w:rsidRPr="00DC3DA2">
        <w:rPr>
          <w:i/>
        </w:rPr>
        <w:t>193</w:t>
      </w:r>
      <w:r w:rsidR="00CB2F73">
        <w:rPr>
          <w:i/>
        </w:rPr>
        <w:t xml:space="preserve"> </w:t>
      </w:r>
      <w:r w:rsidRPr="00DC3DA2">
        <w:rPr>
          <w:i/>
        </w:rPr>
        <w:t>§ Valitusoikeus poikkeamispäätöksestä ja suunnittelutarveratkaisusta</w:t>
      </w:r>
    </w:p>
    <w:p w:rsidR="00BF4E5B" w:rsidRPr="00DC3DA2" w:rsidRDefault="00BF4E5B" w:rsidP="00BF4E5B">
      <w:pPr>
        <w:pStyle w:val="Leipteksti"/>
      </w:pPr>
      <w:r w:rsidRPr="00DC3DA2">
        <w:t>Kohta</w:t>
      </w:r>
      <w:r w:rsidR="00924567" w:rsidRPr="00DC3DA2">
        <w:t>a</w:t>
      </w:r>
      <w:r w:rsidRPr="00DC3DA2">
        <w:t xml:space="preserve"> 3 valitusoikeutta koskevaa luettel</w:t>
      </w:r>
      <w:r w:rsidR="00924567" w:rsidRPr="00DC3DA2">
        <w:t>oa tulee täydentää seuraavasti:</w:t>
      </w:r>
      <w:r w:rsidRPr="00DC3DA2">
        <w:t xml:space="preserve"> ”</w:t>
      </w:r>
      <w:r w:rsidR="00924567" w:rsidRPr="00DC3DA2">
        <w:t>…</w:t>
      </w:r>
      <w:r w:rsidRPr="00DC3DA2">
        <w:rPr>
          <w:i/>
        </w:rPr>
        <w:t>sillä, jonka asum</w:t>
      </w:r>
      <w:r w:rsidRPr="00DC3DA2">
        <w:rPr>
          <w:i/>
        </w:rPr>
        <w:t>i</w:t>
      </w:r>
      <w:r w:rsidRPr="00DC3DA2">
        <w:rPr>
          <w:i/>
        </w:rPr>
        <w:t>seen, työntekoon, elinkeinoon tai muihin oloihin hanke saattaa huomattavasti vaikuttaa</w:t>
      </w:r>
      <w:r w:rsidRPr="00DC3DA2">
        <w:t>”. Lis</w:t>
      </w:r>
      <w:r w:rsidRPr="00DC3DA2">
        <w:t>ä</w:t>
      </w:r>
      <w:r w:rsidRPr="00DC3DA2">
        <w:t>ys edistäisi omaisuudensuojaa koskevan perusoikeuden toteutumista.</w:t>
      </w:r>
    </w:p>
    <w:p w:rsidR="00BF4E5B" w:rsidRDefault="00BF4E5B" w:rsidP="00BF4E5B">
      <w:pPr>
        <w:pStyle w:val="Leipteksti"/>
      </w:pPr>
      <w:r w:rsidRPr="00DC3DA2">
        <w:t xml:space="preserve">Poikkeaminen ja suunnittelutarveratkaisut koskevat erityisesti </w:t>
      </w:r>
      <w:r>
        <w:t>maaseudun rakentamista. Pyk</w:t>
      </w:r>
      <w:r>
        <w:t>ä</w:t>
      </w:r>
      <w:r>
        <w:t>lässä tulisi ottaa huomioon maaseudulla tapahtuva kehitys ja työllisyysnäkökohdat. Elinkeinon harjoittamisedellytysten turvaaminen on paikkaan perustuville maaseutuelinkeinoille toiminnan edellytys. Esimerkiksi kotieläintaloudessa rakennusten yhteys peltoihin on välttämätöntä. Y</w:t>
      </w:r>
      <w:r>
        <w:t>h</w:t>
      </w:r>
      <w:r>
        <w:t>tymämuotoiset maatilat lisääntyvät, mutta kaikki osakkaat eivät välttämättä omista maata, r</w:t>
      </w:r>
      <w:r>
        <w:t>a</w:t>
      </w:r>
      <w:r>
        <w:t>kennuksia tai eläimiä, vaan kukin voi omistaa esimerkiksi jonkin osan niistä. Elinkeinonharjoi</w:t>
      </w:r>
      <w:r>
        <w:t>t</w:t>
      </w:r>
      <w:r>
        <w:t>tamiseen vaikuttaa oleellisesti, miten suunnittelutarveratkaisu tai poikkeaminen paikkaan peru</w:t>
      </w:r>
      <w:r>
        <w:t>s</w:t>
      </w:r>
      <w:r>
        <w:t xml:space="preserve">tuvassa elinkeinossa ratkaistaan, ja mitä vaikutuksia sillä on toimeentuloon, työllistymiseen ja elämisen mahdollisuuksiin.  </w:t>
      </w:r>
    </w:p>
    <w:p w:rsidR="00BF4E5B" w:rsidRDefault="00BF4E5B" w:rsidP="00BF4E5B">
      <w:pPr>
        <w:pStyle w:val="Leipteksti"/>
      </w:pPr>
      <w:r>
        <w:t>Rajoittamattoman valitusoikeuden poistuminen yhdeltä viranoma</w:t>
      </w:r>
      <w:r w:rsidR="00924567">
        <w:t xml:space="preserve">iselta on tasapuolista, samoin </w:t>
      </w:r>
      <w:r>
        <w:t>valitusoikeuden rajaaminen kunkin viranomaisen toimialaan kuuluviin asioihin on perusteltua. Ehdotuksen perustelutekstiä ”valitusoikeus rajattaisiin ainoastaan sen toimialaan kuuluviin as</w:t>
      </w:r>
      <w:r>
        <w:t>i</w:t>
      </w:r>
      <w:r>
        <w:t>oihin” tulisi</w:t>
      </w:r>
      <w:r w:rsidR="00924567">
        <w:t xml:space="preserve"> kuitenkin selventää. Epäselvää tässä on, miten </w:t>
      </w:r>
      <w:proofErr w:type="spellStart"/>
      <w:r w:rsidR="00924567">
        <w:t>ELY</w:t>
      </w:r>
      <w:r>
        <w:t>:n</w:t>
      </w:r>
      <w:proofErr w:type="spellEnd"/>
      <w:r>
        <w:t xml:space="preserve"> toimiala tässä rajattaisiin, ja vo</w:t>
      </w:r>
      <w:r w:rsidR="00924567">
        <w:t>isiko ympäristöministeriö</w:t>
      </w:r>
      <w:r>
        <w:t xml:space="preserve">n aluehallinto </w:t>
      </w:r>
      <w:proofErr w:type="spellStart"/>
      <w:r>
        <w:t>ELY:ssä</w:t>
      </w:r>
      <w:proofErr w:type="spellEnd"/>
      <w:r>
        <w:t xml:space="preserve"> käyttää valitusoikeutta myös </w:t>
      </w:r>
      <w:proofErr w:type="spellStart"/>
      <w:r>
        <w:t>ELY:n</w:t>
      </w:r>
      <w:proofErr w:type="spellEnd"/>
      <w:r>
        <w:t xml:space="preserve"> muiden hallinnonalojen nimis</w:t>
      </w:r>
      <w:r w:rsidR="00924567">
        <w:t>sä.</w:t>
      </w:r>
      <w:r>
        <w:t xml:space="preserve"> </w:t>
      </w:r>
      <w:proofErr w:type="spellStart"/>
      <w:r>
        <w:t>ELY:ssä</w:t>
      </w:r>
      <w:proofErr w:type="spellEnd"/>
      <w:r>
        <w:t xml:space="preserve"> toimii useampi valtion aluehallinto, ja arviot esimerkiksi va</w:t>
      </w:r>
      <w:r>
        <w:t>i</w:t>
      </w:r>
      <w:r>
        <w:t>kutuksista ympäristöä koskeviin asioihin voivat johtaa eri viranomaisten säädösten valossa er</w:t>
      </w:r>
      <w:r>
        <w:t>i</w:t>
      </w:r>
      <w:r>
        <w:t>laisiin tulkintoihin.</w:t>
      </w:r>
      <w:r w:rsidR="00924567">
        <w:br/>
      </w:r>
    </w:p>
    <w:p w:rsidR="00BF4E5B" w:rsidRPr="00924567" w:rsidRDefault="00BF4E5B" w:rsidP="00BF4E5B">
      <w:pPr>
        <w:pStyle w:val="Leipteksti"/>
        <w:rPr>
          <w:i/>
        </w:rPr>
      </w:pPr>
      <w:r w:rsidRPr="00924567">
        <w:rPr>
          <w:i/>
        </w:rPr>
        <w:t xml:space="preserve">Kohta 4 Esityksen suhde perustuslakiin </w:t>
      </w:r>
    </w:p>
    <w:p w:rsidR="00BF4E5B" w:rsidRDefault="00BF4E5B" w:rsidP="00BF4E5B">
      <w:pPr>
        <w:pStyle w:val="Leipteksti"/>
      </w:pPr>
      <w:r>
        <w:t>Lakiesityksen useat pykälät liittyvät omaisuuden suojaan.  Perusoikeuksien rajoitusedellytysten (perusoikeuksien rajoittamista koskevat vaatimukset) mukaan mm. omaisuudensuojan rajoitu</w:t>
      </w:r>
      <w:r>
        <w:t>k</w:t>
      </w:r>
      <w:r>
        <w:t xml:space="preserve">sista täytyy säätää täsmällisesti ja tarkkarajaisesti lailla. </w:t>
      </w:r>
    </w:p>
    <w:p w:rsidR="00BF4E5B" w:rsidRDefault="00BF4E5B" w:rsidP="00BF4E5B">
      <w:pPr>
        <w:pStyle w:val="Leipteksti"/>
      </w:pPr>
      <w:r>
        <w:t>Lakiesityksen perusteluissa mainitaan ehdotuksen mm. joustavoittavan maa- ja metsätalouteen liittyvää rakentamista ja samoin maisematyöluvan poistamisen maa- ja metsätalousvaltaisiksi osoitetuilta alueilta. Kuten maa- ja metsätalousministeriön lausunnosta edellä kuvatusti ilm</w:t>
      </w:r>
      <w:r>
        <w:t>e</w:t>
      </w:r>
      <w:r>
        <w:lastRenderedPageBreak/>
        <w:t>nee, lakiesitys ei esitetyssä muodossa toisi juurikaan mainittuja parannuksia tai helpotuksia omaisuudensuojan näkökulmasta.</w:t>
      </w:r>
    </w:p>
    <w:p w:rsidR="00BF4E5B" w:rsidRDefault="00BF4E5B" w:rsidP="00BF4E5B">
      <w:pPr>
        <w:pStyle w:val="Leipteksti"/>
      </w:pPr>
      <w:proofErr w:type="spellStart"/>
      <w:r>
        <w:t>MRL:n</w:t>
      </w:r>
      <w:proofErr w:type="spellEnd"/>
      <w:r>
        <w:t xml:space="preserve"> ja sektorisäädösten rajapintoja on tarve selkiyttää tähänkin lainmuutosehdotukseen, jo</w:t>
      </w:r>
      <w:r>
        <w:t>s</w:t>
      </w:r>
      <w:r>
        <w:t>sa esiintyy ristiriitaa j</w:t>
      </w:r>
      <w:r w:rsidR="009C056F">
        <w:t xml:space="preserve">a päällekkäisyyttä maa- </w:t>
      </w:r>
      <w:r>
        <w:t>ja metsätaloutta koskevien sektorisäädösten kan</w:t>
      </w:r>
      <w:r>
        <w:t>s</w:t>
      </w:r>
      <w:r w:rsidR="009C056F">
        <w:t>sa.</w:t>
      </w:r>
      <w:r>
        <w:t xml:space="preserve"> Lakiehdotus lisäisi epäselvyyksiä viranomaisohjaukseen ja rajoittaisi omaisuudensuojaa koskevaa perusoikeutta. Myöskään esityksen perustelutekstien nojalla ei ohjauksen pitäisi jo</w:t>
      </w:r>
      <w:r>
        <w:t>h</w:t>
      </w:r>
      <w:r>
        <w:t>taa toimivaltaongelmiin eikä merkittäviin käyttörajoituksiin, tulonmenetyksiin ja osapuolille kustannuksia aiheuttaviin lupa- ja valitusmenettelyihin.</w:t>
      </w:r>
    </w:p>
    <w:p w:rsidR="00BF4E5B" w:rsidRDefault="00BF4E5B" w:rsidP="00BF4E5B">
      <w:pPr>
        <w:pStyle w:val="Leipteksti"/>
      </w:pPr>
      <w:r>
        <w:t>Lakiluonnokseen keskeisimmin liittyvät perusoikeudet on esitetty hyvin suppeasti. Perustuslain 20 §</w:t>
      </w:r>
      <w:r w:rsidR="00CB2F73">
        <w:t>:n</w:t>
      </w:r>
      <w:r>
        <w:t xml:space="preserve"> mukaan vastuu ympäristöstä kuuluu kaikille. Nykykäytännön valossa voidaan esittää, e</w:t>
      </w:r>
      <w:r>
        <w:t>t</w:t>
      </w:r>
      <w:r>
        <w:t>tä vastuuta ympäristöstä on perustuslain vastaisesti sälytetty liikaa, jopa yksinomaan maa</w:t>
      </w:r>
      <w:r>
        <w:t>n</w:t>
      </w:r>
      <w:r>
        <w:t>omistajille. Maisematyöluvan rajoittaminen parantaa ympäristöperusoikeuden toteutumista. Tekstiin on myös syytä tarkkasanaisemmin vahvistaa se, että kaavoituksella ei yksityiselle maanomistajalle voida asettaa velvoitteita turvata, hoitaa tai ylläpitää alueita yleisen käytön tarpeisiin. Ympäristöperusoikeuden lisäksi tämä käsite turvaa myös perustuslain 6 §</w:t>
      </w:r>
      <w:r w:rsidR="00CB2F73">
        <w:t>:n</w:t>
      </w:r>
      <w:r>
        <w:t xml:space="preserve"> muka</w:t>
      </w:r>
      <w:r>
        <w:t>i</w:t>
      </w:r>
      <w:r>
        <w:t>sen yhdenvertai</w:t>
      </w:r>
      <w:r w:rsidR="009C056F">
        <w:t xml:space="preserve">suuden toteutumista.  </w:t>
      </w:r>
    </w:p>
    <w:p w:rsidR="00BF4E5B" w:rsidRDefault="00BF4E5B" w:rsidP="00BF4E5B">
      <w:pPr>
        <w:pStyle w:val="Leipteksti"/>
      </w:pPr>
      <w:r>
        <w:t xml:space="preserve">Perustuslain </w:t>
      </w:r>
      <w:r w:rsidR="00CB2F73">
        <w:t xml:space="preserve">15 §:n </w:t>
      </w:r>
      <w:r>
        <w:t>mukaisen omaisuuden suojan periaatetta on asiallista korostaa tässä esity</w:t>
      </w:r>
      <w:r>
        <w:t>k</w:t>
      </w:r>
      <w:r>
        <w:t>sessä, koska hallitus on luvannut parantaa omaisuuden suojaa. Nykykäytännön mukainen to</w:t>
      </w:r>
      <w:r>
        <w:t>i</w:t>
      </w:r>
      <w:r>
        <w:t>minta pahimmillaan tarjoaa maanomistajalle vain välttävästi tai ei lainkaan omaisuuden suojaa. Lainsäätäjä voi suojata omaisuutta minimitas</w:t>
      </w:r>
      <w:r w:rsidR="009C056F">
        <w:t xml:space="preserve">oa paremmin. Tässä esityksessä </w:t>
      </w:r>
      <w:r>
        <w:t>oleellista olisi t</w:t>
      </w:r>
      <w:r>
        <w:t>o</w:t>
      </w:r>
      <w:r>
        <w:t>deta, että muutoksilla ei ole tarkoitus puuttua hajarakentamisoikeuteen. Tämä vahvistaisi käs</w:t>
      </w:r>
      <w:r>
        <w:t>i</w:t>
      </w:r>
      <w:r>
        <w:t xml:space="preserve">tystä siitä, että muutoksilla ei ole tarkoitus luoda uudenlaisia kaavoituspaineita niille alueille, joissa kaavaohjaaminen ei ole välttämätöntä.  </w:t>
      </w:r>
    </w:p>
    <w:p w:rsidR="00BF4E5B" w:rsidRDefault="00BF4E5B" w:rsidP="00BF4E5B">
      <w:pPr>
        <w:pStyle w:val="Leipteksti"/>
      </w:pPr>
      <w:r>
        <w:t>On syytä</w:t>
      </w:r>
      <w:r w:rsidR="009C056F">
        <w:t xml:space="preserve"> huomioida myös perustuslain 80 </w:t>
      </w:r>
      <w:r>
        <w:t>§, jonka mukaan ihmisen oikeuksista ja velvoll</w:t>
      </w:r>
      <w:r>
        <w:t>i</w:t>
      </w:r>
      <w:r>
        <w:t>suuksista on säädettävä lailla. Suomen lainsäädäntö ei tunne sellaisia normeja, joilla yksityiselle maanomistajalle voitaisiin asettaa velvoitteita hoitaa metsiä, pitää peltoja viljeltyinä tai pitää muitakaan rakentamisen ulkopuolisia alueita esimerkiksi maisemallisesti tietyssä kunnossa. Myöskään maankäyttö- ja rakennuslaissa ei ole säädöksiä tämän</w:t>
      </w:r>
      <w:r w:rsidR="009C056F">
        <w:t xml:space="preserve"> </w:t>
      </w:r>
      <w:r>
        <w:t xml:space="preserve">kaltaisesta toiminnasta. Siksi onkin oleellista, että </w:t>
      </w:r>
      <w:r w:rsidR="00995981">
        <w:t>ehdotukseen sisältyvä</w:t>
      </w:r>
      <w:r>
        <w:t xml:space="preserve"> näkemys yleiskaavamääräysten suorista oikeusva</w:t>
      </w:r>
      <w:r>
        <w:t>i</w:t>
      </w:r>
      <w:r>
        <w:t>kutuksista maanomistajaan korjataan vastaamaan perustuslakia</w:t>
      </w:r>
      <w:r w:rsidR="00995981">
        <w:t xml:space="preserve"> ja muuta lainsäädäntöä</w:t>
      </w:r>
      <w:r>
        <w:t xml:space="preserve">.  </w:t>
      </w:r>
    </w:p>
    <w:p w:rsidR="00B13774" w:rsidRDefault="00B13774" w:rsidP="00B13774">
      <w:pPr>
        <w:pStyle w:val="Leipteksti"/>
      </w:pPr>
      <w:r>
        <w:t>Lausunnon on valmistellut yliarkkitehti Raija Seppänen</w:t>
      </w:r>
      <w:r w:rsidR="00730472">
        <w:t>.</w:t>
      </w:r>
    </w:p>
    <w:p w:rsidR="00337C5B" w:rsidRDefault="00337C5B" w:rsidP="00BF4E5B">
      <w:pPr>
        <w:pStyle w:val="Leipteksti"/>
      </w:pPr>
    </w:p>
    <w:p w:rsidR="00AE2E8F" w:rsidRPr="00402975" w:rsidRDefault="00AE2E8F" w:rsidP="00BF4E5B">
      <w:pPr>
        <w:pStyle w:val="Leipteksti"/>
      </w:pPr>
    </w:p>
    <w:p w:rsidR="00BF4E5B" w:rsidRPr="00402975" w:rsidRDefault="00BF4E5B" w:rsidP="00BF4E5B">
      <w:pPr>
        <w:pStyle w:val="Leipteksti"/>
      </w:pPr>
      <w:r w:rsidRPr="00402975">
        <w:t>Osastopäällikkö</w:t>
      </w:r>
      <w:r w:rsidRPr="00402975">
        <w:tab/>
      </w:r>
      <w:r w:rsidRPr="00402975">
        <w:tab/>
        <w:t>Juha S. Niemelä</w:t>
      </w:r>
    </w:p>
    <w:p w:rsidR="00AE2E8F" w:rsidRPr="00402975" w:rsidRDefault="00AE2E8F" w:rsidP="00BF4E5B">
      <w:pPr>
        <w:pStyle w:val="Leipteksti"/>
      </w:pPr>
    </w:p>
    <w:p w:rsidR="00BF4E5B" w:rsidRPr="00402975" w:rsidRDefault="00BF4E5B" w:rsidP="00BF4E5B">
      <w:pPr>
        <w:pStyle w:val="Leipteksti"/>
      </w:pPr>
      <w:r w:rsidRPr="00402975">
        <w:t>Neuvotteleva virkamies</w:t>
      </w:r>
      <w:r w:rsidRPr="00402975">
        <w:tab/>
      </w:r>
      <w:r w:rsidRPr="00402975">
        <w:tab/>
        <w:t>Johanna Niemivuo-Lahti</w:t>
      </w:r>
    </w:p>
    <w:p w:rsidR="00BF4E5B" w:rsidRDefault="00BF4E5B" w:rsidP="00BF4E5B">
      <w:pPr>
        <w:pStyle w:val="Leipteksti"/>
        <w:ind w:left="0"/>
        <w:rPr>
          <w:b/>
        </w:rPr>
      </w:pPr>
    </w:p>
    <w:p w:rsidR="00BF4E5B" w:rsidRDefault="00BF4E5B" w:rsidP="0023738A">
      <w:pPr>
        <w:pStyle w:val="Leipteksti"/>
        <w:ind w:left="0"/>
      </w:pPr>
      <w:r w:rsidRPr="00402975">
        <w:rPr>
          <w:b/>
        </w:rPr>
        <w:t>Tämä lausunto on lähetetty vain sähköisenä. Allekirjoitettu lausunto on maa- ja metsätalousministeriön arkistossa.</w:t>
      </w:r>
      <w:r w:rsidR="00337C5B">
        <w:rPr>
          <w:b/>
        </w:rPr>
        <w:br/>
      </w:r>
      <w:r w:rsidRPr="00402975">
        <w:rPr>
          <w:b/>
        </w:rPr>
        <w:br/>
        <w:t>TIEDOKSI</w:t>
      </w:r>
      <w:r w:rsidRPr="00402975">
        <w:rPr>
          <w:b/>
        </w:rPr>
        <w:tab/>
      </w:r>
      <w:r w:rsidRPr="00402975">
        <w:t>Maa- ja metsätalousministeriön osastot</w:t>
      </w:r>
    </w:p>
    <w:sectPr w:rsidR="00BF4E5B" w:rsidSect="000A0790">
      <w:headerReference w:type="default" r:id="rId9"/>
      <w:headerReference w:type="first" r:id="rId10"/>
      <w:footerReference w:type="first" r:id="rId11"/>
      <w:pgSz w:w="11906" w:h="16838" w:code="9"/>
      <w:pgMar w:top="562" w:right="1008" w:bottom="1728" w:left="1152" w:header="562" w:footer="720"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QAAAEoA" wne:acdName="acd0" wne:fciIndexBasedOn="0065"/>
    <wne:acd wne:argValue="AQAAAEIA" wne:acdName="acd1" wne:fciIndexBasedOn="0065"/>
    <wne:acd wne:acdName="acd2" wne:fciIndexBasedOn="0065"/>
    <wne:acd wne:argValue="AgBMAGkAaQBrAHUAIABhAHMAaQBhAGsAaQByAGoAYQBzAHMAYQA=" wne:acdName="acd3" wne:fciIndexBasedOn="0065"/>
    <wne:acd wne:argValue="AgBMAGUAaQBwAOQAdABlAGsAcwB0AGkAIAB2AGEAcwBlAG4A" wne:acdName="acd4" wne:fciIndexBasedOn="0065"/>
    <wne:acd wne:argValue="AgBMAHUAZQB0AHQAZQBsAG8AIABuAHUAbQBlAHIAbwA=" wne:acdName="acd5" wne:fciIndexBasedOn="0065"/>
    <wne:acd wne:argValue="AgBMAHUAZQB0AHQAZQBsAG8AIAB2AGkAaQB2AGEA" wne:acdName="acd6" wne:fciIndexBasedOn="0065"/>
    <wne:acd wne:acdName="acd7" wne:fciIndexBasedOn="0065"/>
    <wne:acd wne:acdName="acd8" wne:fciIndexBasedOn="0065"/>
    <wne:acd wne:argValue="AgBMAGUAaQBwAOQAdABlAGsAcwB0AGkAIABpAGwAbQBhAG4AIABrAHAAbAAtAHYA5ABsAGkA5A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BE5" w:rsidRDefault="00875BE5">
      <w:r>
        <w:separator/>
      </w:r>
    </w:p>
  </w:endnote>
  <w:endnote w:type="continuationSeparator" w:id="0">
    <w:p w:rsidR="00875BE5" w:rsidRDefault="0087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9923"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7"/>
      <w:gridCol w:w="2977"/>
      <w:gridCol w:w="3969"/>
    </w:tblGrid>
    <w:tr w:rsidR="000A0790" w:rsidRPr="00337497">
      <w:trPr>
        <w:trHeight w:hRule="exact" w:val="660"/>
      </w:trPr>
      <w:tc>
        <w:tcPr>
          <w:tcW w:w="2977" w:type="dxa"/>
        </w:tcPr>
        <w:p w:rsidR="000A0790" w:rsidRPr="00337497" w:rsidRDefault="00D10ADB" w:rsidP="000A0790">
          <w:pPr>
            <w:rPr>
              <w:rFonts w:ascii="Lucida Sans Unicode" w:eastAsia="Arial Unicode MS" w:hAnsi="Lucida Sans Unicode"/>
              <w:color w:val="212123"/>
              <w:sz w:val="14"/>
              <w:szCs w:val="14"/>
            </w:rPr>
          </w:pPr>
          <w:r>
            <w:rPr>
              <w:rFonts w:ascii="Lucida Sans Unicode" w:eastAsia="Arial Unicode MS" w:hAnsi="Lucida Sans Unicode"/>
              <w:noProof/>
              <w:color w:val="212123"/>
              <w:spacing w:val="2"/>
              <w:sz w:val="14"/>
              <w:szCs w:val="14"/>
            </w:rPr>
            <w:drawing>
              <wp:inline distT="0" distB="0" distL="0" distR="0">
                <wp:extent cx="62865" cy="6286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 cy="62865"/>
                        </a:xfrm>
                        <a:prstGeom prst="rect">
                          <a:avLst/>
                        </a:prstGeom>
                        <a:noFill/>
                        <a:ln>
                          <a:noFill/>
                        </a:ln>
                      </pic:spPr>
                    </pic:pic>
                  </a:graphicData>
                </a:graphic>
              </wp:inline>
            </w:drawing>
          </w:r>
          <w:r w:rsidR="000A0790" w:rsidRPr="00337497">
            <w:rPr>
              <w:rFonts w:ascii="Lucida Sans Unicode" w:eastAsia="Arial Unicode MS" w:hAnsi="Lucida Sans Unicode" w:cs="Lucida Sans Unicode"/>
              <w:color w:val="212123"/>
              <w:spacing w:val="2"/>
              <w:sz w:val="14"/>
              <w:szCs w:val="14"/>
            </w:rPr>
            <w:t xml:space="preserve"> MAA- JA METSÄTALOUSMINISTERIÖ</w:t>
          </w:r>
          <w:r w:rsidR="000A0790" w:rsidRPr="00337497">
            <w:rPr>
              <w:rFonts w:ascii="Lucida Sans Unicode" w:eastAsia="Arial Unicode MS" w:hAnsi="Lucida Sans Unicode"/>
              <w:color w:val="212123"/>
              <w:sz w:val="14"/>
              <w:szCs w:val="14"/>
            </w:rPr>
            <w:br/>
          </w:r>
          <w:r w:rsidR="000A0790" w:rsidRPr="00337497">
            <w:rPr>
              <w:rFonts w:ascii="Lucida Sans Unicode" w:eastAsia="Arial Unicode MS" w:hAnsi="Lucida Sans Unicode" w:cs="Lucida Sans Unicode"/>
              <w:color w:val="212123"/>
              <w:spacing w:val="-10"/>
              <w:sz w:val="14"/>
              <w:szCs w:val="14"/>
            </w:rPr>
            <w:t>▴ PL 30, 00023 VALTIONEUVOSTO (Helsinki)</w:t>
          </w:r>
        </w:p>
        <w:p w:rsidR="000A0790" w:rsidRPr="00337497" w:rsidRDefault="000A0790" w:rsidP="000A0790">
          <w:pPr>
            <w:rPr>
              <w:rFonts w:ascii="Lucida Sans Unicode" w:eastAsia="Arial Unicode MS" w:hAnsi="Lucida Sans Unicode" w:cs="Lucida Sans Unicode"/>
              <w:color w:val="212123"/>
              <w:spacing w:val="-6"/>
              <w:sz w:val="14"/>
              <w:szCs w:val="14"/>
            </w:rPr>
          </w:pPr>
          <w:r w:rsidRPr="00337497">
            <w:rPr>
              <w:rFonts w:ascii="Lucida Sans Unicode" w:eastAsia="Arial Unicode MS" w:hAnsi="Lucida Sans Unicode" w:cs="Lucida Sans Unicode"/>
              <w:color w:val="212123"/>
              <w:spacing w:val="-6"/>
              <w:sz w:val="14"/>
              <w:szCs w:val="14"/>
            </w:rPr>
            <w:t xml:space="preserve">▴ puh. </w:t>
          </w:r>
          <w:r w:rsidR="00A625F5">
            <w:rPr>
              <w:rFonts w:ascii="Lucida Sans Unicode" w:eastAsia="Arial Unicode MS" w:hAnsi="Lucida Sans Unicode" w:cs="Lucida Sans Unicode"/>
              <w:color w:val="212123"/>
              <w:spacing w:val="-6"/>
              <w:sz w:val="14"/>
              <w:szCs w:val="14"/>
            </w:rPr>
            <w:t xml:space="preserve">0295 16 001 </w:t>
          </w:r>
          <w:r w:rsidRPr="00337497">
            <w:rPr>
              <w:rFonts w:ascii="Lucida Sans Unicode" w:eastAsia="Arial Unicode MS" w:hAnsi="Lucida Sans Unicode" w:cs="Lucida Sans Unicode"/>
              <w:color w:val="212123"/>
              <w:spacing w:val="-6"/>
              <w:sz w:val="14"/>
              <w:szCs w:val="14"/>
            </w:rPr>
            <w:t>▴ faksi (09) 160 54202</w:t>
          </w:r>
        </w:p>
      </w:tc>
      <w:tc>
        <w:tcPr>
          <w:tcW w:w="2977" w:type="dxa"/>
        </w:tcPr>
        <w:p w:rsidR="000A0790" w:rsidRPr="00337497" w:rsidRDefault="00D10ADB" w:rsidP="000A0790">
          <w:pPr>
            <w:rPr>
              <w:rFonts w:ascii="Lucida Sans Unicode" w:eastAsia="Arial Unicode MS" w:hAnsi="Lucida Sans Unicode" w:cs="Lucida Sans Unicode"/>
              <w:color w:val="212123"/>
              <w:spacing w:val="-4"/>
              <w:sz w:val="14"/>
              <w:szCs w:val="14"/>
              <w:lang w:val="sv-FI"/>
            </w:rPr>
          </w:pPr>
          <w:r>
            <w:rPr>
              <w:rFonts w:ascii="Lucida Sans Unicode" w:eastAsia="Arial Unicode MS" w:hAnsi="Lucida Sans Unicode"/>
              <w:noProof/>
              <w:color w:val="212123"/>
              <w:spacing w:val="-4"/>
              <w:sz w:val="14"/>
              <w:szCs w:val="14"/>
            </w:rPr>
            <w:drawing>
              <wp:inline distT="0" distB="0" distL="0" distR="0">
                <wp:extent cx="71120" cy="62865"/>
                <wp:effectExtent l="0" t="0" r="508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20" cy="62865"/>
                        </a:xfrm>
                        <a:prstGeom prst="rect">
                          <a:avLst/>
                        </a:prstGeom>
                        <a:noFill/>
                        <a:ln>
                          <a:noFill/>
                        </a:ln>
                      </pic:spPr>
                    </pic:pic>
                  </a:graphicData>
                </a:graphic>
              </wp:inline>
            </w:drawing>
          </w:r>
          <w:r w:rsidR="000A0790" w:rsidRPr="00337497">
            <w:rPr>
              <w:rFonts w:ascii="Lucida Sans Unicode" w:eastAsia="Arial Unicode MS" w:hAnsi="Lucida Sans Unicode" w:cs="Lucida Sans Unicode"/>
              <w:color w:val="212123"/>
              <w:spacing w:val="-4"/>
              <w:sz w:val="14"/>
              <w:szCs w:val="14"/>
              <w:lang w:val="sv-FI"/>
            </w:rPr>
            <w:t xml:space="preserve">  JORD- OCH SKOGSBRUKSMINISTERIET</w:t>
          </w:r>
        </w:p>
        <w:p w:rsidR="000A0790" w:rsidRPr="00337497" w:rsidRDefault="000A0790" w:rsidP="000A0790">
          <w:pPr>
            <w:rPr>
              <w:rFonts w:ascii="Lucida Sans Unicode" w:eastAsia="Arial Unicode MS" w:hAnsi="Lucida Sans Unicode" w:cs="Lucida Sans Unicode"/>
              <w:color w:val="212123"/>
              <w:sz w:val="14"/>
              <w:szCs w:val="14"/>
              <w:lang w:val="sv-FI"/>
            </w:rPr>
          </w:pPr>
          <w:r w:rsidRPr="00337497">
            <w:rPr>
              <w:rFonts w:ascii="Lucida Sans Unicode" w:eastAsia="Arial Unicode MS" w:hAnsi="Lucida Sans Unicode" w:cs="Lucida Sans Unicode"/>
              <w:color w:val="212123"/>
              <w:spacing w:val="-6"/>
              <w:sz w:val="14"/>
              <w:szCs w:val="14"/>
              <w:lang w:val="sv-FI"/>
            </w:rPr>
            <w:t>▴ PB 30, 00023 STATSRÅDET (Helsingfors)</w:t>
          </w:r>
          <w:r w:rsidRPr="00337497">
            <w:rPr>
              <w:rFonts w:ascii="Lucida Sans Unicode" w:eastAsia="Arial Unicode MS" w:hAnsi="Lucida Sans Unicode"/>
              <w:color w:val="212123"/>
              <w:sz w:val="14"/>
              <w:szCs w:val="14"/>
              <w:lang w:val="sv-FI"/>
            </w:rPr>
            <w:br/>
          </w:r>
          <w:r w:rsidRPr="00337497">
            <w:rPr>
              <w:rFonts w:ascii="Lucida Sans Unicode" w:eastAsia="Arial Unicode MS" w:hAnsi="Lucida Sans Unicode" w:cs="Lucida Sans Unicode"/>
              <w:color w:val="212123"/>
              <w:sz w:val="14"/>
              <w:szCs w:val="14"/>
              <w:lang w:val="sv-FI"/>
            </w:rPr>
            <w:t xml:space="preserve">▴ tfn </w:t>
          </w:r>
          <w:r w:rsidR="00A625F5">
            <w:rPr>
              <w:rFonts w:ascii="Lucida Sans Unicode" w:eastAsia="Arial Unicode MS" w:hAnsi="Lucida Sans Unicode" w:cs="Lucida Sans Unicode"/>
              <w:color w:val="212123"/>
              <w:sz w:val="14"/>
              <w:szCs w:val="14"/>
              <w:lang w:val="sv-FI"/>
            </w:rPr>
            <w:t xml:space="preserve">0295 16 001 </w:t>
          </w:r>
          <w:r w:rsidRPr="00337497">
            <w:rPr>
              <w:rFonts w:ascii="Lucida Sans Unicode" w:eastAsia="Arial Unicode MS" w:hAnsi="Lucida Sans Unicode" w:cs="Lucida Sans Unicode"/>
              <w:color w:val="212123"/>
              <w:sz w:val="14"/>
              <w:szCs w:val="14"/>
              <w:lang w:val="sv-FI"/>
            </w:rPr>
            <w:t>▴ fax (09) 160 54202</w:t>
          </w:r>
        </w:p>
      </w:tc>
      <w:tc>
        <w:tcPr>
          <w:tcW w:w="3969" w:type="dxa"/>
        </w:tcPr>
        <w:p w:rsidR="000A0790" w:rsidRPr="00337497" w:rsidRDefault="00D10ADB" w:rsidP="000A0790">
          <w:pPr>
            <w:rPr>
              <w:rFonts w:ascii="Lucida Sans Unicode" w:eastAsia="Arial Unicode MS" w:hAnsi="Lucida Sans Unicode"/>
              <w:color w:val="212123"/>
              <w:sz w:val="14"/>
              <w:szCs w:val="14"/>
              <w:lang w:val="en-GB"/>
            </w:rPr>
          </w:pPr>
          <w:r>
            <w:rPr>
              <w:rFonts w:ascii="Lucida Sans Unicode" w:eastAsia="Arial Unicode MS" w:hAnsi="Lucida Sans Unicode"/>
              <w:noProof/>
              <w:color w:val="212123"/>
              <w:spacing w:val="6"/>
              <w:sz w:val="14"/>
              <w:szCs w:val="14"/>
            </w:rPr>
            <w:drawing>
              <wp:inline distT="0" distB="0" distL="0" distR="0">
                <wp:extent cx="71120" cy="62865"/>
                <wp:effectExtent l="0" t="0" r="508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120" cy="62865"/>
                        </a:xfrm>
                        <a:prstGeom prst="rect">
                          <a:avLst/>
                        </a:prstGeom>
                        <a:noFill/>
                        <a:ln>
                          <a:noFill/>
                        </a:ln>
                      </pic:spPr>
                    </pic:pic>
                  </a:graphicData>
                </a:graphic>
              </wp:inline>
            </w:drawing>
          </w:r>
          <w:r w:rsidR="000A0790" w:rsidRPr="00337497">
            <w:rPr>
              <w:rFonts w:ascii="Lucida Sans Unicode" w:eastAsia="Arial Unicode MS" w:hAnsi="Lucida Sans Unicode" w:cs="Lucida Sans Unicode"/>
              <w:color w:val="212123"/>
              <w:spacing w:val="6"/>
              <w:sz w:val="14"/>
              <w:szCs w:val="14"/>
              <w:lang w:val="en-GB"/>
            </w:rPr>
            <w:t xml:space="preserve"> MINISTRY OF AGRICULTURE AND FORESTRY</w:t>
          </w:r>
          <w:r w:rsidR="000A0790" w:rsidRPr="00337497">
            <w:rPr>
              <w:rFonts w:ascii="Lucida Sans Unicode" w:eastAsia="Arial Unicode MS" w:hAnsi="Lucida Sans Unicode"/>
              <w:color w:val="212123"/>
              <w:spacing w:val="4"/>
              <w:sz w:val="14"/>
              <w:szCs w:val="14"/>
              <w:lang w:val="en-GB"/>
            </w:rPr>
            <w:br/>
          </w:r>
          <w:r w:rsidR="000A0790" w:rsidRPr="00337497">
            <w:rPr>
              <w:rFonts w:ascii="Lucida Sans Unicode" w:eastAsia="Arial Unicode MS" w:hAnsi="Lucida Sans Unicode" w:cs="Lucida Sans Unicode"/>
              <w:color w:val="212123"/>
              <w:spacing w:val="-10"/>
              <w:sz w:val="14"/>
              <w:szCs w:val="14"/>
              <w:lang w:val="en-GB"/>
            </w:rPr>
            <w:t xml:space="preserve">▴ </w:t>
          </w:r>
          <w:smartTag w:uri="urn:schemas-microsoft-com:office:smarttags" w:element="address">
            <w:smartTag w:uri="urn:schemas-microsoft-com:office:smarttags" w:element="Street">
              <w:r w:rsidR="000A0790" w:rsidRPr="00337497">
                <w:rPr>
                  <w:rFonts w:ascii="Lucida Sans Unicode" w:eastAsia="Arial Unicode MS" w:hAnsi="Lucida Sans Unicode" w:cs="Lucida Sans Unicode"/>
                  <w:color w:val="212123"/>
                  <w:spacing w:val="-10"/>
                  <w:sz w:val="14"/>
                  <w:szCs w:val="14"/>
                  <w:lang w:val="en-GB"/>
                </w:rPr>
                <w:t>PO Box</w:t>
              </w:r>
            </w:smartTag>
            <w:r w:rsidR="000A0790" w:rsidRPr="00337497">
              <w:rPr>
                <w:rFonts w:ascii="Lucida Sans Unicode" w:eastAsia="Arial Unicode MS" w:hAnsi="Lucida Sans Unicode" w:cs="Lucida Sans Unicode"/>
                <w:color w:val="212123"/>
                <w:spacing w:val="-10"/>
                <w:sz w:val="14"/>
                <w:szCs w:val="14"/>
                <w:lang w:val="en-GB"/>
              </w:rPr>
              <w:t xml:space="preserve"> 30</w:t>
            </w:r>
          </w:smartTag>
          <w:r w:rsidR="000A0790" w:rsidRPr="00337497">
            <w:rPr>
              <w:rFonts w:ascii="Lucida Sans Unicode" w:eastAsia="Arial Unicode MS" w:hAnsi="Lucida Sans Unicode" w:cs="Lucida Sans Unicode"/>
              <w:color w:val="212123"/>
              <w:spacing w:val="-10"/>
              <w:sz w:val="14"/>
              <w:szCs w:val="14"/>
              <w:lang w:val="en-GB"/>
            </w:rPr>
            <w:t xml:space="preserve">, FI-00023 GOVERNMENT, </w:t>
          </w:r>
          <w:smartTag w:uri="urn:schemas-microsoft-com:office:smarttags" w:element="country-region">
            <w:r w:rsidR="000A0790" w:rsidRPr="00337497">
              <w:rPr>
                <w:rFonts w:ascii="Lucida Sans Unicode" w:eastAsia="Arial Unicode MS" w:hAnsi="Lucida Sans Unicode" w:cs="Lucida Sans Unicode"/>
                <w:color w:val="212123"/>
                <w:spacing w:val="-10"/>
                <w:sz w:val="14"/>
                <w:szCs w:val="14"/>
                <w:lang w:val="en-GB"/>
              </w:rPr>
              <w:t>Finland</w:t>
            </w:r>
          </w:smartTag>
          <w:r w:rsidR="000A0790" w:rsidRPr="00337497">
            <w:rPr>
              <w:rFonts w:ascii="Lucida Sans Unicode" w:eastAsia="Arial Unicode MS" w:hAnsi="Lucida Sans Unicode" w:cs="Lucida Sans Unicode"/>
              <w:color w:val="212123"/>
              <w:spacing w:val="-10"/>
              <w:sz w:val="14"/>
              <w:szCs w:val="14"/>
              <w:lang w:val="en-GB"/>
            </w:rPr>
            <w:t xml:space="preserve"> (</w:t>
          </w:r>
          <w:smartTag w:uri="urn:schemas-microsoft-com:office:smarttags" w:element="place">
            <w:smartTag w:uri="urn:schemas-microsoft-com:office:smarttags" w:element="City">
              <w:r w:rsidR="000A0790" w:rsidRPr="00337497">
                <w:rPr>
                  <w:rFonts w:ascii="Lucida Sans Unicode" w:eastAsia="Arial Unicode MS" w:hAnsi="Lucida Sans Unicode" w:cs="Lucida Sans Unicode"/>
                  <w:color w:val="212123"/>
                  <w:spacing w:val="-10"/>
                  <w:sz w:val="14"/>
                  <w:szCs w:val="14"/>
                  <w:lang w:val="en-GB"/>
                </w:rPr>
                <w:t>Helsinki</w:t>
              </w:r>
            </w:smartTag>
          </w:smartTag>
          <w:r w:rsidR="000A0790" w:rsidRPr="00337497">
            <w:rPr>
              <w:rFonts w:ascii="Lucida Sans Unicode" w:eastAsia="Arial Unicode MS" w:hAnsi="Lucida Sans Unicode" w:cs="Lucida Sans Unicode"/>
              <w:color w:val="212123"/>
              <w:spacing w:val="-10"/>
              <w:sz w:val="14"/>
              <w:szCs w:val="14"/>
              <w:lang w:val="en-GB"/>
            </w:rPr>
            <w:t>)</w:t>
          </w:r>
        </w:p>
        <w:p w:rsidR="000A0790" w:rsidRPr="00337497" w:rsidRDefault="000A0790" w:rsidP="000A0790">
          <w:pPr>
            <w:rPr>
              <w:rFonts w:ascii="Lucida Sans Unicode" w:eastAsia="Arial Unicode MS" w:hAnsi="Lucida Sans Unicode"/>
              <w:color w:val="212123"/>
              <w:spacing w:val="4"/>
              <w:sz w:val="14"/>
              <w:szCs w:val="14"/>
              <w:lang w:val="en-GB"/>
            </w:rPr>
          </w:pPr>
          <w:r w:rsidRPr="00337497">
            <w:rPr>
              <w:rFonts w:ascii="Lucida Sans Unicode" w:eastAsia="Arial Unicode MS" w:hAnsi="Lucida Sans Unicode" w:cs="Lucida Sans Unicode"/>
              <w:color w:val="212123"/>
              <w:spacing w:val="4"/>
              <w:sz w:val="14"/>
              <w:szCs w:val="14"/>
              <w:lang w:val="sv-FI"/>
            </w:rPr>
            <w:t xml:space="preserve">▴ tel. +358 </w:t>
          </w:r>
          <w:r w:rsidR="00A625F5">
            <w:rPr>
              <w:rFonts w:ascii="Lucida Sans Unicode" w:eastAsia="Arial Unicode MS" w:hAnsi="Lucida Sans Unicode" w:cs="Lucida Sans Unicode"/>
              <w:color w:val="212123"/>
              <w:spacing w:val="4"/>
              <w:sz w:val="14"/>
              <w:szCs w:val="14"/>
              <w:lang w:val="sv-FI"/>
            </w:rPr>
            <w:t xml:space="preserve">0295 16 001 </w:t>
          </w:r>
          <w:r w:rsidRPr="00337497">
            <w:rPr>
              <w:rFonts w:ascii="Lucida Sans Unicode" w:eastAsia="Arial Unicode MS" w:hAnsi="Lucida Sans Unicode" w:cs="Lucida Sans Unicode"/>
              <w:color w:val="212123"/>
              <w:spacing w:val="4"/>
              <w:sz w:val="14"/>
              <w:szCs w:val="14"/>
              <w:lang w:val="sv-FI"/>
            </w:rPr>
            <w:t>▴ fax +358 9 160 54202</w:t>
          </w:r>
        </w:p>
      </w:tc>
    </w:tr>
  </w:tbl>
  <w:p w:rsidR="00D436E9" w:rsidRPr="000A0790" w:rsidRDefault="00D436E9" w:rsidP="000A0790">
    <w:pPr>
      <w:pStyle w:val="Alatunniste"/>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BE5" w:rsidRDefault="00875BE5">
      <w:r>
        <w:separator/>
      </w:r>
    </w:p>
  </w:footnote>
  <w:footnote w:type="continuationSeparator" w:id="0">
    <w:p w:rsidR="00875BE5" w:rsidRDefault="00875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5184"/>
      <w:gridCol w:w="2592"/>
      <w:gridCol w:w="1296"/>
      <w:gridCol w:w="1296"/>
    </w:tblGrid>
    <w:tr w:rsidR="00D436E9">
      <w:trPr>
        <w:cantSplit/>
        <w:trHeight w:hRule="exact" w:val="240"/>
      </w:trPr>
      <w:tc>
        <w:tcPr>
          <w:tcW w:w="5184" w:type="dxa"/>
        </w:tcPr>
        <w:p w:rsidR="00D436E9" w:rsidRDefault="00D436E9"/>
      </w:tc>
      <w:tc>
        <w:tcPr>
          <w:tcW w:w="2592" w:type="dxa"/>
        </w:tcPr>
        <w:p w:rsidR="00D436E9" w:rsidRDefault="00D436E9">
          <w:pPr>
            <w:pStyle w:val="Asiakirjatyyppi"/>
            <w:rPr>
              <w:b w:val="0"/>
              <w:caps w:val="0"/>
            </w:rPr>
          </w:pPr>
        </w:p>
      </w:tc>
      <w:tc>
        <w:tcPr>
          <w:tcW w:w="1296" w:type="dxa"/>
        </w:tcPr>
        <w:p w:rsidR="00D436E9" w:rsidRDefault="00D436E9">
          <w:pPr>
            <w:pStyle w:val="Leiptekstivasen"/>
          </w:pPr>
        </w:p>
      </w:tc>
      <w:tc>
        <w:tcPr>
          <w:tcW w:w="1296" w:type="dxa"/>
        </w:tcPr>
        <w:p w:rsidR="00D436E9" w:rsidRDefault="00D436E9">
          <w:pPr>
            <w:pStyle w:val="Leiptekstivasen"/>
            <w:rPr>
              <w:caps/>
            </w:rPr>
          </w:pPr>
          <w:r>
            <w:rPr>
              <w:rStyle w:val="Sivunumero"/>
            </w:rPr>
            <w:fldChar w:fldCharType="begin"/>
          </w:r>
          <w:r>
            <w:rPr>
              <w:rStyle w:val="Sivunumero"/>
            </w:rPr>
            <w:instrText xml:space="preserve"> PAGE </w:instrText>
          </w:r>
          <w:r>
            <w:rPr>
              <w:rStyle w:val="Sivunumero"/>
            </w:rPr>
            <w:fldChar w:fldCharType="separate"/>
          </w:r>
          <w:r w:rsidR="00553715">
            <w:rPr>
              <w:rStyle w:val="Sivunumero"/>
              <w:noProof/>
            </w:rPr>
            <w:t>10</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553715">
            <w:rPr>
              <w:rStyle w:val="Sivunumero"/>
              <w:noProof/>
            </w:rPr>
            <w:t>10</w:t>
          </w:r>
          <w:r>
            <w:rPr>
              <w:rStyle w:val="Sivunumero"/>
            </w:rPr>
            <w:fldChar w:fldCharType="end"/>
          </w:r>
          <w:r>
            <w:t>)</w:t>
          </w:r>
        </w:p>
      </w:tc>
    </w:tr>
    <w:tr w:rsidR="00D436E9">
      <w:trPr>
        <w:cantSplit/>
        <w:trHeight w:hRule="exact" w:val="1440"/>
      </w:trPr>
      <w:tc>
        <w:tcPr>
          <w:tcW w:w="5184" w:type="dxa"/>
        </w:tcPr>
        <w:p w:rsidR="00D436E9" w:rsidRDefault="00D436E9"/>
      </w:tc>
      <w:tc>
        <w:tcPr>
          <w:tcW w:w="5184" w:type="dxa"/>
          <w:gridSpan w:val="3"/>
        </w:tcPr>
        <w:p w:rsidR="00D436E9" w:rsidRDefault="00D436E9">
          <w:pPr>
            <w:pStyle w:val="Leiptekstivasen"/>
          </w:pPr>
        </w:p>
      </w:tc>
    </w:tr>
  </w:tbl>
  <w:p w:rsidR="00D436E9" w:rsidRDefault="00D436E9">
    <w:pPr>
      <w:pStyle w:val="Yltunniste"/>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8" w:type="dxa"/>
      <w:tblLayout w:type="fixed"/>
      <w:tblCellMar>
        <w:left w:w="70" w:type="dxa"/>
        <w:right w:w="70" w:type="dxa"/>
      </w:tblCellMar>
      <w:tblLook w:val="00A0" w:firstRow="1" w:lastRow="0" w:firstColumn="1" w:lastColumn="0" w:noHBand="0" w:noVBand="0"/>
    </w:tblPr>
    <w:tblGrid>
      <w:gridCol w:w="5184"/>
      <w:gridCol w:w="2592"/>
      <w:gridCol w:w="1296"/>
      <w:gridCol w:w="1296"/>
    </w:tblGrid>
    <w:tr w:rsidR="00CE403D">
      <w:trPr>
        <w:cantSplit/>
        <w:trHeight w:hRule="exact" w:val="240"/>
      </w:trPr>
      <w:tc>
        <w:tcPr>
          <w:tcW w:w="5184" w:type="dxa"/>
          <w:shd w:val="clear" w:color="auto" w:fill="auto"/>
        </w:tcPr>
        <w:p w:rsidR="00CE403D" w:rsidRDefault="00D10ADB" w:rsidP="00875BE5">
          <w:pPr>
            <w:pStyle w:val="Leiptekstivasen"/>
            <w:tabs>
              <w:tab w:val="left" w:pos="3237"/>
            </w:tabs>
          </w:pPr>
          <w:r>
            <w:rPr>
              <w:noProof/>
            </w:rPr>
            <w:drawing>
              <wp:anchor distT="0" distB="0" distL="114300" distR="114300" simplePos="0" relativeHeight="251657728" behindDoc="0" locked="0" layoutInCell="1" allowOverlap="1" wp14:anchorId="0754B00D" wp14:editId="56F28C75">
                <wp:simplePos x="0" y="0"/>
                <wp:positionH relativeFrom="page">
                  <wp:posOffset>0</wp:posOffset>
                </wp:positionH>
                <wp:positionV relativeFrom="page">
                  <wp:posOffset>0</wp:posOffset>
                </wp:positionV>
                <wp:extent cx="1975485" cy="527050"/>
                <wp:effectExtent l="0" t="0" r="5715" b="6350"/>
                <wp:wrapNone/>
                <wp:docPr id="12" name="Kuva 12" descr="MMM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MMlogo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5BE5">
            <w:tab/>
          </w:r>
        </w:p>
      </w:tc>
      <w:tc>
        <w:tcPr>
          <w:tcW w:w="2592" w:type="dxa"/>
        </w:tcPr>
        <w:p w:rsidR="00CE403D" w:rsidRDefault="00BF4E5B">
          <w:pPr>
            <w:pStyle w:val="Asiakirjatyyppi"/>
          </w:pPr>
          <w:bookmarkStart w:id="3" w:name="DM_TYPE_ID"/>
          <w:r>
            <w:t>LAUSUNTO</w:t>
          </w:r>
          <w:bookmarkEnd w:id="3"/>
        </w:p>
      </w:tc>
      <w:tc>
        <w:tcPr>
          <w:tcW w:w="1296" w:type="dxa"/>
          <w:vAlign w:val="bottom"/>
        </w:tcPr>
        <w:p w:rsidR="00CE403D" w:rsidRDefault="00BF4E5B">
          <w:pPr>
            <w:pStyle w:val="AsKirjNro"/>
          </w:pPr>
          <w:bookmarkStart w:id="4" w:name="DM_DOCNUM"/>
          <w:r>
            <w:t>221977</w:t>
          </w:r>
          <w:bookmarkEnd w:id="4"/>
        </w:p>
      </w:tc>
      <w:tc>
        <w:tcPr>
          <w:tcW w:w="1296" w:type="dxa"/>
        </w:tcPr>
        <w:p w:rsidR="00CE403D" w:rsidRDefault="00CE403D">
          <w:pPr>
            <w:pStyle w:val="Leiptekstivasen"/>
          </w:pPr>
          <w:r>
            <w:rPr>
              <w:rStyle w:val="Sivunumero"/>
            </w:rPr>
            <w:fldChar w:fldCharType="begin"/>
          </w:r>
          <w:r>
            <w:rPr>
              <w:rStyle w:val="Sivunumero"/>
            </w:rPr>
            <w:instrText xml:space="preserve"> PAGE </w:instrText>
          </w:r>
          <w:r>
            <w:rPr>
              <w:rStyle w:val="Sivunumero"/>
            </w:rPr>
            <w:fldChar w:fldCharType="separate"/>
          </w:r>
          <w:r w:rsidR="00553715">
            <w:rPr>
              <w:rStyle w:val="Sivunumero"/>
              <w:noProof/>
            </w:rPr>
            <w:t>1</w:t>
          </w:r>
          <w:r>
            <w:rPr>
              <w:rStyle w:val="Sivunumero"/>
            </w:rPr>
            <w:fldChar w:fldCharType="end"/>
          </w:r>
          <w:r>
            <w:t xml:space="preserve"> (</w:t>
          </w:r>
          <w:r>
            <w:rPr>
              <w:rStyle w:val="Sivunumero"/>
            </w:rPr>
            <w:fldChar w:fldCharType="begin"/>
          </w:r>
          <w:r>
            <w:rPr>
              <w:rStyle w:val="Sivunumero"/>
            </w:rPr>
            <w:instrText xml:space="preserve"> NUMPAGES </w:instrText>
          </w:r>
          <w:r>
            <w:rPr>
              <w:rStyle w:val="Sivunumero"/>
            </w:rPr>
            <w:fldChar w:fldCharType="separate"/>
          </w:r>
          <w:r w:rsidR="00553715">
            <w:rPr>
              <w:rStyle w:val="Sivunumero"/>
              <w:noProof/>
            </w:rPr>
            <w:t>10</w:t>
          </w:r>
          <w:r>
            <w:rPr>
              <w:rStyle w:val="Sivunumero"/>
            </w:rPr>
            <w:fldChar w:fldCharType="end"/>
          </w:r>
          <w:r>
            <w:t>)</w:t>
          </w:r>
        </w:p>
      </w:tc>
    </w:tr>
    <w:tr w:rsidR="00CE403D">
      <w:trPr>
        <w:cantSplit/>
        <w:trHeight w:hRule="exact" w:val="240"/>
      </w:trPr>
      <w:tc>
        <w:tcPr>
          <w:tcW w:w="5184" w:type="dxa"/>
          <w:shd w:val="clear" w:color="auto" w:fill="auto"/>
        </w:tcPr>
        <w:p w:rsidR="00CE403D" w:rsidRDefault="00CE403D">
          <w:pPr>
            <w:pStyle w:val="Leiptekstivasen"/>
          </w:pPr>
        </w:p>
      </w:tc>
      <w:tc>
        <w:tcPr>
          <w:tcW w:w="2592" w:type="dxa"/>
        </w:tcPr>
        <w:p w:rsidR="00CE403D" w:rsidRDefault="00CE403D">
          <w:pPr>
            <w:pStyle w:val="Leiptekstivasen"/>
          </w:pPr>
        </w:p>
      </w:tc>
      <w:tc>
        <w:tcPr>
          <w:tcW w:w="2592" w:type="dxa"/>
          <w:gridSpan w:val="2"/>
        </w:tcPr>
        <w:p w:rsidR="00CE403D" w:rsidRDefault="00CE403D">
          <w:pPr>
            <w:pStyle w:val="Leiptekstivasen"/>
          </w:pPr>
        </w:p>
      </w:tc>
    </w:tr>
    <w:tr w:rsidR="00CE403D">
      <w:trPr>
        <w:cantSplit/>
        <w:trHeight w:hRule="exact" w:val="240"/>
      </w:trPr>
      <w:tc>
        <w:tcPr>
          <w:tcW w:w="5184" w:type="dxa"/>
          <w:shd w:val="clear" w:color="auto" w:fill="auto"/>
        </w:tcPr>
        <w:p w:rsidR="00CE403D" w:rsidRDefault="00CE403D">
          <w:pPr>
            <w:pStyle w:val="Leiptekstivasen"/>
          </w:pPr>
        </w:p>
      </w:tc>
      <w:tc>
        <w:tcPr>
          <w:tcW w:w="2592" w:type="dxa"/>
        </w:tcPr>
        <w:p w:rsidR="00CE403D" w:rsidRDefault="00BF4E5B">
          <w:pPr>
            <w:pStyle w:val="Leiptekstivasen"/>
          </w:pPr>
          <w:bookmarkStart w:id="5" w:name="DM_X_REGCODEHARE"/>
          <w:bookmarkStart w:id="6" w:name="DM_CREATION_DATE"/>
          <w:bookmarkEnd w:id="5"/>
          <w:r>
            <w:t>31.8.2016</w:t>
          </w:r>
          <w:bookmarkEnd w:id="6"/>
        </w:p>
      </w:tc>
      <w:tc>
        <w:tcPr>
          <w:tcW w:w="2592" w:type="dxa"/>
          <w:gridSpan w:val="2"/>
        </w:tcPr>
        <w:p w:rsidR="00CE403D" w:rsidRDefault="00BF4E5B">
          <w:pPr>
            <w:pStyle w:val="Leiptekstivasen"/>
          </w:pPr>
          <w:bookmarkStart w:id="7" w:name="DM_C_CASENATIVEID"/>
          <w:r>
            <w:t>1116/04.01.03/2016</w:t>
          </w:r>
          <w:bookmarkEnd w:id="7"/>
        </w:p>
      </w:tc>
    </w:tr>
    <w:tr w:rsidR="00CE403D">
      <w:trPr>
        <w:cantSplit/>
        <w:trHeight w:hRule="exact" w:val="240"/>
      </w:trPr>
      <w:tc>
        <w:tcPr>
          <w:tcW w:w="5184" w:type="dxa"/>
          <w:shd w:val="clear" w:color="auto" w:fill="auto"/>
        </w:tcPr>
        <w:p w:rsidR="00CE403D" w:rsidRDefault="00CE403D">
          <w:pPr>
            <w:pStyle w:val="Leiptekstivasen"/>
          </w:pPr>
        </w:p>
      </w:tc>
      <w:tc>
        <w:tcPr>
          <w:tcW w:w="2592" w:type="dxa"/>
        </w:tcPr>
        <w:p w:rsidR="00CE403D" w:rsidRDefault="00CE403D">
          <w:pPr>
            <w:pStyle w:val="Leiptekstivasen"/>
          </w:pPr>
        </w:p>
      </w:tc>
      <w:tc>
        <w:tcPr>
          <w:tcW w:w="1296" w:type="dxa"/>
        </w:tcPr>
        <w:p w:rsidR="00CE403D" w:rsidRDefault="00CE403D">
          <w:pPr>
            <w:pStyle w:val="Leiptekstivasen"/>
          </w:pPr>
        </w:p>
      </w:tc>
      <w:tc>
        <w:tcPr>
          <w:tcW w:w="1296" w:type="dxa"/>
        </w:tcPr>
        <w:p w:rsidR="00CE403D" w:rsidRDefault="00CE403D">
          <w:pPr>
            <w:pStyle w:val="Leiptekstivasen"/>
          </w:pPr>
        </w:p>
      </w:tc>
    </w:tr>
    <w:tr w:rsidR="00D436E9">
      <w:trPr>
        <w:cantSplit/>
        <w:trHeight w:hRule="exact" w:val="720"/>
      </w:trPr>
      <w:tc>
        <w:tcPr>
          <w:tcW w:w="5184" w:type="dxa"/>
        </w:tcPr>
        <w:p w:rsidR="00D436E9" w:rsidRDefault="00D436E9">
          <w:pPr>
            <w:pStyle w:val="Leiptekstivasen"/>
          </w:pPr>
        </w:p>
        <w:p w:rsidR="00F80583" w:rsidRDefault="00F80583">
          <w:pPr>
            <w:pStyle w:val="Leiptekstivasen"/>
          </w:pPr>
        </w:p>
      </w:tc>
      <w:tc>
        <w:tcPr>
          <w:tcW w:w="2592" w:type="dxa"/>
        </w:tcPr>
        <w:p w:rsidR="00D436E9" w:rsidRDefault="00D436E9">
          <w:pPr>
            <w:pStyle w:val="Leiptekstivasen"/>
          </w:pPr>
        </w:p>
      </w:tc>
      <w:tc>
        <w:tcPr>
          <w:tcW w:w="1296" w:type="dxa"/>
        </w:tcPr>
        <w:p w:rsidR="00D436E9" w:rsidRDefault="00D436E9">
          <w:pPr>
            <w:pStyle w:val="Leiptekstivasen"/>
          </w:pPr>
        </w:p>
      </w:tc>
      <w:tc>
        <w:tcPr>
          <w:tcW w:w="1296" w:type="dxa"/>
        </w:tcPr>
        <w:p w:rsidR="00D436E9" w:rsidRDefault="00D436E9">
          <w:pPr>
            <w:pStyle w:val="Leiptekstivasen"/>
          </w:pPr>
        </w:p>
      </w:tc>
    </w:tr>
  </w:tbl>
  <w:p w:rsidR="00D436E9" w:rsidRDefault="00D436E9">
    <w:pPr>
      <w:pStyle w:val="Yltunnist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8370C"/>
    <w:multiLevelType w:val="singleLevel"/>
    <w:tmpl w:val="795C4320"/>
    <w:lvl w:ilvl="0">
      <w:start w:val="1"/>
      <w:numFmt w:val="decimal"/>
      <w:pStyle w:val="Luettelonumero"/>
      <w:lvlText w:val="%1"/>
      <w:lvlJc w:val="left"/>
      <w:pPr>
        <w:tabs>
          <w:tab w:val="num" w:pos="2952"/>
        </w:tabs>
        <w:ind w:left="2952" w:hanging="360"/>
      </w:pPr>
      <w:rPr>
        <w:rFonts w:hint="default"/>
      </w:rPr>
    </w:lvl>
  </w:abstractNum>
  <w:abstractNum w:abstractNumId="1">
    <w:nsid w:val="50DF343F"/>
    <w:multiLevelType w:val="singleLevel"/>
    <w:tmpl w:val="5EF43808"/>
    <w:lvl w:ilvl="0">
      <w:start w:val="1"/>
      <w:numFmt w:val="bullet"/>
      <w:pStyle w:val="Luetteloviiva"/>
      <w:lvlText w:val=""/>
      <w:lvlJc w:val="left"/>
      <w:pPr>
        <w:tabs>
          <w:tab w:val="num" w:pos="360"/>
        </w:tabs>
        <w:ind w:left="0" w:firstLine="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144"/>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91"/>
    <w:rsid w:val="00032188"/>
    <w:rsid w:val="00033C47"/>
    <w:rsid w:val="000A0790"/>
    <w:rsid w:val="000E5F30"/>
    <w:rsid w:val="000F451D"/>
    <w:rsid w:val="00131EC8"/>
    <w:rsid w:val="001965BD"/>
    <w:rsid w:val="001A03EB"/>
    <w:rsid w:val="0023738A"/>
    <w:rsid w:val="002B1CD8"/>
    <w:rsid w:val="002B2838"/>
    <w:rsid w:val="00337C5B"/>
    <w:rsid w:val="003A2BBA"/>
    <w:rsid w:val="003E584C"/>
    <w:rsid w:val="00553715"/>
    <w:rsid w:val="00571EBF"/>
    <w:rsid w:val="00583F0C"/>
    <w:rsid w:val="00590F91"/>
    <w:rsid w:val="00730472"/>
    <w:rsid w:val="007A4569"/>
    <w:rsid w:val="007E290E"/>
    <w:rsid w:val="007F44AD"/>
    <w:rsid w:val="00802992"/>
    <w:rsid w:val="00870F53"/>
    <w:rsid w:val="00875BE5"/>
    <w:rsid w:val="008F66FC"/>
    <w:rsid w:val="00924567"/>
    <w:rsid w:val="00955878"/>
    <w:rsid w:val="00984E62"/>
    <w:rsid w:val="00995981"/>
    <w:rsid w:val="009B588C"/>
    <w:rsid w:val="009C056F"/>
    <w:rsid w:val="009D6FC4"/>
    <w:rsid w:val="00A625F5"/>
    <w:rsid w:val="00AA3DB5"/>
    <w:rsid w:val="00AE2E8F"/>
    <w:rsid w:val="00AE6629"/>
    <w:rsid w:val="00AF5A01"/>
    <w:rsid w:val="00B13774"/>
    <w:rsid w:val="00B242C6"/>
    <w:rsid w:val="00BD25B3"/>
    <w:rsid w:val="00BF4E5B"/>
    <w:rsid w:val="00C1387A"/>
    <w:rsid w:val="00CB2F73"/>
    <w:rsid w:val="00CE403D"/>
    <w:rsid w:val="00D00EBB"/>
    <w:rsid w:val="00D05F00"/>
    <w:rsid w:val="00D10ADB"/>
    <w:rsid w:val="00D436E9"/>
    <w:rsid w:val="00D74722"/>
    <w:rsid w:val="00D7796C"/>
    <w:rsid w:val="00DB0F01"/>
    <w:rsid w:val="00DC3DA2"/>
    <w:rsid w:val="00E77C57"/>
    <w:rsid w:val="00E95AAB"/>
    <w:rsid w:val="00F472E2"/>
    <w:rsid w:val="00F62B01"/>
    <w:rsid w:val="00F805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2"/>
    </w:rPr>
  </w:style>
  <w:style w:type="paragraph" w:styleId="Otsikko1">
    <w:name w:val="heading 1"/>
    <w:basedOn w:val="Normaali"/>
    <w:next w:val="Normaali"/>
    <w:qFormat/>
    <w:pPr>
      <w:keepNext/>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rsid w:val="00D74722"/>
    <w:pPr>
      <w:spacing w:after="200"/>
      <w:ind w:left="1296"/>
    </w:pPr>
    <w:rPr>
      <w:sz w:val="2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rPr>
      <w:sz w:val="16"/>
    </w:rPr>
  </w:style>
  <w:style w:type="paragraph" w:customStyle="1" w:styleId="Luetteloviiva">
    <w:name w:val="Luettelo viiva"/>
    <w:basedOn w:val="Luettelonumero"/>
    <w:pPr>
      <w:numPr>
        <w:numId w:val="1"/>
      </w:numPr>
      <w:tabs>
        <w:tab w:val="clear" w:pos="360"/>
        <w:tab w:val="left" w:pos="216"/>
      </w:tabs>
      <w:spacing w:after="0"/>
      <w:ind w:left="1512" w:hanging="216"/>
    </w:pPr>
  </w:style>
  <w:style w:type="character" w:styleId="Hyperlinkki">
    <w:name w:val="Hyperlink"/>
    <w:basedOn w:val="Kappaleenoletusfontti"/>
    <w:rPr>
      <w:color w:val="0000FF"/>
      <w:u w:val="single"/>
    </w:rPr>
  </w:style>
  <w:style w:type="character" w:styleId="Sivunumero">
    <w:name w:val="page number"/>
    <w:basedOn w:val="Kappaleenoletusfontti"/>
  </w:style>
  <w:style w:type="paragraph" w:styleId="Alaotsikko">
    <w:name w:val="Subtitle"/>
    <w:basedOn w:val="Leipteksti"/>
    <w:next w:val="Leipteksti"/>
    <w:qFormat/>
    <w:rsid w:val="00C1387A"/>
    <w:pPr>
      <w:tabs>
        <w:tab w:val="left" w:pos="2592"/>
      </w:tabs>
      <w:ind w:left="0"/>
    </w:pPr>
    <w:rPr>
      <w:b/>
    </w:rPr>
  </w:style>
  <w:style w:type="paragraph" w:customStyle="1" w:styleId="Asiakirjannimi">
    <w:name w:val="Asiakirjan nimi"/>
    <w:next w:val="Leipteksti"/>
    <w:rsid w:val="00D74722"/>
    <w:pPr>
      <w:tabs>
        <w:tab w:val="left" w:pos="2592"/>
      </w:tabs>
      <w:spacing w:after="200"/>
    </w:pPr>
    <w:rPr>
      <w:b/>
      <w:caps/>
      <w:sz w:val="22"/>
    </w:rPr>
  </w:style>
  <w:style w:type="paragraph" w:customStyle="1" w:styleId="Leiptekstivasen">
    <w:name w:val="Leipäteksti vasen"/>
    <w:basedOn w:val="Leipteksti"/>
    <w:pPr>
      <w:spacing w:after="0"/>
      <w:ind w:left="0"/>
    </w:pPr>
  </w:style>
  <w:style w:type="paragraph" w:customStyle="1" w:styleId="Luettelonumero">
    <w:name w:val="Luettelo numero"/>
    <w:basedOn w:val="Leipteksti"/>
    <w:rsid w:val="00AF5A01"/>
    <w:pPr>
      <w:numPr>
        <w:numId w:val="2"/>
      </w:numPr>
      <w:tabs>
        <w:tab w:val="clear" w:pos="2952"/>
      </w:tabs>
      <w:ind w:left="1656"/>
    </w:pPr>
  </w:style>
  <w:style w:type="paragraph" w:customStyle="1" w:styleId="Leiptekstiilmankpl-vli">
    <w:name w:val="Leipäteksti ilman kpl-väliä"/>
    <w:basedOn w:val="Leipteksti"/>
    <w:pPr>
      <w:spacing w:after="0"/>
    </w:pPr>
  </w:style>
  <w:style w:type="table" w:styleId="TaulukkoRuudukko">
    <w:name w:val="Table Grid"/>
    <w:basedOn w:val="Normaalitaulukko"/>
    <w:rsid w:val="000A07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teystietojenfontti">
    <w:name w:val="Yhteystietojen fontti"/>
    <w:basedOn w:val="Leipteksti"/>
    <w:pPr>
      <w:spacing w:after="0"/>
      <w:ind w:left="0"/>
    </w:pPr>
    <w:rPr>
      <w:sz w:val="16"/>
    </w:rPr>
  </w:style>
  <w:style w:type="paragraph" w:customStyle="1" w:styleId="Asiakirjatyyppi">
    <w:name w:val="Asiakirjatyyppi"/>
    <w:rsid w:val="00D74722"/>
    <w:rPr>
      <w:b/>
      <w:caps/>
      <w:sz w:val="22"/>
    </w:rPr>
  </w:style>
  <w:style w:type="paragraph" w:customStyle="1" w:styleId="AsKirjNro">
    <w:name w:val="AsKirjNro"/>
    <w:basedOn w:val="Leiptekstivasen"/>
    <w:rPr>
      <w:sz w:val="16"/>
      <w:szCs w:val="16"/>
    </w:rPr>
  </w:style>
  <w:style w:type="paragraph" w:styleId="Seliteteksti">
    <w:name w:val="Balloon Text"/>
    <w:basedOn w:val="Normaali"/>
    <w:link w:val="SelitetekstiChar"/>
    <w:rsid w:val="003E584C"/>
    <w:rPr>
      <w:rFonts w:ascii="Tahoma" w:hAnsi="Tahoma" w:cs="Tahoma"/>
      <w:sz w:val="16"/>
      <w:szCs w:val="16"/>
    </w:rPr>
  </w:style>
  <w:style w:type="character" w:customStyle="1" w:styleId="SelitetekstiChar">
    <w:name w:val="Seliteteksti Char"/>
    <w:basedOn w:val="Kappaleenoletusfontti"/>
    <w:link w:val="Seliteteksti"/>
    <w:rsid w:val="003E584C"/>
    <w:rPr>
      <w:rFonts w:ascii="Tahoma" w:hAnsi="Tahoma" w:cs="Tahoma"/>
      <w:sz w:val="16"/>
      <w:szCs w:val="16"/>
    </w:rPr>
  </w:style>
  <w:style w:type="character" w:customStyle="1" w:styleId="LeiptekstiChar">
    <w:name w:val="Leipäteksti Char"/>
    <w:basedOn w:val="Kappaleenoletusfontti"/>
    <w:link w:val="Leipteksti"/>
    <w:rsid w:val="00BF4E5B"/>
    <w:rPr>
      <w:sz w:val="22"/>
    </w:rPr>
  </w:style>
  <w:style w:type="character" w:styleId="Kommentinviite">
    <w:name w:val="annotation reference"/>
    <w:basedOn w:val="Kappaleenoletusfontti"/>
    <w:rsid w:val="000F451D"/>
    <w:rPr>
      <w:sz w:val="16"/>
      <w:szCs w:val="16"/>
    </w:rPr>
  </w:style>
  <w:style w:type="paragraph" w:styleId="Kommentinteksti">
    <w:name w:val="annotation text"/>
    <w:basedOn w:val="Normaali"/>
    <w:link w:val="KommentintekstiChar"/>
    <w:rsid w:val="000F451D"/>
    <w:rPr>
      <w:sz w:val="20"/>
    </w:rPr>
  </w:style>
  <w:style w:type="character" w:customStyle="1" w:styleId="KommentintekstiChar">
    <w:name w:val="Kommentin teksti Char"/>
    <w:basedOn w:val="Kappaleenoletusfontti"/>
    <w:link w:val="Kommentinteksti"/>
    <w:rsid w:val="000F451D"/>
  </w:style>
  <w:style w:type="paragraph" w:styleId="Kommentinotsikko">
    <w:name w:val="annotation subject"/>
    <w:basedOn w:val="Kommentinteksti"/>
    <w:next w:val="Kommentinteksti"/>
    <w:link w:val="KommentinotsikkoChar"/>
    <w:rsid w:val="000F451D"/>
    <w:rPr>
      <w:b/>
      <w:bCs/>
    </w:rPr>
  </w:style>
  <w:style w:type="character" w:customStyle="1" w:styleId="KommentinotsikkoChar">
    <w:name w:val="Kommentin otsikko Char"/>
    <w:basedOn w:val="KommentintekstiChar"/>
    <w:link w:val="Kommentinotsikko"/>
    <w:rsid w:val="000F45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2"/>
    </w:rPr>
  </w:style>
  <w:style w:type="paragraph" w:styleId="Otsikko1">
    <w:name w:val="heading 1"/>
    <w:basedOn w:val="Normaali"/>
    <w:next w:val="Normaali"/>
    <w:qFormat/>
    <w:pPr>
      <w:keepNext/>
      <w:outlineLvl w:val="0"/>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rsid w:val="00D74722"/>
    <w:pPr>
      <w:spacing w:after="200"/>
      <w:ind w:left="1296"/>
    </w:pPr>
    <w:rPr>
      <w:sz w:val="2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rPr>
      <w:sz w:val="16"/>
    </w:rPr>
  </w:style>
  <w:style w:type="paragraph" w:customStyle="1" w:styleId="Luetteloviiva">
    <w:name w:val="Luettelo viiva"/>
    <w:basedOn w:val="Luettelonumero"/>
    <w:pPr>
      <w:numPr>
        <w:numId w:val="1"/>
      </w:numPr>
      <w:tabs>
        <w:tab w:val="clear" w:pos="360"/>
        <w:tab w:val="left" w:pos="216"/>
      </w:tabs>
      <w:spacing w:after="0"/>
      <w:ind w:left="1512" w:hanging="216"/>
    </w:pPr>
  </w:style>
  <w:style w:type="character" w:styleId="Hyperlinkki">
    <w:name w:val="Hyperlink"/>
    <w:basedOn w:val="Kappaleenoletusfontti"/>
    <w:rPr>
      <w:color w:val="0000FF"/>
      <w:u w:val="single"/>
    </w:rPr>
  </w:style>
  <w:style w:type="character" w:styleId="Sivunumero">
    <w:name w:val="page number"/>
    <w:basedOn w:val="Kappaleenoletusfontti"/>
  </w:style>
  <w:style w:type="paragraph" w:styleId="Alaotsikko">
    <w:name w:val="Subtitle"/>
    <w:basedOn w:val="Leipteksti"/>
    <w:next w:val="Leipteksti"/>
    <w:qFormat/>
    <w:rsid w:val="00C1387A"/>
    <w:pPr>
      <w:tabs>
        <w:tab w:val="left" w:pos="2592"/>
      </w:tabs>
      <w:ind w:left="0"/>
    </w:pPr>
    <w:rPr>
      <w:b/>
    </w:rPr>
  </w:style>
  <w:style w:type="paragraph" w:customStyle="1" w:styleId="Asiakirjannimi">
    <w:name w:val="Asiakirjan nimi"/>
    <w:next w:val="Leipteksti"/>
    <w:rsid w:val="00D74722"/>
    <w:pPr>
      <w:tabs>
        <w:tab w:val="left" w:pos="2592"/>
      </w:tabs>
      <w:spacing w:after="200"/>
    </w:pPr>
    <w:rPr>
      <w:b/>
      <w:caps/>
      <w:sz w:val="22"/>
    </w:rPr>
  </w:style>
  <w:style w:type="paragraph" w:customStyle="1" w:styleId="Leiptekstivasen">
    <w:name w:val="Leipäteksti vasen"/>
    <w:basedOn w:val="Leipteksti"/>
    <w:pPr>
      <w:spacing w:after="0"/>
      <w:ind w:left="0"/>
    </w:pPr>
  </w:style>
  <w:style w:type="paragraph" w:customStyle="1" w:styleId="Luettelonumero">
    <w:name w:val="Luettelo numero"/>
    <w:basedOn w:val="Leipteksti"/>
    <w:rsid w:val="00AF5A01"/>
    <w:pPr>
      <w:numPr>
        <w:numId w:val="2"/>
      </w:numPr>
      <w:tabs>
        <w:tab w:val="clear" w:pos="2952"/>
      </w:tabs>
      <w:ind w:left="1656"/>
    </w:pPr>
  </w:style>
  <w:style w:type="paragraph" w:customStyle="1" w:styleId="Leiptekstiilmankpl-vli">
    <w:name w:val="Leipäteksti ilman kpl-väliä"/>
    <w:basedOn w:val="Leipteksti"/>
    <w:pPr>
      <w:spacing w:after="0"/>
    </w:pPr>
  </w:style>
  <w:style w:type="table" w:styleId="TaulukkoRuudukko">
    <w:name w:val="Table Grid"/>
    <w:basedOn w:val="Normaalitaulukko"/>
    <w:rsid w:val="000A07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teystietojenfontti">
    <w:name w:val="Yhteystietojen fontti"/>
    <w:basedOn w:val="Leipteksti"/>
    <w:pPr>
      <w:spacing w:after="0"/>
      <w:ind w:left="0"/>
    </w:pPr>
    <w:rPr>
      <w:sz w:val="16"/>
    </w:rPr>
  </w:style>
  <w:style w:type="paragraph" w:customStyle="1" w:styleId="Asiakirjatyyppi">
    <w:name w:val="Asiakirjatyyppi"/>
    <w:rsid w:val="00D74722"/>
    <w:rPr>
      <w:b/>
      <w:caps/>
      <w:sz w:val="22"/>
    </w:rPr>
  </w:style>
  <w:style w:type="paragraph" w:customStyle="1" w:styleId="AsKirjNro">
    <w:name w:val="AsKirjNro"/>
    <w:basedOn w:val="Leiptekstivasen"/>
    <w:rPr>
      <w:sz w:val="16"/>
      <w:szCs w:val="16"/>
    </w:rPr>
  </w:style>
  <w:style w:type="paragraph" w:styleId="Seliteteksti">
    <w:name w:val="Balloon Text"/>
    <w:basedOn w:val="Normaali"/>
    <w:link w:val="SelitetekstiChar"/>
    <w:rsid w:val="003E584C"/>
    <w:rPr>
      <w:rFonts w:ascii="Tahoma" w:hAnsi="Tahoma" w:cs="Tahoma"/>
      <w:sz w:val="16"/>
      <w:szCs w:val="16"/>
    </w:rPr>
  </w:style>
  <w:style w:type="character" w:customStyle="1" w:styleId="SelitetekstiChar">
    <w:name w:val="Seliteteksti Char"/>
    <w:basedOn w:val="Kappaleenoletusfontti"/>
    <w:link w:val="Seliteteksti"/>
    <w:rsid w:val="003E584C"/>
    <w:rPr>
      <w:rFonts w:ascii="Tahoma" w:hAnsi="Tahoma" w:cs="Tahoma"/>
      <w:sz w:val="16"/>
      <w:szCs w:val="16"/>
    </w:rPr>
  </w:style>
  <w:style w:type="character" w:customStyle="1" w:styleId="LeiptekstiChar">
    <w:name w:val="Leipäteksti Char"/>
    <w:basedOn w:val="Kappaleenoletusfontti"/>
    <w:link w:val="Leipteksti"/>
    <w:rsid w:val="00BF4E5B"/>
    <w:rPr>
      <w:sz w:val="22"/>
    </w:rPr>
  </w:style>
  <w:style w:type="character" w:styleId="Kommentinviite">
    <w:name w:val="annotation reference"/>
    <w:basedOn w:val="Kappaleenoletusfontti"/>
    <w:rsid w:val="000F451D"/>
    <w:rPr>
      <w:sz w:val="16"/>
      <w:szCs w:val="16"/>
    </w:rPr>
  </w:style>
  <w:style w:type="paragraph" w:styleId="Kommentinteksti">
    <w:name w:val="annotation text"/>
    <w:basedOn w:val="Normaali"/>
    <w:link w:val="KommentintekstiChar"/>
    <w:rsid w:val="000F451D"/>
    <w:rPr>
      <w:sz w:val="20"/>
    </w:rPr>
  </w:style>
  <w:style w:type="character" w:customStyle="1" w:styleId="KommentintekstiChar">
    <w:name w:val="Kommentin teksti Char"/>
    <w:basedOn w:val="Kappaleenoletusfontti"/>
    <w:link w:val="Kommentinteksti"/>
    <w:rsid w:val="000F451D"/>
  </w:style>
  <w:style w:type="paragraph" w:styleId="Kommentinotsikko">
    <w:name w:val="annotation subject"/>
    <w:basedOn w:val="Kommentinteksti"/>
    <w:next w:val="Kommentinteksti"/>
    <w:link w:val="KommentinotsikkoChar"/>
    <w:rsid w:val="000F451D"/>
    <w:rPr>
      <w:b/>
      <w:bCs/>
    </w:rPr>
  </w:style>
  <w:style w:type="character" w:customStyle="1" w:styleId="KommentinotsikkoChar">
    <w:name w:val="Kommentin otsikko Char"/>
    <w:basedOn w:val="KommentintekstiChar"/>
    <w:link w:val="Kommentinotsikko"/>
    <w:rsid w:val="000F4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93507">
      <w:bodyDiv w:val="1"/>
      <w:marLeft w:val="0"/>
      <w:marRight w:val="0"/>
      <w:marTop w:val="0"/>
      <w:marBottom w:val="0"/>
      <w:divBdr>
        <w:top w:val="none" w:sz="0" w:space="0" w:color="auto"/>
        <w:left w:val="none" w:sz="0" w:space="0" w:color="auto"/>
        <w:bottom w:val="none" w:sz="0" w:space="0" w:color="auto"/>
        <w:right w:val="none" w:sz="0" w:space="0" w:color="auto"/>
      </w:divBdr>
    </w:div>
    <w:div w:id="120398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3388</Words>
  <Characters>30054</Characters>
  <Application>Microsoft Office Word</Application>
  <DocSecurity>4</DocSecurity>
  <Lines>250</Lines>
  <Paragraphs>66</Paragraphs>
  <ScaleCrop>false</ScaleCrop>
  <HeadingPairs>
    <vt:vector size="2" baseType="variant">
      <vt:variant>
        <vt:lpstr>Otsikko</vt:lpstr>
      </vt:variant>
      <vt:variant>
        <vt:i4>1</vt:i4>
      </vt:variant>
    </vt:vector>
  </HeadingPairs>
  <TitlesOfParts>
    <vt:vector size="1" baseType="lpstr">
      <vt:lpstr>Asiakirjamalli</vt:lpstr>
    </vt:vector>
  </TitlesOfParts>
  <Company>Maa- ja Metsätalousministeriö</Company>
  <LinksUpToDate>false</LinksUpToDate>
  <CharactersWithSpaces>33376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dc:title>
  <dc:creator>Edita Prima Oy</dc:creator>
  <cp:lastModifiedBy>Tirkkonen Suoma</cp:lastModifiedBy>
  <cp:revision>2</cp:revision>
  <cp:lastPrinted>2016-08-31T12:17:00Z</cp:lastPrinted>
  <dcterms:created xsi:type="dcterms:W3CDTF">2016-09-01T09:38:00Z</dcterms:created>
  <dcterms:modified xsi:type="dcterms:W3CDTF">2016-09-01T09:38:00Z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_UPDATE_TYPE">
    <vt:lpwstr>UPDATE_DONE</vt:lpwstr>
  </property>
  <property fmtid="{D5CDD505-2E9C-101B-9397-08002B2CF9AE}" pid="3" name="PROP_UPDATE_DOCID">
    <vt:lpwstr>MMM#221977#1</vt:lpwstr>
  </property>
  <property fmtid="{D5CDD505-2E9C-101B-9397-08002B2CF9AE}" pid="4" name="_AdHocReviewCycleID">
    <vt:i4>-1224065935</vt:i4>
  </property>
  <property fmtid="{D5CDD505-2E9C-101B-9397-08002B2CF9AE}" pid="5" name="_NewReviewCycle">
    <vt:lpwstr/>
  </property>
  <property fmtid="{D5CDD505-2E9C-101B-9397-08002B2CF9AE}" pid="6" name="_EmailSubject">
    <vt:lpwstr>Maa- ja metsätalousministeriön lausunto luonnoksesta hallituksen esitykseksi maankäyttö- ja rakennuslain muuttamisesta 1116/04.01.03/2016</vt:lpwstr>
  </property>
  <property fmtid="{D5CDD505-2E9C-101B-9397-08002B2CF9AE}" pid="7" name="_AuthorEmail">
    <vt:lpwstr>Johanna.Niemivuo-Lahti@mmm.fi</vt:lpwstr>
  </property>
  <property fmtid="{D5CDD505-2E9C-101B-9397-08002B2CF9AE}" pid="8" name="_AuthorEmailDisplayName">
    <vt:lpwstr>Niemivuo-Lahti Johanna MMM</vt:lpwstr>
  </property>
  <property fmtid="{D5CDD505-2E9C-101B-9397-08002B2CF9AE}" pid="9" name="_PreviousAdHocReviewCycleID">
    <vt:i4>1949690349</vt:i4>
  </property>
  <property fmtid="{D5CDD505-2E9C-101B-9397-08002B2CF9AE}" pid="10" name="_ReviewingToolsShownOnce">
    <vt:lpwstr/>
  </property>
</Properties>
</file>