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1D" w:rsidRDefault="002F431D" w:rsidP="002F431D">
      <w:bookmarkStart w:id="0" w:name="_GoBack"/>
      <w:bookmarkEnd w:id="0"/>
      <w:r>
        <w:t>Ympäristöministeriö</w:t>
      </w:r>
    </w:p>
    <w:p w:rsidR="002F431D" w:rsidRDefault="00B528BA" w:rsidP="002F431D">
      <w:hyperlink r:id="rId8" w:history="1">
        <w:r w:rsidR="002F431D" w:rsidRPr="00FE1BA0">
          <w:rPr>
            <w:rStyle w:val="Hyperlinkki"/>
          </w:rPr>
          <w:t>kirjaamo@ym.fi</w:t>
        </w:r>
      </w:hyperlink>
    </w:p>
    <w:p w:rsidR="002F431D" w:rsidRDefault="002F431D" w:rsidP="002F431D"/>
    <w:p w:rsidR="002F431D" w:rsidRDefault="002F431D" w:rsidP="002F431D"/>
    <w:p w:rsidR="002F431D" w:rsidRDefault="002F431D" w:rsidP="002F431D">
      <w:r>
        <w:t>Lausuntopyyntö 22.6.2016</w:t>
      </w:r>
    </w:p>
    <w:p w:rsidR="002F431D" w:rsidRDefault="002F431D" w:rsidP="002F431D"/>
    <w:p w:rsidR="002F431D" w:rsidRDefault="002F431D" w:rsidP="002F431D"/>
    <w:p w:rsidR="002F431D" w:rsidRDefault="002F431D" w:rsidP="002F431D">
      <w:pPr>
        <w:rPr>
          <w:b/>
          <w:sz w:val="28"/>
          <w:szCs w:val="28"/>
        </w:rPr>
      </w:pPr>
      <w:r>
        <w:rPr>
          <w:b/>
          <w:sz w:val="28"/>
          <w:szCs w:val="28"/>
        </w:rPr>
        <w:t>MTK-Varsinais-Suomen lausunto maankäyttö- ja rakennuslain uudistamisesta</w:t>
      </w:r>
    </w:p>
    <w:p w:rsidR="002F431D" w:rsidRPr="00C337F2" w:rsidRDefault="002F431D" w:rsidP="002F431D">
      <w:pPr>
        <w:rPr>
          <w:b/>
          <w:sz w:val="28"/>
          <w:szCs w:val="28"/>
        </w:rPr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Maankäyttö- ja rakennuslailla on keskeisessä asemassa maaseudun toiminnan ja elinvoiman ylläpidossa. Nykyinen laki ja sen tulkinnat rajoittavan merkittävästi maaseuturakentamista ja maaseutuelinkeinojen kehittämistä.</w:t>
      </w:r>
    </w:p>
    <w:p w:rsidR="002F431D" w:rsidRDefault="002F431D" w:rsidP="002F431D"/>
    <w:p w:rsidR="002F431D" w:rsidRDefault="002F431D" w:rsidP="002F431D">
      <w:pPr>
        <w:ind w:left="2608"/>
      </w:pPr>
      <w:r>
        <w:t xml:space="preserve">Nykyisen lain tulkinta on Varsinais-Suomessa johtanut siihen, että maaseutua käsitellään samoin perustein kuin kovan rakentamispaineen alla taajamia ja niiden lähialueita. On ymmärrettävää ja hyväksyttävää että näillä taajama-alueilla on alueiden suunnittelun tarve, mutta esim. suunnittelutarvealueista on tullut lain tarkoituksen vastaisesti väline alueiden varaamiseen, eikä kunnilla ole ollut tarkoituskaan ryhtyä ko. alueilla yleis- </w:t>
      </w:r>
      <w:r w:rsidR="001F1F91">
        <w:t>taikka</w:t>
      </w:r>
      <w:r>
        <w:t xml:space="preserve"> asemakaavoittamaan. Näin ei jatkossa olla.</w:t>
      </w:r>
    </w:p>
    <w:p w:rsidR="002F431D" w:rsidRDefault="002F431D" w:rsidP="002F431D"/>
    <w:p w:rsidR="002F431D" w:rsidRDefault="002F431D" w:rsidP="002F431D">
      <w:pPr>
        <w:ind w:left="2608"/>
      </w:pPr>
      <w:r>
        <w:t>Kun rakentamiseen liittyvät lupa- ja muut prosessit ovat hankalia ja käytettävät terminologia moniselitteistä, niin lainmuutos on tervetullut.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Yleistä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 xml:space="preserve">Hallituksen esitysluonnos näyttää helpottavan prosesseja mutta itse asia, eli rakentaminen ei helpotu lainkaan. Asia jopa todetaan tekstissä (s.33 137§) ettei ole tarkoituskaan muuttaa oikeuskäytäntöä. MTK-Varsinais-Suomi pitää </w:t>
      </w:r>
      <w:r w:rsidR="005871E2">
        <w:t>erikoisena</w:t>
      </w:r>
      <w:r w:rsidR="0066715C">
        <w:t xml:space="preserve"> lainmuutosta</w:t>
      </w:r>
      <w:r>
        <w:t>, jonka tarkoitus ei ol</w:t>
      </w:r>
      <w:r w:rsidR="0066715C">
        <w:t>isi</w:t>
      </w:r>
      <w:r>
        <w:t xml:space="preserve"> muuttaa mitään?</w:t>
      </w:r>
    </w:p>
    <w:p w:rsidR="002F431D" w:rsidRDefault="002F431D" w:rsidP="002F431D">
      <w:pPr>
        <w:ind w:left="2608"/>
      </w:pPr>
    </w:p>
    <w:p w:rsidR="002F431D" w:rsidRDefault="0066715C" w:rsidP="002F431D">
      <w:pPr>
        <w:ind w:left="2608"/>
      </w:pPr>
      <w:r>
        <w:t>H</w:t>
      </w:r>
      <w:r w:rsidR="002F431D">
        <w:t xml:space="preserve">allitusohjelman kirjaukset tarkoittavat </w:t>
      </w:r>
      <w:r>
        <w:t xml:space="preserve">selkeästi </w:t>
      </w:r>
      <w:r w:rsidR="002F431D">
        <w:t>sekä itse rakentamisen helpottamista kuin prosessienkin sujuvoittamista.</w:t>
      </w:r>
      <w:r>
        <w:t xml:space="preserve"> Ja näin pitää myös toimia.</w:t>
      </w:r>
      <w:r w:rsidR="002F431D">
        <w:t xml:space="preserve"> 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 xml:space="preserve">Kaikki sujuvoittaminen näyttääkin koskevan vain kaavoitettuja alueita. </w:t>
      </w:r>
      <w:r w:rsidR="0066715C">
        <w:t xml:space="preserve">Katsomme, että sujuvoittamisen tulee koskea kaikkia alueita. </w:t>
      </w:r>
      <w:r>
        <w:t>Esitys tul</w:t>
      </w:r>
      <w:r w:rsidR="0066715C">
        <w:t>isi</w:t>
      </w:r>
      <w:r>
        <w:t xml:space="preserve"> toteutuessaan johtamaan siihen, että </w:t>
      </w:r>
      <w:r w:rsidR="0066715C">
        <w:t>tarve kaavoittaa</w:t>
      </w:r>
      <w:r>
        <w:t xml:space="preserve"> lisäänty</w:t>
      </w:r>
      <w:r w:rsidR="0066715C">
        <w:t>isi</w:t>
      </w:r>
      <w:r>
        <w:t>. Kuntien kyky vastata tähän tuskin paranee, joten hallituksen esitysluonnos itseasiassa heikentä</w:t>
      </w:r>
      <w:r w:rsidR="0066715C">
        <w:t>isi</w:t>
      </w:r>
      <w:r>
        <w:t xml:space="preserve"> rakentamismahdollisuuksia eikä niitä lisää, kuten oli hallitusohjelman tarkoitus. </w:t>
      </w:r>
    </w:p>
    <w:p w:rsidR="002F431D" w:rsidRDefault="002F431D" w:rsidP="002F431D">
      <w:pPr>
        <w:ind w:left="2608"/>
      </w:pPr>
    </w:p>
    <w:p w:rsidR="0066715C" w:rsidRDefault="0066715C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lastRenderedPageBreak/>
        <w:t>Yksityiskohdat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18§</w:t>
      </w:r>
    </w:p>
    <w:p w:rsidR="002F431D" w:rsidRDefault="002F431D" w:rsidP="002F431D">
      <w:pPr>
        <w:ind w:left="2608"/>
      </w:pPr>
    </w:p>
    <w:p w:rsidR="002F431D" w:rsidRDefault="0066715C" w:rsidP="002F431D">
      <w:pPr>
        <w:ind w:left="2608"/>
      </w:pPr>
      <w:r>
        <w:t xml:space="preserve">Emme tunnista tilanteita, joissa </w:t>
      </w:r>
      <w:r w:rsidR="002F431D">
        <w:t>voisi olla maankäytöllis</w:t>
      </w:r>
      <w:r>
        <w:t>iä tai ympäristöllisiä</w:t>
      </w:r>
      <w:r w:rsidR="002F431D">
        <w:t xml:space="preserve"> merkittäv</w:t>
      </w:r>
      <w:r>
        <w:t>iä</w:t>
      </w:r>
      <w:r w:rsidR="002F431D">
        <w:t xml:space="preserve"> maakunnallis</w:t>
      </w:r>
      <w:r>
        <w:t>ia</w:t>
      </w:r>
      <w:r w:rsidR="002F431D">
        <w:t xml:space="preserve"> asi</w:t>
      </w:r>
      <w:r>
        <w:t>oita</w:t>
      </w:r>
      <w:r w:rsidR="002F431D">
        <w:t>, joita ei ole huomioitu maakuntakaavassa. Esitämme Elyn tehtäväksi valvoa vain valtakunnallisesti merkittävät kohteet, koska maakuntakaava huomioi jo maakunnallisesti merkittävät asiat. Elyn tulee siis valvoa maakunnallisesti vain sitä</w:t>
      </w:r>
      <w:r>
        <w:t>,</w:t>
      </w:r>
      <w:r w:rsidR="002F431D">
        <w:t xml:space="preserve"> ettei kaavoituksessa tai muussa viranomaistoiminnassa synny ristiriitaa maakuntakaavan kanssa.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38§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Toimenpiderajoituksen tulee olla voim</w:t>
      </w:r>
      <w:r w:rsidR="0066715C">
        <w:t>assa viisi vuotta ja erityisen painavasta</w:t>
      </w:r>
      <w:r>
        <w:t xml:space="preserve"> syystä sitä voidaan pidentää viidellä vuodella. Esityksessä oleva 5+5+5 malli on täysin kohtuuton maanomistajan oikeusturvan kannalta.</w:t>
      </w:r>
      <w:r w:rsidR="0066715C">
        <w:t xml:space="preserve"> Tästä on erittäin ikäviä esimerkkejä esimerkiksi Turun kaavoituksessa.</w:t>
      </w:r>
    </w:p>
    <w:p w:rsidR="005E0679" w:rsidRDefault="005E0679" w:rsidP="002F431D">
      <w:pPr>
        <w:ind w:left="2608"/>
      </w:pPr>
    </w:p>
    <w:p w:rsidR="005E0679" w:rsidRDefault="005E0679" w:rsidP="002F431D">
      <w:pPr>
        <w:ind w:left="2608"/>
      </w:pPr>
      <w:r>
        <w:t>128§</w:t>
      </w:r>
    </w:p>
    <w:p w:rsidR="001C22A6" w:rsidRDefault="001C22A6" w:rsidP="002F431D">
      <w:pPr>
        <w:ind w:left="2608"/>
      </w:pPr>
      <w:r>
        <w:t>Esitämme, että ilman maisematyölupaa on voitava myös kunnostaa ja kaivaa ojia.</w:t>
      </w:r>
    </w:p>
    <w:p w:rsidR="00A5480F" w:rsidRDefault="00A5480F" w:rsidP="002F431D">
      <w:pPr>
        <w:ind w:left="2608"/>
      </w:pPr>
    </w:p>
    <w:p w:rsidR="00A5480F" w:rsidRDefault="00A5480F" w:rsidP="002F431D">
      <w:pPr>
        <w:ind w:left="2608"/>
      </w:pPr>
      <w:r>
        <w:t>Lisäksi kohtaa 4 muutettavaksi siten, että lupaa ei tarvita, jos alueelle kaavassa suunnitellaan maa- ja metsätalousvaltaiseksi alueeksi. On kohtuutonta vaatia maisemalupaa tulevalta maa- ja metsätalousvaltaiselta alueelta</w:t>
      </w:r>
    </w:p>
    <w:p w:rsidR="00A5480F" w:rsidRDefault="00A5480F" w:rsidP="002F431D">
      <w:pPr>
        <w:ind w:left="2608"/>
      </w:pPr>
    </w:p>
    <w:p w:rsidR="00A5480F" w:rsidRDefault="00A5480F" w:rsidP="002F431D">
      <w:pPr>
        <w:ind w:left="2608"/>
      </w:pPr>
      <w:r>
        <w:t>Yleiskaava- ja yleiskaavan suunnittelualueilla maisematyöluvan tulee olla maksuton.</w:t>
      </w:r>
    </w:p>
    <w:p w:rsidR="005E0679" w:rsidRDefault="001C22A6" w:rsidP="002F431D">
      <w:pPr>
        <w:ind w:left="2608"/>
      </w:pPr>
      <w:r>
        <w:t xml:space="preserve"> 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137§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 xml:space="preserve">Kohdan yksi ”tai alueiden käytön muulle järjestämiselle” on liian lavea koska kaavoituksen lisäksi muut oleelliset asiat otetaan huomioon seuraavissa kohdissa. Mitä järjestelyjä tässä tarkoitetaan? </w:t>
      </w:r>
      <w:r w:rsidR="00A5480F">
        <w:t>Esitämme</w:t>
      </w:r>
      <w:r>
        <w:t xml:space="preserve"> kohdan ”muulle järjestämiselle” poistamista turhana.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Kohdassa kaksi nousee palveluiden järjestäminen liian vahvaan asemaan. Palvelut ovat jo keskittyneet ja siirtyneet niin</w:t>
      </w:r>
      <w:r w:rsidR="001F1F91">
        <w:t xml:space="preserve"> </w:t>
      </w:r>
      <w:r>
        <w:t>kauas ettei ilman henkilöautoa pärjää. Palveluiden digitalisointi tuo osan palveluista takaisin, ilman että rakentamisella on siihen mitään vaikutusta. Hyvänä esimerkkinä tästä on pankkitoiminta.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Kohta on syytä tarkentaa esim.  ”välttämättömien lähipalveluiden saatavuuden kannalta”, joissa fyysisellä etäisyydellä on voimakas merkitys.</w:t>
      </w:r>
    </w:p>
    <w:p w:rsidR="002F431D" w:rsidRDefault="002F431D" w:rsidP="002F431D">
      <w:pPr>
        <w:ind w:left="2608"/>
      </w:pPr>
    </w:p>
    <w:p w:rsidR="002F431D" w:rsidRPr="00E6361F" w:rsidRDefault="002F431D" w:rsidP="002F431D">
      <w:pPr>
        <w:ind w:left="2608"/>
      </w:pPr>
      <w:r>
        <w:lastRenderedPageBreak/>
        <w:t xml:space="preserve">Tekstiin on lisättävä: ” …jo olemassa olevaan maaseutuyritykseen kuuluvan maa- ja metsätalouden harjoittamista varten tarpeellisen rakennuksen </w:t>
      </w:r>
      <w:r w:rsidRPr="00E6361F">
        <w:rPr>
          <w:i/>
        </w:rPr>
        <w:t>tai muuttaa olemassa olevan rakennuksen käyttötarkoitusta</w:t>
      </w:r>
      <w:r w:rsidRPr="00E6361F">
        <w:t>.” MTK-</w:t>
      </w:r>
      <w:r w:rsidR="00A5480F">
        <w:t>Varsinais-Suomen</w:t>
      </w:r>
      <w:r w:rsidRPr="00E6361F">
        <w:t xml:space="preserve"> mielestä joskus </w:t>
      </w:r>
      <w:r w:rsidR="00A5480F">
        <w:t>tulee</w:t>
      </w:r>
      <w:r w:rsidRPr="00E6361F">
        <w:t xml:space="preserve"> tilanteita jossa vain käyttötarkoitusta muuttamalla voidaan asia ratkais</w:t>
      </w:r>
      <w:r>
        <w:t>ta</w:t>
      </w:r>
      <w:r w:rsidRPr="00E6361F">
        <w:t>.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192§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Ely-keskuksella tulee olla valitusoikeus vain valtakunnallisesti merkittävissä asioissa tai, että se on ristiriidassa maakuntakaavan kanssa.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193§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Kohdan kuusi valitusoikeus tulee poistaa yhdistyksien tasa-arvoisen kohtelun perusteella tai laajentaa se koskemaan myös sellaisia yhdistyksiä, joiden tarkoituksena on edistää yritystoimintaa, parantaa kansalaisten taloudellisia edellytyksiä tms. Miksi vain luonto-, ympäristö tai kulttuuriarvoja edistävä yhdistys on oikeutettu valittamaan?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  <w:r>
        <w:t>Toimen puolesta</w:t>
      </w:r>
    </w:p>
    <w:p w:rsidR="002F431D" w:rsidRDefault="002F431D" w:rsidP="002F431D">
      <w:pPr>
        <w:ind w:left="2608"/>
      </w:pPr>
    </w:p>
    <w:p w:rsidR="002F431D" w:rsidRDefault="002F431D" w:rsidP="002F431D">
      <w:pPr>
        <w:ind w:left="2608"/>
      </w:pPr>
    </w:p>
    <w:p w:rsidR="002F431D" w:rsidRDefault="00A5480F" w:rsidP="002F431D">
      <w:pPr>
        <w:ind w:left="2608"/>
      </w:pPr>
      <w:r>
        <w:t>Paavo Myllymäki</w:t>
      </w:r>
    </w:p>
    <w:p w:rsidR="002F431D" w:rsidRDefault="001F1F91" w:rsidP="002F431D">
      <w:pPr>
        <w:ind w:left="2608"/>
      </w:pPr>
      <w:r>
        <w:t>T</w:t>
      </w:r>
      <w:r w:rsidR="002F431D">
        <w:t>oiminnanjohtaja</w:t>
      </w:r>
    </w:p>
    <w:p w:rsidR="001F1F91" w:rsidRPr="00F84900" w:rsidRDefault="001F1F91" w:rsidP="002F431D">
      <w:pPr>
        <w:ind w:left="2608"/>
        <w:rPr>
          <w:sz w:val="22"/>
        </w:rPr>
      </w:pPr>
      <w:r>
        <w:t>MTK-Varsinais-Suomi</w:t>
      </w:r>
    </w:p>
    <w:p w:rsidR="00CC736E" w:rsidRDefault="00CC736E"/>
    <w:sectPr w:rsidR="00CC736E" w:rsidSect="00C337F2">
      <w:headerReference w:type="default" r:id="rId9"/>
      <w:pgSz w:w="11906" w:h="16838" w:code="9"/>
      <w:pgMar w:top="720" w:right="720" w:bottom="720" w:left="720" w:header="567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430" w:rsidRDefault="00D53430" w:rsidP="002F431D">
      <w:r>
        <w:separator/>
      </w:r>
    </w:p>
  </w:endnote>
  <w:endnote w:type="continuationSeparator" w:id="0">
    <w:p w:rsidR="00D53430" w:rsidRDefault="00D53430" w:rsidP="002F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MV Bol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430" w:rsidRDefault="00D53430" w:rsidP="002F431D">
      <w:r>
        <w:separator/>
      </w:r>
    </w:p>
  </w:footnote>
  <w:footnote w:type="continuationSeparator" w:id="0">
    <w:p w:rsidR="00D53430" w:rsidRDefault="00D53430" w:rsidP="002F4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50" w:type="dxa"/>
      <w:tblInd w:w="-5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2747"/>
      <w:gridCol w:w="1212"/>
      <w:gridCol w:w="347"/>
      <w:gridCol w:w="2426"/>
      <w:gridCol w:w="1212"/>
      <w:gridCol w:w="15"/>
      <w:gridCol w:w="1197"/>
      <w:gridCol w:w="835"/>
    </w:tblGrid>
    <w:tr w:rsidR="00C337F2" w:rsidTr="00C337F2">
      <w:trPr>
        <w:gridBefore w:val="1"/>
        <w:wBefore w:w="1559" w:type="dxa"/>
        <w:trHeight w:val="1222"/>
      </w:trPr>
      <w:tc>
        <w:tcPr>
          <w:tcW w:w="4306" w:type="dxa"/>
          <w:gridSpan w:val="3"/>
          <w:vAlign w:val="center"/>
        </w:tcPr>
        <w:p w:rsidR="00C337F2" w:rsidRPr="00A5480F" w:rsidRDefault="00A5480F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  <w:b/>
              <w:szCs w:val="24"/>
            </w:rPr>
          </w:pPr>
          <w:r w:rsidRPr="00A5480F">
            <w:rPr>
              <w:rFonts w:ascii="Arial" w:hAnsi="Arial" w:cs="Arial"/>
              <w:b/>
              <w:szCs w:val="24"/>
            </w:rPr>
            <w:t>MTK-Varsinais-Suomi</w:t>
          </w:r>
        </w:p>
        <w:p w:rsidR="00A5480F" w:rsidRPr="00A5480F" w:rsidRDefault="00A5480F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  <w:b/>
              <w:szCs w:val="24"/>
            </w:rPr>
          </w:pPr>
          <w:r w:rsidRPr="00A5480F">
            <w:rPr>
              <w:rFonts w:ascii="Arial" w:hAnsi="Arial" w:cs="Arial"/>
              <w:b/>
              <w:szCs w:val="24"/>
            </w:rPr>
            <w:t>PM/pm</w:t>
          </w:r>
        </w:p>
        <w:p w:rsidR="00A5480F" w:rsidRDefault="00A5480F">
          <w:pPr>
            <w:pStyle w:val="Yltunniste"/>
            <w:tabs>
              <w:tab w:val="clear" w:pos="4819"/>
              <w:tab w:val="clear" w:pos="9638"/>
            </w:tabs>
          </w:pPr>
        </w:p>
        <w:p w:rsidR="00A5480F" w:rsidRDefault="00A5480F">
          <w:pPr>
            <w:pStyle w:val="Yltunniste"/>
            <w:tabs>
              <w:tab w:val="clear" w:pos="4819"/>
              <w:tab w:val="clear" w:pos="9638"/>
            </w:tabs>
          </w:pPr>
        </w:p>
        <w:p w:rsidR="00A5480F" w:rsidRDefault="00A5480F">
          <w:pPr>
            <w:pStyle w:val="Yltunniste"/>
            <w:tabs>
              <w:tab w:val="clear" w:pos="4819"/>
              <w:tab w:val="clear" w:pos="9638"/>
            </w:tabs>
          </w:pPr>
        </w:p>
        <w:p w:rsidR="00A5480F" w:rsidRDefault="00A5480F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426" w:type="dxa"/>
        </w:tcPr>
        <w:p w:rsidR="00C337F2" w:rsidRDefault="00B528BA" w:rsidP="00FB2C8D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  <w:p w:rsidR="00C337F2" w:rsidRDefault="00B528BA" w:rsidP="00FB2C8D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  <w:p w:rsidR="00C337F2" w:rsidRDefault="00B528BA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  <w:p w:rsidR="00C337F2" w:rsidRDefault="00B528BA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  <w:p w:rsidR="00C337F2" w:rsidRDefault="00B528BA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  <w:p w:rsidR="00C337F2" w:rsidRDefault="00B528BA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</w:tc>
      <w:tc>
        <w:tcPr>
          <w:tcW w:w="1212" w:type="dxa"/>
        </w:tcPr>
        <w:p w:rsidR="00C337F2" w:rsidRDefault="00D53430" w:rsidP="00C337F2">
          <w:pPr>
            <w:pStyle w:val="Yltunniste"/>
            <w:tabs>
              <w:tab w:val="clear" w:pos="4819"/>
              <w:tab w:val="clear" w:pos="9638"/>
            </w:tabs>
            <w:jc w:val="both"/>
            <w:rPr>
              <w:b/>
            </w:rPr>
          </w:pPr>
          <w:r>
            <w:rPr>
              <w:b/>
            </w:rPr>
            <w:t>Lausunto</w:t>
          </w:r>
        </w:p>
        <w:p w:rsidR="00C337F2" w:rsidRDefault="00B528BA" w:rsidP="00C337F2">
          <w:pPr>
            <w:pStyle w:val="Yltunniste"/>
            <w:tabs>
              <w:tab w:val="clear" w:pos="4819"/>
              <w:tab w:val="clear" w:pos="9638"/>
            </w:tabs>
            <w:jc w:val="both"/>
            <w:rPr>
              <w:b/>
            </w:rPr>
          </w:pPr>
        </w:p>
        <w:p w:rsidR="00C337F2" w:rsidRDefault="00B528BA" w:rsidP="00C337F2">
          <w:pPr>
            <w:pStyle w:val="Yltunniste"/>
            <w:tabs>
              <w:tab w:val="clear" w:pos="4819"/>
              <w:tab w:val="clear" w:pos="9638"/>
            </w:tabs>
            <w:jc w:val="both"/>
            <w:rPr>
              <w:b/>
            </w:rPr>
          </w:pPr>
        </w:p>
        <w:p w:rsidR="00C337F2" w:rsidRDefault="00B528BA" w:rsidP="00C337F2">
          <w:pPr>
            <w:pStyle w:val="Yltunniste"/>
            <w:tabs>
              <w:tab w:val="clear" w:pos="4819"/>
              <w:tab w:val="clear" w:pos="9638"/>
            </w:tabs>
            <w:jc w:val="both"/>
            <w:rPr>
              <w:b/>
            </w:rPr>
          </w:pPr>
        </w:p>
        <w:p w:rsidR="00C337F2" w:rsidRDefault="00B528BA" w:rsidP="00C337F2">
          <w:pPr>
            <w:pStyle w:val="Yltunniste"/>
            <w:tabs>
              <w:tab w:val="clear" w:pos="4819"/>
              <w:tab w:val="clear" w:pos="9638"/>
            </w:tabs>
            <w:jc w:val="both"/>
            <w:rPr>
              <w:b/>
            </w:rPr>
          </w:pPr>
        </w:p>
        <w:p w:rsidR="00C337F2" w:rsidRDefault="002F431D" w:rsidP="00C337F2">
          <w:pPr>
            <w:pStyle w:val="Yltunniste"/>
            <w:tabs>
              <w:tab w:val="clear" w:pos="4819"/>
              <w:tab w:val="clear" w:pos="9638"/>
            </w:tabs>
            <w:jc w:val="both"/>
            <w:rPr>
              <w:b/>
            </w:rPr>
          </w:pPr>
          <w:r>
            <w:rPr>
              <w:b/>
            </w:rPr>
            <w:t>31</w:t>
          </w:r>
          <w:r w:rsidR="00D53430">
            <w:rPr>
              <w:b/>
            </w:rPr>
            <w:t>.8.2016</w:t>
          </w:r>
        </w:p>
        <w:p w:rsidR="00C337F2" w:rsidRDefault="00B528BA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</w:tc>
      <w:tc>
        <w:tcPr>
          <w:tcW w:w="1212" w:type="dxa"/>
          <w:gridSpan w:val="2"/>
          <w:tcBorders>
            <w:left w:val="nil"/>
          </w:tcBorders>
        </w:tcPr>
        <w:p w:rsidR="00C337F2" w:rsidRDefault="00B528BA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</w:tc>
      <w:tc>
        <w:tcPr>
          <w:tcW w:w="835" w:type="dxa"/>
        </w:tcPr>
        <w:p w:rsidR="00C337F2" w:rsidRDefault="00D53430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B528B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 \* MERGEFORMAT </w:instrText>
          </w:r>
          <w:r>
            <w:rPr>
              <w:rStyle w:val="Sivunumero"/>
            </w:rPr>
            <w:fldChar w:fldCharType="separate"/>
          </w:r>
          <w:r w:rsidR="00B528BA">
            <w:rPr>
              <w:rStyle w:val="Sivunumero"/>
              <w:noProof/>
            </w:rPr>
            <w:t>3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:rsidR="00C337F2" w:rsidRDefault="00B528BA">
          <w:pPr>
            <w:pStyle w:val="Yltunniste"/>
            <w:tabs>
              <w:tab w:val="clear" w:pos="4819"/>
              <w:tab w:val="clear" w:pos="9638"/>
            </w:tabs>
          </w:pPr>
        </w:p>
      </w:tc>
    </w:tr>
    <w:tr w:rsidR="00C337F2" w:rsidTr="00C337F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2"/>
        <w:wAfter w:w="2032" w:type="dxa"/>
        <w:trHeight w:val="174"/>
      </w:trPr>
      <w:tc>
        <w:tcPr>
          <w:tcW w:w="43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C337F2" w:rsidRPr="00C031DF" w:rsidRDefault="00B528BA" w:rsidP="00793E12">
          <w:pPr>
            <w:pStyle w:val="Yltunniste"/>
            <w:tabs>
              <w:tab w:val="clear" w:pos="4819"/>
              <w:tab w:val="clear" w:pos="9638"/>
              <w:tab w:val="left" w:pos="1942"/>
            </w:tabs>
            <w:rPr>
              <w:sz w:val="22"/>
              <w:szCs w:val="22"/>
            </w:rPr>
          </w:pPr>
        </w:p>
      </w:tc>
      <w:tc>
        <w:tcPr>
          <w:tcW w:w="1212" w:type="dxa"/>
          <w:tcBorders>
            <w:top w:val="nil"/>
            <w:left w:val="nil"/>
            <w:bottom w:val="nil"/>
            <w:right w:val="nil"/>
          </w:tcBorders>
        </w:tcPr>
        <w:p w:rsidR="00C337F2" w:rsidRDefault="00B528BA" w:rsidP="00FB2C8D">
          <w:pPr>
            <w:pStyle w:val="Yltunniste"/>
            <w:tabs>
              <w:tab w:val="clear" w:pos="4819"/>
              <w:tab w:val="clear" w:pos="9638"/>
              <w:tab w:val="center" w:pos="2544"/>
            </w:tabs>
            <w:ind w:left="1304"/>
            <w:rPr>
              <w:b/>
            </w:rPr>
          </w:pPr>
        </w:p>
      </w:tc>
      <w:tc>
        <w:tcPr>
          <w:tcW w:w="4000" w:type="dxa"/>
          <w:gridSpan w:val="4"/>
          <w:tcBorders>
            <w:top w:val="nil"/>
            <w:left w:val="nil"/>
            <w:bottom w:val="nil"/>
            <w:right w:val="nil"/>
          </w:tcBorders>
        </w:tcPr>
        <w:p w:rsidR="00C337F2" w:rsidRDefault="00D53430" w:rsidP="00C337F2">
          <w:pPr>
            <w:pStyle w:val="Yltunniste"/>
            <w:tabs>
              <w:tab w:val="clear" w:pos="4819"/>
              <w:tab w:val="clear" w:pos="9638"/>
              <w:tab w:val="center" w:pos="2544"/>
            </w:tabs>
            <w:ind w:left="1304"/>
            <w:rPr>
              <w:b/>
            </w:rPr>
          </w:pPr>
          <w:r>
            <w:rPr>
              <w:b/>
            </w:rPr>
            <w:t xml:space="preserve">     </w:t>
          </w:r>
        </w:p>
      </w:tc>
    </w:tr>
  </w:tbl>
  <w:p w:rsidR="003922AC" w:rsidRDefault="00B528BA" w:rsidP="00BE73B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1D"/>
    <w:rsid w:val="001C22A6"/>
    <w:rsid w:val="001F1F91"/>
    <w:rsid w:val="002F431D"/>
    <w:rsid w:val="005871E2"/>
    <w:rsid w:val="005E0679"/>
    <w:rsid w:val="0066715C"/>
    <w:rsid w:val="00692387"/>
    <w:rsid w:val="00934A3D"/>
    <w:rsid w:val="00A5480F"/>
    <w:rsid w:val="00B528BA"/>
    <w:rsid w:val="00CC736E"/>
    <w:rsid w:val="00D5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F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2F431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F431D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styleId="Sivunumero">
    <w:name w:val="page number"/>
    <w:basedOn w:val="Kappaleenoletusfontti"/>
    <w:rsid w:val="002F431D"/>
  </w:style>
  <w:style w:type="character" w:styleId="Hyperlinkki">
    <w:name w:val="Hyperlink"/>
    <w:basedOn w:val="Kappaleenoletusfontti"/>
    <w:unhideWhenUsed/>
    <w:rsid w:val="002F431D"/>
    <w:rPr>
      <w:color w:val="0563C1" w:themeColor="hyperlink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2F431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431D"/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F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2F431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F431D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styleId="Sivunumero">
    <w:name w:val="page number"/>
    <w:basedOn w:val="Kappaleenoletusfontti"/>
    <w:rsid w:val="002F431D"/>
  </w:style>
  <w:style w:type="character" w:styleId="Hyperlinkki">
    <w:name w:val="Hyperlink"/>
    <w:basedOn w:val="Kappaleenoletusfontti"/>
    <w:unhideWhenUsed/>
    <w:rsid w:val="002F431D"/>
    <w:rPr>
      <w:color w:val="0563C1" w:themeColor="hyperlink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2F431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431D"/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ym.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53BE-451C-4D9F-BEB6-B65CD5D3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Myllymäki Paavo</dc:creator>
  <cp:lastModifiedBy>Hakkarainen Satu</cp:lastModifiedBy>
  <cp:revision>2</cp:revision>
  <dcterms:created xsi:type="dcterms:W3CDTF">2016-08-31T11:14:00Z</dcterms:created>
  <dcterms:modified xsi:type="dcterms:W3CDTF">2016-08-31T11:14:00Z</dcterms:modified>
</cp:coreProperties>
</file>