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AD5" w:rsidRPr="007B5515" w:rsidRDefault="000A7B21" w:rsidP="00637AD5">
      <w:pPr>
        <w:keepNext/>
        <w:autoSpaceDE w:val="0"/>
        <w:autoSpaceDN w:val="0"/>
        <w:spacing w:after="0" w:line="240" w:lineRule="auto"/>
        <w:ind w:left="5216" w:firstLine="1304"/>
        <w:jc w:val="both"/>
        <w:outlineLvl w:val="2"/>
        <w:rPr>
          <w:rFonts w:ascii="Calibri" w:eastAsia="Times New Roman" w:hAnsi="Calibri" w:cs="Times New Roman"/>
          <w:lang w:eastAsia="fi-FI"/>
        </w:rPr>
      </w:pPr>
      <w:bookmarkStart w:id="0" w:name="_GoBack"/>
      <w:bookmarkEnd w:id="0"/>
      <w:r>
        <w:rPr>
          <w:rFonts w:cstheme="minorHAnsi"/>
          <w:b/>
          <w:noProof/>
          <w:sz w:val="24"/>
          <w:szCs w:val="24"/>
          <w:lang w:eastAsia="fi-FI"/>
        </w:rPr>
        <w:drawing>
          <wp:anchor distT="0" distB="0" distL="114300" distR="114300" simplePos="0" relativeHeight="251658240" behindDoc="0" locked="0" layoutInCell="1" allowOverlap="1" wp14:anchorId="2E9C1CA5" wp14:editId="3603B7FD">
            <wp:simplePos x="0" y="0"/>
            <wp:positionH relativeFrom="column">
              <wp:posOffset>209550</wp:posOffset>
            </wp:positionH>
            <wp:positionV relativeFrom="paragraph">
              <wp:posOffset>-76200</wp:posOffset>
            </wp:positionV>
            <wp:extent cx="600075" cy="904875"/>
            <wp:effectExtent l="0" t="0" r="9525" b="9525"/>
            <wp:wrapSquare wrapText="bothSides"/>
            <wp:docPr id="1" name="Kuva 1" descr="vaakuna vä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akuna vä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7B21">
        <w:rPr>
          <w:rFonts w:ascii="Calibri" w:eastAsia="Times New Roman" w:hAnsi="Calibri" w:cs="Arial"/>
          <w:b/>
          <w:bCs/>
          <w:spacing w:val="6"/>
          <w:sz w:val="28"/>
          <w:szCs w:val="28"/>
          <w:lang w:eastAsia="fi-FI"/>
        </w:rPr>
        <w:t>Mikkelin kaupunki</w:t>
      </w:r>
      <w:r w:rsidR="007B5515">
        <w:rPr>
          <w:rFonts w:ascii="Calibri" w:eastAsia="Times New Roman" w:hAnsi="Calibri" w:cs="Arial"/>
          <w:b/>
          <w:bCs/>
          <w:spacing w:val="6"/>
          <w:sz w:val="28"/>
          <w:szCs w:val="28"/>
          <w:lang w:eastAsia="fi-FI"/>
        </w:rPr>
        <w:tab/>
      </w:r>
      <w:r w:rsidR="007B5515">
        <w:rPr>
          <w:rFonts w:ascii="Calibri" w:eastAsia="Times New Roman" w:hAnsi="Calibri" w:cs="Arial"/>
          <w:b/>
          <w:bCs/>
          <w:spacing w:val="6"/>
          <w:sz w:val="28"/>
          <w:szCs w:val="28"/>
          <w:lang w:eastAsia="fi-FI"/>
        </w:rPr>
        <w:tab/>
      </w:r>
    </w:p>
    <w:p w:rsidR="000A7B21" w:rsidRPr="000A7B21" w:rsidRDefault="007B5515" w:rsidP="007B5515">
      <w:pPr>
        <w:tabs>
          <w:tab w:val="left" w:pos="5430"/>
          <w:tab w:val="left" w:pos="6255"/>
          <w:tab w:val="right" w:pos="9638"/>
        </w:tabs>
        <w:spacing w:after="0" w:line="240" w:lineRule="auto"/>
        <w:rPr>
          <w:rFonts w:ascii="Calibri" w:eastAsia="Times New Roman" w:hAnsi="Calibri" w:cs="Times New Roman"/>
          <w:lang w:eastAsia="fi-FI"/>
        </w:rPr>
      </w:pPr>
      <w:r w:rsidRPr="007B5515">
        <w:rPr>
          <w:rFonts w:ascii="Calibri" w:eastAsia="Times New Roman" w:hAnsi="Calibri" w:cs="Times New Roman"/>
          <w:lang w:eastAsia="fi-FI"/>
        </w:rPr>
        <w:tab/>
      </w:r>
    </w:p>
    <w:p w:rsidR="00637AD5" w:rsidRPr="000A7B21" w:rsidRDefault="007B5515" w:rsidP="00637AD5">
      <w:pPr>
        <w:tabs>
          <w:tab w:val="right" w:pos="9638"/>
        </w:tabs>
        <w:spacing w:after="0" w:line="240" w:lineRule="auto"/>
        <w:rPr>
          <w:rFonts w:ascii="Calibri" w:eastAsia="Times New Roman" w:hAnsi="Calibri" w:cs="Arial"/>
          <w:b/>
          <w:bCs/>
          <w:spacing w:val="6"/>
          <w:sz w:val="28"/>
          <w:szCs w:val="28"/>
          <w:lang w:eastAsia="fi-FI"/>
        </w:rPr>
      </w:pPr>
      <w:r>
        <w:rPr>
          <w:rFonts w:ascii="Calibri" w:eastAsia="Times New Roman" w:hAnsi="Calibri" w:cs="Times New Roman"/>
          <w:sz w:val="28"/>
          <w:szCs w:val="28"/>
          <w:lang w:eastAsia="fi-FI"/>
        </w:rPr>
        <w:t xml:space="preserve">                                          </w:t>
      </w:r>
      <w:r w:rsidR="000A7B21" w:rsidRPr="000A7B21">
        <w:rPr>
          <w:rFonts w:ascii="Calibri" w:eastAsia="Times New Roman" w:hAnsi="Calibri" w:cs="Times New Roman"/>
          <w:sz w:val="28"/>
          <w:szCs w:val="28"/>
          <w:lang w:eastAsia="fi-FI"/>
        </w:rPr>
        <w:fldChar w:fldCharType="begin"/>
      </w:r>
      <w:r w:rsidR="000A7B21" w:rsidRPr="000A7B21">
        <w:rPr>
          <w:rFonts w:ascii="Calibri" w:eastAsia="Times New Roman" w:hAnsi="Calibri" w:cs="Times New Roman"/>
          <w:sz w:val="28"/>
          <w:szCs w:val="28"/>
          <w:lang w:eastAsia="fi-FI"/>
        </w:rPr>
        <w:instrText xml:space="preserve"> TIME \@ "d.M.yyyy" </w:instrText>
      </w:r>
      <w:r w:rsidR="000A7B21" w:rsidRPr="000A7B21">
        <w:rPr>
          <w:rFonts w:ascii="Calibri" w:eastAsia="Times New Roman" w:hAnsi="Calibri" w:cs="Times New Roman"/>
          <w:sz w:val="28"/>
          <w:szCs w:val="28"/>
          <w:lang w:eastAsia="fi-FI"/>
        </w:rPr>
        <w:fldChar w:fldCharType="separate"/>
      </w:r>
      <w:r w:rsidR="0004536F">
        <w:rPr>
          <w:rFonts w:ascii="Calibri" w:eastAsia="Times New Roman" w:hAnsi="Calibri" w:cs="Times New Roman"/>
          <w:noProof/>
          <w:sz w:val="28"/>
          <w:szCs w:val="28"/>
          <w:lang w:eastAsia="fi-FI"/>
        </w:rPr>
        <w:t>14.8.2015</w:t>
      </w:r>
      <w:r w:rsidR="000A7B21" w:rsidRPr="000A7B21">
        <w:rPr>
          <w:rFonts w:ascii="Calibri" w:eastAsia="Times New Roman" w:hAnsi="Calibri" w:cs="Times New Roman"/>
          <w:sz w:val="28"/>
          <w:szCs w:val="28"/>
          <w:lang w:eastAsia="fi-FI"/>
        </w:rPr>
        <w:fldChar w:fldCharType="end"/>
      </w:r>
      <w:r w:rsidR="00637AD5">
        <w:rPr>
          <w:rFonts w:ascii="Calibri" w:eastAsia="Times New Roman" w:hAnsi="Calibri" w:cs="Times New Roman"/>
          <w:sz w:val="28"/>
          <w:szCs w:val="28"/>
          <w:lang w:eastAsia="fi-FI"/>
        </w:rPr>
        <w:t xml:space="preserve">                          </w:t>
      </w:r>
      <w:r w:rsidR="00637AD5" w:rsidRPr="007B5515">
        <w:rPr>
          <w:rFonts w:ascii="Calibri" w:eastAsia="Times New Roman" w:hAnsi="Calibri" w:cs="Arial"/>
          <w:b/>
          <w:bCs/>
          <w:spacing w:val="6"/>
          <w:lang w:eastAsia="fi-FI"/>
        </w:rPr>
        <w:t xml:space="preserve"> </w:t>
      </w:r>
      <w:r w:rsidR="00637AD5">
        <w:rPr>
          <w:rFonts w:ascii="Calibri" w:eastAsia="Times New Roman" w:hAnsi="Calibri" w:cs="Arial"/>
          <w:b/>
          <w:bCs/>
          <w:spacing w:val="6"/>
          <w:lang w:eastAsia="fi-FI"/>
        </w:rPr>
        <w:t xml:space="preserve">   </w:t>
      </w:r>
      <w:r w:rsidR="00AF3E1A" w:rsidRPr="007B5515">
        <w:rPr>
          <w:rFonts w:cstheme="minorHAnsi"/>
        </w:rPr>
        <w:t>MliDno–2015–1292</w:t>
      </w:r>
    </w:p>
    <w:p w:rsidR="000A7B21" w:rsidRDefault="00637AD5" w:rsidP="00637AD5">
      <w:pPr>
        <w:rPr>
          <w:rFonts w:cstheme="minorHAnsi"/>
          <w:b/>
          <w:sz w:val="24"/>
          <w:szCs w:val="24"/>
        </w:rPr>
      </w:pPr>
      <w:r>
        <w:rPr>
          <w:rFonts w:ascii="Calibri" w:eastAsia="Times New Roman" w:hAnsi="Calibri" w:cs="Times New Roman"/>
          <w:sz w:val="28"/>
          <w:szCs w:val="28"/>
          <w:lang w:eastAsia="fi-FI"/>
        </w:rPr>
        <w:t xml:space="preserve">                                                                                  </w:t>
      </w:r>
      <w:r>
        <w:rPr>
          <w:rFonts w:ascii="Calibri" w:eastAsia="Times New Roman" w:hAnsi="Calibri" w:cs="Times New Roman"/>
          <w:sz w:val="28"/>
          <w:szCs w:val="28"/>
          <w:lang w:eastAsia="fi-FI"/>
        </w:rPr>
        <w:tab/>
        <w:t xml:space="preserve">   </w:t>
      </w:r>
    </w:p>
    <w:p w:rsidR="00637AD5" w:rsidRDefault="00637AD5">
      <w:pPr>
        <w:rPr>
          <w:rFonts w:cstheme="minorHAnsi"/>
          <w:b/>
          <w:sz w:val="24"/>
          <w:szCs w:val="24"/>
        </w:rPr>
      </w:pPr>
    </w:p>
    <w:p w:rsidR="00637AD5" w:rsidRDefault="00637AD5">
      <w:pPr>
        <w:rPr>
          <w:rFonts w:cstheme="minorHAnsi"/>
          <w:b/>
          <w:sz w:val="24"/>
          <w:szCs w:val="24"/>
        </w:rPr>
      </w:pPr>
    </w:p>
    <w:p w:rsidR="001C589D" w:rsidRDefault="001C589D">
      <w:pPr>
        <w:rPr>
          <w:rFonts w:cstheme="minorHAnsi"/>
          <w:b/>
          <w:sz w:val="24"/>
          <w:szCs w:val="24"/>
        </w:rPr>
      </w:pPr>
      <w:r>
        <w:rPr>
          <w:rFonts w:cstheme="minorHAnsi"/>
          <w:b/>
          <w:sz w:val="24"/>
          <w:szCs w:val="24"/>
        </w:rPr>
        <w:t>Ympäristöministeriö Dnro YM031:00/2014</w:t>
      </w:r>
    </w:p>
    <w:p w:rsidR="00E338AE" w:rsidRDefault="00E338AE">
      <w:pPr>
        <w:rPr>
          <w:rFonts w:cstheme="minorHAnsi"/>
          <w:b/>
          <w:sz w:val="24"/>
          <w:szCs w:val="24"/>
        </w:rPr>
      </w:pPr>
    </w:p>
    <w:p w:rsidR="00022374" w:rsidRDefault="001C589D">
      <w:pPr>
        <w:rPr>
          <w:rFonts w:cstheme="minorHAnsi"/>
          <w:b/>
          <w:sz w:val="24"/>
          <w:szCs w:val="24"/>
        </w:rPr>
      </w:pPr>
      <w:r>
        <w:rPr>
          <w:rFonts w:cstheme="minorHAnsi"/>
          <w:b/>
          <w:sz w:val="24"/>
          <w:szCs w:val="24"/>
        </w:rPr>
        <w:t>Asia: Lausunto luonnoksesta kansalliseksi</w:t>
      </w:r>
      <w:r w:rsidR="00057F93" w:rsidRPr="006C0708">
        <w:rPr>
          <w:rFonts w:cstheme="minorHAnsi"/>
          <w:b/>
          <w:sz w:val="24"/>
          <w:szCs w:val="24"/>
        </w:rPr>
        <w:t xml:space="preserve"> pilaantuneiden maa-a</w:t>
      </w:r>
      <w:r>
        <w:rPr>
          <w:rFonts w:cstheme="minorHAnsi"/>
          <w:b/>
          <w:sz w:val="24"/>
          <w:szCs w:val="24"/>
        </w:rPr>
        <w:t>lueiden riskienhallintaohjelma</w:t>
      </w:r>
      <w:r w:rsidR="002529D1">
        <w:rPr>
          <w:rFonts w:cstheme="minorHAnsi"/>
          <w:b/>
          <w:sz w:val="24"/>
          <w:szCs w:val="24"/>
        </w:rPr>
        <w:t>ksi</w:t>
      </w:r>
      <w:r w:rsidR="007B5515">
        <w:rPr>
          <w:rFonts w:cstheme="minorHAnsi"/>
          <w:b/>
          <w:sz w:val="24"/>
          <w:szCs w:val="24"/>
        </w:rPr>
        <w:t xml:space="preserve"> </w:t>
      </w:r>
    </w:p>
    <w:p w:rsidR="00F05075" w:rsidRPr="006C0708" w:rsidRDefault="001C589D">
      <w:pPr>
        <w:rPr>
          <w:rFonts w:cstheme="minorHAnsi"/>
          <w:b/>
          <w:sz w:val="24"/>
          <w:szCs w:val="24"/>
        </w:rPr>
      </w:pPr>
      <w:r>
        <w:rPr>
          <w:rFonts w:cstheme="minorHAnsi"/>
          <w:b/>
          <w:sz w:val="24"/>
          <w:szCs w:val="24"/>
        </w:rPr>
        <w:tab/>
      </w:r>
    </w:p>
    <w:p w:rsidR="002529D1" w:rsidRDefault="002529D1" w:rsidP="002529D1">
      <w:pPr>
        <w:pStyle w:val="Luettelokappale"/>
        <w:rPr>
          <w:rFonts w:cstheme="minorHAnsi"/>
          <w:sz w:val="24"/>
          <w:szCs w:val="24"/>
        </w:rPr>
      </w:pPr>
      <w:r>
        <w:rPr>
          <w:rFonts w:cstheme="minorHAnsi"/>
          <w:sz w:val="24"/>
          <w:szCs w:val="24"/>
        </w:rPr>
        <w:t>Mikkelin ka</w:t>
      </w:r>
      <w:r w:rsidR="00E9208B">
        <w:rPr>
          <w:rFonts w:cstheme="minorHAnsi"/>
          <w:sz w:val="24"/>
          <w:szCs w:val="24"/>
        </w:rPr>
        <w:t xml:space="preserve">upunki pitää </w:t>
      </w:r>
      <w:r w:rsidR="004F1BF0">
        <w:rPr>
          <w:rFonts w:cstheme="minorHAnsi"/>
          <w:sz w:val="24"/>
          <w:szCs w:val="24"/>
        </w:rPr>
        <w:t>riskienhallintaohjelman laadintaa tärkeänä edistysaskeleena yhtenäisten käytäntöjen luomiseksi pilaantuneiden maa-alueiden kunnostamisessa. Käytännöt vaihtelevat kunnissa resurssien ja asiantuntemuksen mukaan.</w:t>
      </w:r>
      <w:r w:rsidR="00E9208B">
        <w:rPr>
          <w:rFonts w:cstheme="minorHAnsi"/>
          <w:sz w:val="24"/>
          <w:szCs w:val="24"/>
        </w:rPr>
        <w:t xml:space="preserve"> </w:t>
      </w:r>
      <w:r>
        <w:rPr>
          <w:rFonts w:cstheme="minorHAnsi"/>
          <w:sz w:val="24"/>
          <w:szCs w:val="24"/>
        </w:rPr>
        <w:t xml:space="preserve"> </w:t>
      </w:r>
    </w:p>
    <w:p w:rsidR="00F00FCE" w:rsidRPr="006C0708" w:rsidRDefault="00F00FCE" w:rsidP="00F00FCE">
      <w:pPr>
        <w:pStyle w:val="Luettelokappale"/>
        <w:rPr>
          <w:rFonts w:cstheme="minorHAnsi"/>
          <w:sz w:val="24"/>
          <w:szCs w:val="24"/>
        </w:rPr>
      </w:pPr>
      <w:r w:rsidRPr="006C0708">
        <w:rPr>
          <w:rFonts w:cstheme="minorHAnsi"/>
          <w:sz w:val="24"/>
          <w:szCs w:val="24"/>
        </w:rPr>
        <w:t>Pilaantuneiden kohteiden tutkimuksia ja kunnostuksia hoidetaan kunnan organisaatioissa eri yksiköissä. Mikäli maanhankinnassa ja maankäytön suunnittelussa mukana ovat kunnan puolelta vain kaavoittaja ja ympäristöviranomainen</w:t>
      </w:r>
      <w:r>
        <w:rPr>
          <w:rFonts w:cstheme="minorHAnsi"/>
          <w:sz w:val="24"/>
          <w:szCs w:val="24"/>
        </w:rPr>
        <w:t>,</w:t>
      </w:r>
      <w:r w:rsidRPr="006C0708">
        <w:rPr>
          <w:rFonts w:cstheme="minorHAnsi"/>
          <w:sz w:val="24"/>
          <w:szCs w:val="24"/>
        </w:rPr>
        <w:t xml:space="preserve"> ei pima-osaaminen ole ollenkaan edustettuna ko. toiminnassa. Yhteistoiminta pitäisi ulottaa kattamaan myös taho, joka käytännössä hoitaa pima-kohteiden tutkimuksia ja kunnostamista.</w:t>
      </w:r>
    </w:p>
    <w:p w:rsidR="00F00FCE" w:rsidRPr="000A586B" w:rsidRDefault="00F00FCE" w:rsidP="000A586B">
      <w:pPr>
        <w:pStyle w:val="Luettelokappale"/>
        <w:rPr>
          <w:rFonts w:cstheme="minorHAnsi"/>
          <w:sz w:val="24"/>
          <w:szCs w:val="24"/>
        </w:rPr>
      </w:pPr>
      <w:r w:rsidRPr="006C0708">
        <w:rPr>
          <w:rFonts w:cstheme="minorHAnsi"/>
          <w:sz w:val="24"/>
          <w:szCs w:val="24"/>
        </w:rPr>
        <w:t xml:space="preserve">Kuntapuolella maankäytön kehittäminen sanelee hyvin pitkälle ne kohteet, joihin kunnostuksen resursseja suunnataan. Riskienhallintaohjelman mukainen hankkeiden toteuttaminen tietyssä ennalta suunnitellussa järjestyksessä ei käytännössä onnistu, tälle puolelle on rahoituksessa jäämässä vain pieni osa resursseista. </w:t>
      </w:r>
    </w:p>
    <w:p w:rsidR="00037ABC" w:rsidRPr="006C0708" w:rsidRDefault="006C0708" w:rsidP="000A586B">
      <w:pPr>
        <w:pStyle w:val="Luettelokappale"/>
        <w:rPr>
          <w:rFonts w:cstheme="minorHAnsi"/>
          <w:sz w:val="24"/>
          <w:szCs w:val="24"/>
        </w:rPr>
      </w:pPr>
      <w:r w:rsidRPr="006C0708">
        <w:rPr>
          <w:rFonts w:cstheme="minorHAnsi"/>
          <w:sz w:val="24"/>
          <w:szCs w:val="24"/>
        </w:rPr>
        <w:t>K</w:t>
      </w:r>
      <w:r w:rsidR="00057F93" w:rsidRPr="006C0708">
        <w:rPr>
          <w:rFonts w:cstheme="minorHAnsi"/>
          <w:sz w:val="24"/>
          <w:szCs w:val="24"/>
        </w:rPr>
        <w:t>untien omistuksessa on</w:t>
      </w:r>
      <w:r>
        <w:rPr>
          <w:rFonts w:cstheme="minorHAnsi"/>
          <w:sz w:val="24"/>
          <w:szCs w:val="24"/>
        </w:rPr>
        <w:t xml:space="preserve"> vain</w:t>
      </w:r>
      <w:r w:rsidR="00057F93" w:rsidRPr="006C0708">
        <w:rPr>
          <w:rFonts w:cstheme="minorHAnsi"/>
          <w:sz w:val="24"/>
          <w:szCs w:val="24"/>
        </w:rPr>
        <w:t xml:space="preserve"> yksi neljäsosa pimakohteista, </w:t>
      </w:r>
      <w:r>
        <w:rPr>
          <w:rFonts w:cstheme="minorHAnsi"/>
          <w:sz w:val="24"/>
          <w:szCs w:val="24"/>
        </w:rPr>
        <w:t>mutta</w:t>
      </w:r>
      <w:r w:rsidR="00057F93" w:rsidRPr="006C0708">
        <w:rPr>
          <w:rFonts w:cstheme="minorHAnsi"/>
          <w:sz w:val="24"/>
          <w:szCs w:val="24"/>
        </w:rPr>
        <w:t xml:space="preserve"> kunta joutuu monesti maksamaan kustannukset myös toisten omistamissa kohteissa, joissa pilaajaa tai maanomistajaa ei saada vastuuseen</w:t>
      </w:r>
      <w:r>
        <w:rPr>
          <w:rFonts w:cstheme="minorHAnsi"/>
          <w:sz w:val="24"/>
          <w:szCs w:val="24"/>
        </w:rPr>
        <w:t>.</w:t>
      </w:r>
      <w:r w:rsidR="00037ABC" w:rsidRPr="006C0708">
        <w:rPr>
          <w:rFonts w:cstheme="minorHAnsi"/>
          <w:sz w:val="24"/>
          <w:szCs w:val="24"/>
        </w:rPr>
        <w:t xml:space="preserve"> </w:t>
      </w:r>
    </w:p>
    <w:p w:rsidR="00057F93" w:rsidRPr="006C0708" w:rsidRDefault="00D918E3" w:rsidP="000A586B">
      <w:pPr>
        <w:pStyle w:val="Luettelokappale"/>
        <w:rPr>
          <w:rFonts w:cstheme="minorHAnsi"/>
          <w:sz w:val="24"/>
          <w:szCs w:val="24"/>
        </w:rPr>
      </w:pPr>
      <w:r w:rsidRPr="006C0708">
        <w:rPr>
          <w:rFonts w:cstheme="minorHAnsi"/>
          <w:sz w:val="24"/>
          <w:szCs w:val="24"/>
        </w:rPr>
        <w:t>Kohteiden kunnostamisen kustannuksia pitäisi saada entistä enemmän taholle, joka lopulta saa hyödyn maa-alueen käyttöön otossa. Nyt lähes aina maksajana on kunta. Tähän tarpeeseen pitäisi saada jotakin säädöspohjaa, jotta kunnalla olisi kättä pidempää neuvotteluissa.</w:t>
      </w:r>
    </w:p>
    <w:p w:rsidR="00D918E3" w:rsidRPr="006C0708" w:rsidRDefault="000A586B" w:rsidP="000A586B">
      <w:pPr>
        <w:pStyle w:val="Luettelokappale"/>
        <w:rPr>
          <w:rFonts w:cstheme="minorHAnsi"/>
          <w:sz w:val="24"/>
          <w:szCs w:val="24"/>
        </w:rPr>
      </w:pPr>
      <w:r>
        <w:rPr>
          <w:rFonts w:cstheme="minorHAnsi"/>
          <w:sz w:val="24"/>
          <w:szCs w:val="24"/>
        </w:rPr>
        <w:t>Ö</w:t>
      </w:r>
      <w:r w:rsidR="00057F93" w:rsidRPr="006C0708">
        <w:rPr>
          <w:rFonts w:cstheme="minorHAnsi"/>
          <w:sz w:val="24"/>
          <w:szCs w:val="24"/>
        </w:rPr>
        <w:t>ljysuojarahasto toimii hyvin niissä kohteissa, joihin rahaston rahoja voidaan käyttää. Koska kunnilla ja valtiolla on hyvin rajalliset resurssit pima-</w:t>
      </w:r>
      <w:r>
        <w:rPr>
          <w:rFonts w:cstheme="minorHAnsi"/>
          <w:sz w:val="24"/>
          <w:szCs w:val="24"/>
        </w:rPr>
        <w:t>kohteiden hoitamiseen. Toimialakohtaiset rahastot olisivat yksi mahdollinen ratkaisu erilaisten kohteiden kunnostamiseen.</w:t>
      </w:r>
      <w:r w:rsidR="00057F93" w:rsidRPr="006C0708">
        <w:rPr>
          <w:rFonts w:cstheme="minorHAnsi"/>
          <w:sz w:val="24"/>
          <w:szCs w:val="24"/>
        </w:rPr>
        <w:t xml:space="preserve"> ( esim. sahat, romuttamotoiminta, korjaamotoiminta jne.) Yksi rahasto voisi kattaa useampiakin toimialoja.</w:t>
      </w:r>
    </w:p>
    <w:p w:rsidR="00057F93" w:rsidRPr="006C0708" w:rsidRDefault="00D918E3" w:rsidP="000A586B">
      <w:pPr>
        <w:pStyle w:val="Luettelokappale"/>
        <w:rPr>
          <w:rFonts w:cstheme="minorHAnsi"/>
          <w:sz w:val="24"/>
          <w:szCs w:val="24"/>
        </w:rPr>
      </w:pPr>
      <w:r w:rsidRPr="006C0708">
        <w:rPr>
          <w:rFonts w:cstheme="minorHAnsi"/>
          <w:sz w:val="24"/>
          <w:szCs w:val="24"/>
        </w:rPr>
        <w:t>Isännättömien kohteiden toteuttaminen pääasiassa valtion varoin on hyvä tavoite.</w:t>
      </w:r>
    </w:p>
    <w:p w:rsidR="0095402E" w:rsidRPr="006C0708" w:rsidRDefault="0095402E" w:rsidP="000A586B">
      <w:pPr>
        <w:pStyle w:val="Luettelokappale"/>
        <w:rPr>
          <w:rFonts w:cstheme="minorHAnsi"/>
          <w:sz w:val="24"/>
          <w:szCs w:val="24"/>
        </w:rPr>
      </w:pPr>
      <w:r w:rsidRPr="006C0708">
        <w:rPr>
          <w:rFonts w:cstheme="minorHAnsi"/>
          <w:sz w:val="24"/>
          <w:szCs w:val="24"/>
        </w:rPr>
        <w:lastRenderedPageBreak/>
        <w:t>Pilaantuneiden maiden tutkimiseen ja kunnostamiseen ei ole Suomessa kunnollista koulutusta eikä kollegojen tapaamisia. Koulutusta ja ta</w:t>
      </w:r>
      <w:r w:rsidR="000A586B">
        <w:rPr>
          <w:rFonts w:cstheme="minorHAnsi"/>
          <w:sz w:val="24"/>
          <w:szCs w:val="24"/>
        </w:rPr>
        <w:t>paamisia pitäisi järjestää, jotta</w:t>
      </w:r>
      <w:r w:rsidRPr="006C0708">
        <w:rPr>
          <w:rFonts w:cstheme="minorHAnsi"/>
          <w:sz w:val="24"/>
          <w:szCs w:val="24"/>
        </w:rPr>
        <w:t xml:space="preserve"> osaajien verkostoituminen olisi mahdollista. Kollegoille voisi olla olemassa vaikka jokin järjestö, jonka puitteissa toimintaa kehitettäisiin.</w:t>
      </w:r>
    </w:p>
    <w:p w:rsidR="0095402E" w:rsidRPr="006C0708" w:rsidRDefault="000A586B" w:rsidP="000A586B">
      <w:pPr>
        <w:pStyle w:val="Luettelokappale"/>
        <w:rPr>
          <w:rFonts w:cstheme="minorHAnsi"/>
          <w:sz w:val="24"/>
          <w:szCs w:val="24"/>
        </w:rPr>
      </w:pPr>
      <w:r>
        <w:rPr>
          <w:rFonts w:cstheme="minorHAnsi"/>
          <w:sz w:val="24"/>
          <w:szCs w:val="24"/>
        </w:rPr>
        <w:t>Ohjelmassa voisi käsitellä myös konsulttien osuutta kohteiden kunnostamisessa</w:t>
      </w:r>
      <w:r w:rsidR="0095402E" w:rsidRPr="006C0708">
        <w:rPr>
          <w:rFonts w:cstheme="minorHAnsi"/>
          <w:sz w:val="24"/>
          <w:szCs w:val="24"/>
        </w:rPr>
        <w:t>. Konsultit toimivat kuitenkin ratkaisevassa</w:t>
      </w:r>
      <w:r w:rsidR="00A77797" w:rsidRPr="006C0708">
        <w:rPr>
          <w:rFonts w:cstheme="minorHAnsi"/>
          <w:sz w:val="24"/>
          <w:szCs w:val="24"/>
        </w:rPr>
        <w:t xml:space="preserve"> roolissa tutkimus- ja kunnostustoiminnan valinnoissa ja kehittämisessä, joten konsultit pitäisi saada mukaan yhteistyöhön.</w:t>
      </w:r>
    </w:p>
    <w:p w:rsidR="00EC4F06" w:rsidRPr="006C0708" w:rsidRDefault="00A77797" w:rsidP="000A586B">
      <w:pPr>
        <w:pStyle w:val="Luettelokappale"/>
        <w:rPr>
          <w:rFonts w:cstheme="minorHAnsi"/>
          <w:sz w:val="24"/>
          <w:szCs w:val="24"/>
        </w:rPr>
      </w:pPr>
      <w:r w:rsidRPr="006C0708">
        <w:rPr>
          <w:rFonts w:cstheme="minorHAnsi"/>
          <w:sz w:val="24"/>
          <w:szCs w:val="24"/>
        </w:rPr>
        <w:t>Tietojärjestelmä MATTI</w:t>
      </w:r>
      <w:r w:rsidR="000A586B">
        <w:rPr>
          <w:rFonts w:cstheme="minorHAnsi"/>
          <w:sz w:val="24"/>
          <w:szCs w:val="24"/>
        </w:rPr>
        <w:t>A voisi myös kehittää. Tällä hetkellä se vastaa</w:t>
      </w:r>
      <w:r w:rsidRPr="006C0708">
        <w:rPr>
          <w:rFonts w:cstheme="minorHAnsi"/>
          <w:sz w:val="24"/>
          <w:szCs w:val="24"/>
        </w:rPr>
        <w:t xml:space="preserve"> lähinnä tilastoinnin tarpeisiin. Tietojä</w:t>
      </w:r>
      <w:r w:rsidR="000A586B">
        <w:rPr>
          <w:rFonts w:cstheme="minorHAnsi"/>
          <w:sz w:val="24"/>
          <w:szCs w:val="24"/>
        </w:rPr>
        <w:t>rjestelmiä pitäisi kehittää siten</w:t>
      </w:r>
      <w:r w:rsidRPr="006C0708">
        <w:rPr>
          <w:rFonts w:cstheme="minorHAnsi"/>
          <w:sz w:val="24"/>
          <w:szCs w:val="24"/>
        </w:rPr>
        <w:t>, että kohteen kaikki tiedot (erilaiset raportit) löytyisivät samasta paikasta, tällöin tiedoista olisi hyötyä kunnostusha</w:t>
      </w:r>
      <w:r w:rsidR="000A586B">
        <w:rPr>
          <w:rFonts w:cstheme="minorHAnsi"/>
          <w:sz w:val="24"/>
          <w:szCs w:val="24"/>
        </w:rPr>
        <w:t>nkkeiden suunnittelussa ja läpi</w:t>
      </w:r>
      <w:r w:rsidRPr="006C0708">
        <w:rPr>
          <w:rFonts w:cstheme="minorHAnsi"/>
          <w:sz w:val="24"/>
          <w:szCs w:val="24"/>
        </w:rPr>
        <w:t>viennissä.</w:t>
      </w:r>
    </w:p>
    <w:p w:rsidR="00A77797" w:rsidRDefault="000A586B" w:rsidP="000A586B">
      <w:pPr>
        <w:pStyle w:val="Luettelokappale"/>
        <w:rPr>
          <w:rFonts w:cstheme="minorHAnsi"/>
          <w:sz w:val="24"/>
          <w:szCs w:val="24"/>
        </w:rPr>
      </w:pPr>
      <w:r>
        <w:rPr>
          <w:rFonts w:cstheme="minorHAnsi"/>
          <w:sz w:val="24"/>
          <w:szCs w:val="24"/>
        </w:rPr>
        <w:t>Pidämme myös ohjelman toteutumisen aikataulua liian optimistisena</w:t>
      </w:r>
      <w:r w:rsidR="00EC4F06" w:rsidRPr="006C0708">
        <w:rPr>
          <w:rFonts w:cstheme="minorHAnsi"/>
          <w:sz w:val="24"/>
          <w:szCs w:val="24"/>
        </w:rPr>
        <w:t>. Ottaen huomioon valtion ja kuntien rahatilanteen, ei ole oletettavissa, että pima-kohteiden tutkimiseen ja kunnostamiseen</w:t>
      </w:r>
      <w:r w:rsidR="00A77797" w:rsidRPr="006C0708">
        <w:rPr>
          <w:rFonts w:cstheme="minorHAnsi"/>
          <w:sz w:val="24"/>
          <w:szCs w:val="24"/>
        </w:rPr>
        <w:t xml:space="preserve"> </w:t>
      </w:r>
      <w:r w:rsidR="00181729">
        <w:rPr>
          <w:rFonts w:cstheme="minorHAnsi"/>
          <w:sz w:val="24"/>
          <w:szCs w:val="24"/>
        </w:rPr>
        <w:t>tult</w:t>
      </w:r>
      <w:r w:rsidR="00EC4F06" w:rsidRPr="006C0708">
        <w:rPr>
          <w:rFonts w:cstheme="minorHAnsi"/>
          <w:sz w:val="24"/>
          <w:szCs w:val="24"/>
        </w:rPr>
        <w:t>aisiin saamaan ohjelman mukaista rahoitusta.</w:t>
      </w:r>
    </w:p>
    <w:p w:rsidR="009A392C" w:rsidRDefault="009A392C" w:rsidP="000A586B">
      <w:pPr>
        <w:pStyle w:val="Luettelokappale"/>
        <w:rPr>
          <w:rFonts w:cstheme="minorHAnsi"/>
          <w:sz w:val="24"/>
          <w:szCs w:val="24"/>
        </w:rPr>
      </w:pPr>
    </w:p>
    <w:p w:rsidR="009A392C" w:rsidRDefault="009A392C" w:rsidP="000A586B">
      <w:pPr>
        <w:pStyle w:val="Luettelokappale"/>
        <w:rPr>
          <w:rFonts w:cstheme="minorHAnsi"/>
          <w:sz w:val="24"/>
          <w:szCs w:val="24"/>
        </w:rPr>
      </w:pPr>
    </w:p>
    <w:p w:rsidR="009A392C" w:rsidRDefault="009A392C" w:rsidP="000A586B">
      <w:pPr>
        <w:pStyle w:val="Luettelokappale"/>
        <w:rPr>
          <w:rFonts w:cstheme="minorHAnsi"/>
          <w:sz w:val="24"/>
          <w:szCs w:val="24"/>
        </w:rPr>
      </w:pPr>
    </w:p>
    <w:p w:rsidR="009A392C" w:rsidRDefault="009A392C" w:rsidP="000A586B">
      <w:pPr>
        <w:pStyle w:val="Luettelokappale"/>
        <w:rPr>
          <w:rFonts w:cstheme="minorHAnsi"/>
          <w:sz w:val="24"/>
          <w:szCs w:val="24"/>
        </w:rPr>
      </w:pPr>
    </w:p>
    <w:p w:rsidR="009A392C" w:rsidRDefault="009A392C" w:rsidP="000A586B">
      <w:pPr>
        <w:pStyle w:val="Luettelokappale"/>
        <w:rPr>
          <w:rFonts w:cstheme="minorHAnsi"/>
          <w:sz w:val="24"/>
          <w:szCs w:val="24"/>
        </w:rPr>
      </w:pPr>
    </w:p>
    <w:p w:rsidR="009A392C" w:rsidRDefault="009A392C" w:rsidP="000A586B">
      <w:pPr>
        <w:pStyle w:val="Luettelokappale"/>
        <w:rPr>
          <w:rFonts w:cstheme="minorHAnsi"/>
          <w:sz w:val="24"/>
          <w:szCs w:val="24"/>
        </w:rPr>
      </w:pPr>
      <w:r>
        <w:rPr>
          <w:rFonts w:cstheme="minorHAnsi"/>
          <w:sz w:val="24"/>
          <w:szCs w:val="24"/>
        </w:rPr>
        <w:t>Jouni Riihelä</w:t>
      </w:r>
    </w:p>
    <w:p w:rsidR="009A392C" w:rsidRPr="006C0708" w:rsidRDefault="009A392C" w:rsidP="000A586B">
      <w:pPr>
        <w:pStyle w:val="Luettelokappale"/>
        <w:rPr>
          <w:rFonts w:cstheme="minorHAnsi"/>
          <w:sz w:val="24"/>
          <w:szCs w:val="24"/>
        </w:rPr>
      </w:pPr>
      <w:r>
        <w:rPr>
          <w:rFonts w:cstheme="minorHAnsi"/>
          <w:sz w:val="24"/>
          <w:szCs w:val="24"/>
        </w:rPr>
        <w:t>tekninen johtaja</w:t>
      </w:r>
    </w:p>
    <w:p w:rsidR="00057F93" w:rsidRDefault="00BD2BBB">
      <w:pPr>
        <w:rPr>
          <w:rFonts w:cstheme="minorHAnsi"/>
          <w:b/>
          <w:sz w:val="24"/>
          <w:szCs w:val="24"/>
        </w:rPr>
      </w:pPr>
      <w:r>
        <w:rPr>
          <w:rFonts w:cstheme="minorHAnsi"/>
          <w:b/>
          <w:sz w:val="24"/>
          <w:szCs w:val="24"/>
        </w:rPr>
        <w:tab/>
      </w:r>
    </w:p>
    <w:p w:rsidR="00BD2BBB" w:rsidRPr="004A456A" w:rsidRDefault="00B15F18">
      <w:pPr>
        <w:rPr>
          <w:rFonts w:cstheme="minorHAnsi"/>
          <w:sz w:val="24"/>
          <w:szCs w:val="24"/>
        </w:rPr>
      </w:pPr>
      <w:r>
        <w:rPr>
          <w:rFonts w:cstheme="minorHAnsi"/>
          <w:b/>
          <w:sz w:val="24"/>
          <w:szCs w:val="24"/>
        </w:rPr>
        <w:tab/>
      </w:r>
    </w:p>
    <w:sectPr w:rsidR="00BD2BBB" w:rsidRPr="004A456A" w:rsidSect="007B5515">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6F0" w:rsidRDefault="004576F0" w:rsidP="000A7B21">
      <w:pPr>
        <w:spacing w:after="0" w:line="240" w:lineRule="auto"/>
      </w:pPr>
      <w:r>
        <w:separator/>
      </w:r>
    </w:p>
  </w:endnote>
  <w:endnote w:type="continuationSeparator" w:id="0">
    <w:p w:rsidR="004576F0" w:rsidRDefault="004576F0" w:rsidP="000A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6F0" w:rsidRDefault="004576F0" w:rsidP="000A7B21">
      <w:pPr>
        <w:spacing w:after="0" w:line="240" w:lineRule="auto"/>
      </w:pPr>
      <w:r>
        <w:separator/>
      </w:r>
    </w:p>
  </w:footnote>
  <w:footnote w:type="continuationSeparator" w:id="0">
    <w:p w:rsidR="004576F0" w:rsidRDefault="004576F0" w:rsidP="000A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7E88"/>
    <w:multiLevelType w:val="hybridMultilevel"/>
    <w:tmpl w:val="BC7A3FF6"/>
    <w:lvl w:ilvl="0" w:tplc="D7C2D9C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93"/>
    <w:rsid w:val="00022374"/>
    <w:rsid w:val="00037ABC"/>
    <w:rsid w:val="0004536F"/>
    <w:rsid w:val="00057F93"/>
    <w:rsid w:val="000A586B"/>
    <w:rsid w:val="000A7B21"/>
    <w:rsid w:val="00181729"/>
    <w:rsid w:val="001C589D"/>
    <w:rsid w:val="001D1657"/>
    <w:rsid w:val="002529D1"/>
    <w:rsid w:val="003A2481"/>
    <w:rsid w:val="004576F0"/>
    <w:rsid w:val="004A456A"/>
    <w:rsid w:val="004F1BF0"/>
    <w:rsid w:val="00627C55"/>
    <w:rsid w:val="00637AD5"/>
    <w:rsid w:val="006C0708"/>
    <w:rsid w:val="006F2190"/>
    <w:rsid w:val="007B5515"/>
    <w:rsid w:val="0095402E"/>
    <w:rsid w:val="009562A9"/>
    <w:rsid w:val="009A392C"/>
    <w:rsid w:val="00A77797"/>
    <w:rsid w:val="00AF3E1A"/>
    <w:rsid w:val="00B15F18"/>
    <w:rsid w:val="00BD2BBB"/>
    <w:rsid w:val="00C323AE"/>
    <w:rsid w:val="00D918E3"/>
    <w:rsid w:val="00E338AE"/>
    <w:rsid w:val="00E9208B"/>
    <w:rsid w:val="00EC4F06"/>
    <w:rsid w:val="00F00FCE"/>
    <w:rsid w:val="00F050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57F93"/>
    <w:pPr>
      <w:ind w:left="720"/>
      <w:contextualSpacing/>
    </w:pPr>
  </w:style>
  <w:style w:type="paragraph" w:styleId="Yltunniste">
    <w:name w:val="header"/>
    <w:basedOn w:val="Normaali"/>
    <w:link w:val="YltunnisteChar"/>
    <w:uiPriority w:val="99"/>
    <w:unhideWhenUsed/>
    <w:rsid w:val="000A7B21"/>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0A7B21"/>
  </w:style>
  <w:style w:type="paragraph" w:styleId="Alatunniste">
    <w:name w:val="footer"/>
    <w:basedOn w:val="Normaali"/>
    <w:link w:val="AlatunnisteChar"/>
    <w:uiPriority w:val="99"/>
    <w:unhideWhenUsed/>
    <w:rsid w:val="000A7B21"/>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0A7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57F93"/>
    <w:pPr>
      <w:ind w:left="720"/>
      <w:contextualSpacing/>
    </w:pPr>
  </w:style>
  <w:style w:type="paragraph" w:styleId="Yltunniste">
    <w:name w:val="header"/>
    <w:basedOn w:val="Normaali"/>
    <w:link w:val="YltunnisteChar"/>
    <w:uiPriority w:val="99"/>
    <w:unhideWhenUsed/>
    <w:rsid w:val="000A7B21"/>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0A7B21"/>
  </w:style>
  <w:style w:type="paragraph" w:styleId="Alatunniste">
    <w:name w:val="footer"/>
    <w:basedOn w:val="Normaali"/>
    <w:link w:val="AlatunnisteChar"/>
    <w:uiPriority w:val="99"/>
    <w:unhideWhenUsed/>
    <w:rsid w:val="000A7B21"/>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0A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3030</Characters>
  <Application>Microsoft Office Word</Application>
  <DocSecurity>4</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Kuntien Tiera Oy - Mikkelin toimipiste</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Hannu</dc:creator>
  <cp:lastModifiedBy>Hakkarainen Satu</cp:lastModifiedBy>
  <cp:revision>2</cp:revision>
  <cp:lastPrinted>2015-07-24T09:01:00Z</cp:lastPrinted>
  <dcterms:created xsi:type="dcterms:W3CDTF">2015-08-14T07:07:00Z</dcterms:created>
  <dcterms:modified xsi:type="dcterms:W3CDTF">2015-08-14T07:07:00Z</dcterms:modified>
</cp:coreProperties>
</file>