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D51DF8">
            <w:pPr>
              <w:pStyle w:val="Normaali9pt"/>
              <w:rPr>
                <w:b/>
              </w:rPr>
            </w:pPr>
            <w:r w:rsidRPr="00966B06">
              <w:rPr>
                <w:b/>
              </w:rPr>
              <w:fldChar w:fldCharType="begin"/>
            </w:r>
            <w:r w:rsidRPr="00966B06">
              <w:rPr>
                <w:b/>
              </w:rPr>
              <w:instrText xml:space="preserve"> DOCPROPERTY  tweb_doc_typename  \* MERGEFORMAT </w:instrText>
            </w:r>
            <w:r w:rsidRPr="00966B06">
              <w:rPr>
                <w:b/>
              </w:rPr>
              <w:fldChar w:fldCharType="separate"/>
            </w:r>
            <w:r w:rsidR="00D51DF8">
              <w:rPr>
                <w:b/>
              </w:rPr>
              <w:t>LAUSUNTO</w:t>
            </w:r>
            <w:r w:rsidRPr="00966B06">
              <w:rPr>
                <w:b/>
              </w:rPr>
              <w:fldChar w:fldCharType="end"/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241B6" w:rsidP="002D334D">
            <w:pPr>
              <w:pStyle w:val="Normaali9pt"/>
            </w:pPr>
            <w:r>
              <w:t>10</w:t>
            </w:r>
            <w:r w:rsidR="00AE18C7">
              <w:t>.8</w:t>
            </w:r>
            <w:r w:rsidR="00D51DF8">
              <w:t>.2017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551A4E" w:rsidP="00D51DF8">
            <w:pPr>
              <w:pStyle w:val="Normaali9pt"/>
            </w:pPr>
            <w:r>
              <w:t>LVM/1171/02/2017</w:t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D51DF8" w:rsidP="002D334D">
            <w:r>
              <w:t>VNK kirjaamo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CD249F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CD249F" w:rsidRPr="00966B06" w:rsidRDefault="00CD249F" w:rsidP="002D334D"/>
        </w:tc>
      </w:tr>
    </w:tbl>
    <w:p w:rsidR="000E60B6" w:rsidRPr="00966B06" w:rsidRDefault="000E60B6" w:rsidP="009F18EF">
      <w:pPr>
        <w:sectPr w:rsidR="000E60B6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D51DF8" w:rsidP="00FC03FF">
      <w:r>
        <w:lastRenderedPageBreak/>
        <w:t>VNK lausuntopyyntö 156/05/2016 – 6.6.2017</w:t>
      </w:r>
    </w:p>
    <w:p w:rsidR="009F18EF" w:rsidRDefault="00D51DF8" w:rsidP="005C7446">
      <w:pPr>
        <w:pStyle w:val="Otsikko"/>
      </w:pPr>
      <w:proofErr w:type="spellStart"/>
      <w:r>
        <w:t>LVM:n</w:t>
      </w:r>
      <w:proofErr w:type="spellEnd"/>
      <w:r>
        <w:t xml:space="preserve"> lausunto valtioneuvoston kokonaisarkkitehtuurin toiminta-arkkitehtuuria koskevaan lausuntopyyntöön</w:t>
      </w:r>
    </w:p>
    <w:p w:rsidR="00D51DF8" w:rsidRDefault="00D51DF8" w:rsidP="00D51DF8">
      <w:pPr>
        <w:pStyle w:val="Leipteksti"/>
      </w:pPr>
    </w:p>
    <w:p w:rsidR="00D51DF8" w:rsidRDefault="00FB1AC7" w:rsidP="00D51DF8">
      <w:pPr>
        <w:pStyle w:val="Leipteksti"/>
      </w:pPr>
      <w:r>
        <w:t>LVM kiittää mahdollisuudesta lausua valtioneuvo</w:t>
      </w:r>
      <w:r w:rsidR="000F0062">
        <w:t>s</w:t>
      </w:r>
      <w:r>
        <w:t>ton kokonaisarkkitehtu</w:t>
      </w:r>
      <w:r>
        <w:t>u</w:t>
      </w:r>
      <w:r>
        <w:t xml:space="preserve">rin toiminta-arkkitehtuuria koskevassa asiassa. </w:t>
      </w:r>
      <w:r w:rsidR="00D51DF8">
        <w:t>Lausuntopyynnön kohte</w:t>
      </w:r>
      <w:r w:rsidR="00D51DF8">
        <w:t>e</w:t>
      </w:r>
      <w:r w:rsidR="00D51DF8">
        <w:t>na o</w:t>
      </w:r>
      <w:r w:rsidR="007A3330">
        <w:t>n</w:t>
      </w:r>
      <w:r w:rsidR="00D51DF8">
        <w:t xml:space="preserve"> erityisesti toiminta-arkkitehtuurin tavoitetila sekä hallintamalli ja t</w:t>
      </w:r>
      <w:r w:rsidR="0035180F">
        <w:t>ästä syystä lausuttavat asiat liittyvät nimenomaan näihin osa-alueisiin. LVM ei myöskään käy yksityiskohtaisesti läpi koko lausunnon kohteena olevaa materiaalia vaan keskittyy muutamaan keskeisimpänä pitämäänsä ko</w:t>
      </w:r>
      <w:r w:rsidR="0035180F">
        <w:t>h</w:t>
      </w:r>
      <w:r w:rsidR="0035180F">
        <w:t>taan.</w:t>
      </w:r>
    </w:p>
    <w:p w:rsidR="0035180F" w:rsidRDefault="0035180F" w:rsidP="00D51DF8">
      <w:pPr>
        <w:pStyle w:val="Leipteksti"/>
      </w:pPr>
    </w:p>
    <w:p w:rsidR="007A3330" w:rsidRDefault="0035180F" w:rsidP="00D51DF8">
      <w:pPr>
        <w:pStyle w:val="Leipteksti"/>
      </w:pPr>
      <w:r>
        <w:t>Asiakirjan mukaan toiminta-arkkitehtuuri on kokonaisarkkitehtuurin näk</w:t>
      </w:r>
      <w:r>
        <w:t>ö</w:t>
      </w:r>
      <w:r>
        <w:t>kulma, joka kuvaa organisaation toiminnalliset rakenteet. Samalla se ohjaa kokonaisarkkitehtuurin muiden näkökulmien kehittämistä. Tavoitetila osu</w:t>
      </w:r>
      <w:r>
        <w:t>u</w:t>
      </w:r>
      <w:r>
        <w:t xml:space="preserve">dessa on kuvattu </w:t>
      </w:r>
      <w:proofErr w:type="spellStart"/>
      <w:r w:rsidR="007A3330">
        <w:t>VN:n</w:t>
      </w:r>
      <w:proofErr w:type="spellEnd"/>
      <w:r w:rsidR="007A3330">
        <w:t xml:space="preserve"> yhteisten toimintojen tavoitetilan prose</w:t>
      </w:r>
      <w:r w:rsidR="00F37F3F">
        <w:t xml:space="preserve">ssikartta ja yhteiset toiminnot (23kpl). </w:t>
      </w:r>
      <w:r w:rsidR="007A3330">
        <w:t>Nämä on luokiteltu edelleen kolmeen toiminna</w:t>
      </w:r>
      <w:r w:rsidR="007A3330">
        <w:t>l</w:t>
      </w:r>
      <w:r w:rsidR="007A3330">
        <w:t>liseen kokonaisuuteen: yhteiskuntapolitiikan linjaukset, valmisteluun, ohj</w:t>
      </w:r>
      <w:r w:rsidR="007A3330">
        <w:t>a</w:t>
      </w:r>
      <w:r w:rsidR="007A3330">
        <w:t xml:space="preserve">ukseen ja tukeen liittyvät toiminnot sekä toimeenpano. </w:t>
      </w:r>
    </w:p>
    <w:p w:rsidR="00D32E94" w:rsidRDefault="00D32E94" w:rsidP="00D51DF8">
      <w:pPr>
        <w:pStyle w:val="Leipteksti"/>
      </w:pPr>
    </w:p>
    <w:p w:rsidR="0035180F" w:rsidRDefault="007A3330" w:rsidP="00D51DF8">
      <w:pPr>
        <w:pStyle w:val="Leipteksti"/>
      </w:pPr>
      <w:r>
        <w:t>Kokonaisarkkitehtuurin hallintamallissa on puolestaan kuvattu miten val</w:t>
      </w:r>
      <w:r>
        <w:t>i</w:t>
      </w:r>
      <w:r>
        <w:t>taan yhteiset linjaukset ja seurataan niiden toteutumista. Tässä yhteydessä on kuvattu toimijat ja heille kuuluvat tehtävät ja vastuut. Keskeisimpiä to</w:t>
      </w:r>
      <w:r>
        <w:t>i</w:t>
      </w:r>
      <w:r>
        <w:t>mijoita hallintamallissa ovat kansliapäällikkökokous ja valtioneuvoston k</w:t>
      </w:r>
      <w:r>
        <w:t>o</w:t>
      </w:r>
      <w:r>
        <w:t xml:space="preserve">konaisarkkitehtuurin koordinaatioryhmä VNKA. Viimekätiseksi päättäjäksi mallissa on esitetty </w:t>
      </w:r>
      <w:proofErr w:type="spellStart"/>
      <w:r>
        <w:t>VN:n</w:t>
      </w:r>
      <w:proofErr w:type="spellEnd"/>
      <w:r>
        <w:t xml:space="preserve"> yleisistuntoa.</w:t>
      </w:r>
    </w:p>
    <w:p w:rsidR="00BE5706" w:rsidRDefault="00BE5706" w:rsidP="00D51DF8">
      <w:pPr>
        <w:pStyle w:val="Leipteksti"/>
      </w:pPr>
    </w:p>
    <w:p w:rsidR="00DB3905" w:rsidRDefault="00BE5706" w:rsidP="00D32E94">
      <w:pPr>
        <w:pStyle w:val="Leipteksti"/>
      </w:pPr>
      <w:r>
        <w:t xml:space="preserve">LVM katsoo, että </w:t>
      </w:r>
      <w:r w:rsidR="00761C60">
        <w:t>Toiminta-arkkitehtuurin pääajatus poikkihallinnollisen y</w:t>
      </w:r>
      <w:r w:rsidR="00761C60">
        <w:t>h</w:t>
      </w:r>
      <w:r w:rsidR="00761C60">
        <w:t xml:space="preserve">teistyön lisäämisestä valtioneuvostossa on kannatettava. </w:t>
      </w:r>
      <w:r w:rsidR="00D32E94" w:rsidRPr="00D32E94">
        <w:t>Tavoitetilaksi määritelty yhteisten toimintojen kehittämisen strategian laatiminen</w:t>
      </w:r>
      <w:r w:rsidR="00D32E94">
        <w:t xml:space="preserve"> on tätä tavoitetta tukeva toimenpide</w:t>
      </w:r>
      <w:r w:rsidR="00D32E94" w:rsidRPr="00D32E94">
        <w:t>.</w:t>
      </w:r>
      <w:r w:rsidR="00D32E94">
        <w:t xml:space="preserve"> Sen sijaan viittaus Tiitisen työryhmän selv</w:t>
      </w:r>
      <w:r w:rsidR="00D32E94">
        <w:t>i</w:t>
      </w:r>
      <w:r w:rsidR="00D32E94">
        <w:t>tykseen ja sen toimenpiteisiin on tässä yhteydessä epäselvä. Yhtenä</w:t>
      </w:r>
      <w:r w:rsidR="00D32E94">
        <w:t>i</w:t>
      </w:r>
      <w:r w:rsidR="00D32E94">
        <w:t>semmän henkilöstöpolitiikan tavoitetta tukevat toimenpiteet ovat tätä la</w:t>
      </w:r>
      <w:r w:rsidR="00D32E94">
        <w:t>u</w:t>
      </w:r>
      <w:r w:rsidR="00D32E94">
        <w:t>suntoa kirjoitettaessa tarkemmin määrittelemättä.</w:t>
      </w:r>
    </w:p>
    <w:p w:rsidR="00D32E94" w:rsidRDefault="00D32E94" w:rsidP="00D32E94">
      <w:pPr>
        <w:pStyle w:val="Leipteksti"/>
      </w:pPr>
    </w:p>
    <w:p w:rsidR="00251754" w:rsidRDefault="00D32E94" w:rsidP="00D32E94">
      <w:pPr>
        <w:pStyle w:val="Leipteksti"/>
      </w:pPr>
      <w:r>
        <w:t>Yhteiskuntapolitiikan valmistelu ja erityisesti hallituksen strategiaprosessin nähdään liikenne- ja viestintäministeriön näkökulmasta kehittyneen nime</w:t>
      </w:r>
      <w:r>
        <w:t>n</w:t>
      </w:r>
      <w:r>
        <w:t>omaan strategisempaan suuntaan ja vastaavan entistä paremmin toim</w:t>
      </w:r>
      <w:r>
        <w:t>i</w:t>
      </w:r>
      <w:r>
        <w:t>alan muutostarpeisiin vastaamiskykyä. Liian yksityiskohtaiset hallituso</w:t>
      </w:r>
      <w:r>
        <w:t>h</w:t>
      </w:r>
      <w:r>
        <w:t xml:space="preserve">jelmat eivät kehitä toimintaa </w:t>
      </w:r>
      <w:r w:rsidR="00680AD9">
        <w:t>vastaamaan jatkuvasti ilmiölähtöisempää to</w:t>
      </w:r>
      <w:r w:rsidR="00680AD9">
        <w:t>i</w:t>
      </w:r>
      <w:r w:rsidR="00680AD9">
        <w:lastRenderedPageBreak/>
        <w:t xml:space="preserve">mintaympäristöä sekä nopeaa tarvelähtöistä ennakointia ja reagointia. Käytännössä </w:t>
      </w:r>
      <w:proofErr w:type="spellStart"/>
      <w:r w:rsidR="00551A4E">
        <w:t>LVM:n</w:t>
      </w:r>
      <w:proofErr w:type="spellEnd"/>
      <w:r w:rsidR="00680AD9">
        <w:t xml:space="preserve"> ja hallinnonalan yhteinen konsernistrategia tukee el</w:t>
      </w:r>
      <w:r w:rsidR="00680AD9">
        <w:t>i</w:t>
      </w:r>
      <w:r w:rsidR="00680AD9">
        <w:t>mellisesti hallitusohjelman tavoitteiden toteutumista. Kärkihankkeiden h</w:t>
      </w:r>
      <w:r w:rsidR="00680AD9">
        <w:t>o</w:t>
      </w:r>
      <w:r w:rsidR="00680AD9">
        <w:t>risontaali</w:t>
      </w:r>
      <w:r w:rsidR="006413C5">
        <w:t>sen</w:t>
      </w:r>
      <w:r w:rsidR="00680AD9">
        <w:t xml:space="preserve"> yhteistyön tukeminen nähdään sen sijaan edelleen tärkeänä kehittämiskohteena valtioneuvostotasolla.</w:t>
      </w:r>
      <w:r w:rsidR="00251754">
        <w:t xml:space="preserve"> Myös poliittisen johdon ja virk</w:t>
      </w:r>
      <w:r w:rsidR="00251754">
        <w:t>a</w:t>
      </w:r>
      <w:r w:rsidR="00251754">
        <w:t>miesjohdon yhteistyön ja roolijaon selkeyttäminen edesauttaa varmasti y</w:t>
      </w:r>
      <w:r w:rsidR="00251754">
        <w:t>h</w:t>
      </w:r>
      <w:r w:rsidR="00251754">
        <w:t>teistyön kehittymistä.</w:t>
      </w:r>
    </w:p>
    <w:p w:rsidR="00251754" w:rsidRDefault="00251754" w:rsidP="00D32E94">
      <w:pPr>
        <w:pStyle w:val="Leipteksti"/>
      </w:pPr>
    </w:p>
    <w:p w:rsidR="00D32E94" w:rsidRDefault="00251754" w:rsidP="00D32E94">
      <w:pPr>
        <w:pStyle w:val="Leipteksti"/>
      </w:pPr>
      <w:r>
        <w:t>L</w:t>
      </w:r>
      <w:r w:rsidR="00680AD9">
        <w:t>iikenne- ja viestintäministeriö kuitenkin katsoo, että valtioneuvostotaso</w:t>
      </w:r>
      <w:r w:rsidR="00680AD9">
        <w:t>i</w:t>
      </w:r>
      <w:r w:rsidR="00680AD9">
        <w:t xml:space="preserve">sen yhteistyön kehittäminen ei saa tapahtua hallinnonala-, sidosryhmä- ja </w:t>
      </w:r>
      <w:r w:rsidR="00D17C93">
        <w:t>julkis</w:t>
      </w:r>
      <w:r w:rsidR="00680AD9">
        <w:t xml:space="preserve">hallintoyhteistyön kustannuksella. </w:t>
      </w:r>
      <w:r>
        <w:t>Tämä riski näkyy tällä hetkellä er</w:t>
      </w:r>
      <w:r>
        <w:t>i</w:t>
      </w:r>
      <w:r>
        <w:t>tyisen vahvasti yhteensopivien tietojärjestelmien ja prosessien kehittäm</w:t>
      </w:r>
      <w:r>
        <w:t>i</w:t>
      </w:r>
      <w:r>
        <w:t xml:space="preserve">sessä ja käyttöönotossa valtioneuvostotasolla. </w:t>
      </w:r>
      <w:proofErr w:type="spellStart"/>
      <w:r>
        <w:t>Digitalisaation</w:t>
      </w:r>
      <w:proofErr w:type="spellEnd"/>
      <w:r>
        <w:t xml:space="preserve"> edistämisen ja tiedolla johtamisen kulmakivi</w:t>
      </w:r>
      <w:r w:rsidR="00D17C93">
        <w:t>ä</w:t>
      </w:r>
      <w:r>
        <w:t xml:space="preserve"> o</w:t>
      </w:r>
      <w:r w:rsidR="00D17C93">
        <w:t>vat</w:t>
      </w:r>
      <w:r>
        <w:t xml:space="preserve"> asiakastarpeen tunnistaminen</w:t>
      </w:r>
      <w:r w:rsidR="00D17C93">
        <w:t>, e</w:t>
      </w:r>
      <w:r w:rsidR="00D17C93">
        <w:t>n</w:t>
      </w:r>
      <w:r w:rsidR="00D17C93">
        <w:t>nakointi</w:t>
      </w:r>
      <w:r>
        <w:t xml:space="preserve"> ja</w:t>
      </w:r>
      <w:r w:rsidR="00D17C93">
        <w:t xml:space="preserve"> heikkojen signaalien havainnointi. V</w:t>
      </w:r>
      <w:r>
        <w:t>ahvasti ainoastaan</w:t>
      </w:r>
      <w:r w:rsidR="00D17C93">
        <w:t xml:space="preserve"> valti</w:t>
      </w:r>
      <w:r w:rsidR="00D17C93">
        <w:t>o</w:t>
      </w:r>
      <w:r w:rsidR="00D17C93">
        <w:t xml:space="preserve">neuvostotasolla </w:t>
      </w:r>
      <w:r>
        <w:t>ylhäältä alas</w:t>
      </w:r>
      <w:r w:rsidR="00D17C93">
        <w:t xml:space="preserve"> tunnistetut,</w:t>
      </w:r>
      <w:r>
        <w:t xml:space="preserve"> johdetut</w:t>
      </w:r>
      <w:r w:rsidR="00D17C93">
        <w:t xml:space="preserve"> ja kuvatut</w:t>
      </w:r>
      <w:r>
        <w:t xml:space="preserve"> prosessit eivät tarjoa riittävästi</w:t>
      </w:r>
      <w:r w:rsidR="00680AD9">
        <w:t xml:space="preserve"> </w:t>
      </w:r>
      <w:r w:rsidR="00D17C93">
        <w:t xml:space="preserve">kanavia </w:t>
      </w:r>
      <w:proofErr w:type="spellStart"/>
      <w:r w:rsidR="00D17C93">
        <w:t>digitalisaatiota</w:t>
      </w:r>
      <w:proofErr w:type="spellEnd"/>
      <w:r w:rsidR="00D17C93">
        <w:t xml:space="preserve"> tukevan muutoksen edistämiseksi. Tästä syystä prosessikuvauksissa pitäisi kiinnittää</w:t>
      </w:r>
      <w:r w:rsidR="00BD0CCC">
        <w:t xml:space="preserve"> kuvattua </w:t>
      </w:r>
      <w:r w:rsidR="00D17C93">
        <w:t>enemmän pa</w:t>
      </w:r>
      <w:r w:rsidR="00D17C93">
        <w:t>i</w:t>
      </w:r>
      <w:r w:rsidR="00D17C93">
        <w:t>noarvoa näiden rajapintojen välisen yhteistyön varmistamiseksi. Vain tällä tavoin valtioneuvostoyhteistyöllä on aito mahdollisuus kehittyä haluttuun suuntaan.</w:t>
      </w:r>
      <w:r w:rsidR="00BD0CCC">
        <w:t xml:space="preserve"> </w:t>
      </w:r>
      <w:r w:rsidR="00FB1AC7">
        <w:t>Tällä tavoin myös politiikkavaikutusten arviointi tulee lähemmä</w:t>
      </w:r>
      <w:r w:rsidR="00FB1AC7">
        <w:t>k</w:t>
      </w:r>
      <w:r w:rsidR="00FB1AC7">
        <w:t xml:space="preserve">si </w:t>
      </w:r>
      <w:proofErr w:type="spellStart"/>
      <w:r w:rsidR="00FB1AC7">
        <w:t>konkretiaa</w:t>
      </w:r>
      <w:proofErr w:type="spellEnd"/>
      <w:r w:rsidR="00FB1AC7">
        <w:t>.</w:t>
      </w:r>
    </w:p>
    <w:p w:rsidR="00BD0CCC" w:rsidRDefault="00BD0CCC" w:rsidP="00D32E94">
      <w:pPr>
        <w:pStyle w:val="Leipteksti"/>
      </w:pPr>
    </w:p>
    <w:p w:rsidR="00397A9C" w:rsidRDefault="00BD0CCC" w:rsidP="00D32E94">
      <w:pPr>
        <w:pStyle w:val="Leipteksti"/>
      </w:pPr>
      <w:r>
        <w:t>Valtioneuvoston kokonaisarkkitehtuurin hallintamallin kuvaus jää asiaki</w:t>
      </w:r>
      <w:r>
        <w:t>r</w:t>
      </w:r>
      <w:r>
        <w:t>jassa kuvatun perusteella epäselväksi. Liikenne- ja viestintäministeriö to</w:t>
      </w:r>
      <w:r>
        <w:t>i</w:t>
      </w:r>
      <w:r>
        <w:t>voo selkeämpää kuvausta ja konkreettisia esimerkkejä siitä, mitkä asiat ovat hallintamallin piiriin kuuluvia kehittämishankkeita ja mitkä jäävä</w:t>
      </w:r>
      <w:r w:rsidR="00397A9C">
        <w:t>t</w:t>
      </w:r>
      <w:r>
        <w:t xml:space="preserve"> halli</w:t>
      </w:r>
      <w:r>
        <w:t>n</w:t>
      </w:r>
      <w:r>
        <w:t>tamallin ulkopuolelle. Epäselväksi jää myös se, miten hallintamalli käytä</w:t>
      </w:r>
      <w:r>
        <w:t>n</w:t>
      </w:r>
      <w:r>
        <w:t>nössä vaikuttaa nykyiseen johtamisjärjestelmään, rooleihin ja vastuisiin valtion</w:t>
      </w:r>
      <w:r w:rsidR="001300D3">
        <w:t>euvostossa</w:t>
      </w:r>
      <w:r>
        <w:t xml:space="preserve">. </w:t>
      </w:r>
      <w:r w:rsidR="001300D3">
        <w:t>Keskeis</w:t>
      </w:r>
      <w:r w:rsidR="00397A9C">
        <w:t>immät muutokset liittyvät kansli</w:t>
      </w:r>
      <w:r w:rsidR="001300D3">
        <w:t>apäällikön ja kansliapäällikkökokouksen rooliin</w:t>
      </w:r>
      <w:r w:rsidR="00551A4E">
        <w:t xml:space="preserve"> </w:t>
      </w:r>
      <w:r w:rsidR="001300D3">
        <w:t>organisaation toiminnan ja kehittämi</w:t>
      </w:r>
      <w:r w:rsidR="001300D3">
        <w:t>s</w:t>
      </w:r>
      <w:r w:rsidR="001300D3">
        <w:t xml:space="preserve">hankkeiden johtamisessa. </w:t>
      </w:r>
      <w:r w:rsidR="00551A4E">
        <w:t xml:space="preserve">Kansliapäällikön toimivaltaan kuuluu </w:t>
      </w:r>
      <w:r w:rsidR="000F0062">
        <w:t>VN ohj</w:t>
      </w:r>
      <w:r w:rsidR="000F0062">
        <w:t>e</w:t>
      </w:r>
      <w:r w:rsidR="000F0062">
        <w:t xml:space="preserve">säännön </w:t>
      </w:r>
      <w:r w:rsidR="00551A4E">
        <w:t>mukaan nimenomaan organisaation toiminnan ja toimintatapojen johtaminen</w:t>
      </w:r>
      <w:r w:rsidR="00353CCC">
        <w:t xml:space="preserve"> ja kehittäminen</w:t>
      </w:r>
      <w:r w:rsidR="00551A4E">
        <w:t>.</w:t>
      </w:r>
    </w:p>
    <w:p w:rsidR="006413C5" w:rsidRDefault="006413C5" w:rsidP="00D32E94">
      <w:pPr>
        <w:pStyle w:val="Leipteksti"/>
      </w:pPr>
    </w:p>
    <w:p w:rsidR="000F6DC1" w:rsidRDefault="006413C5" w:rsidP="00D32E94">
      <w:pPr>
        <w:pStyle w:val="Leipteksti"/>
      </w:pPr>
      <w:r>
        <w:t>LVM katsoo myös, että yhteisten toimintatapojen kehittämisen näköku</w:t>
      </w:r>
      <w:r>
        <w:t>l</w:t>
      </w:r>
      <w:r>
        <w:t>masta</w:t>
      </w:r>
      <w:r w:rsidR="000F6DC1">
        <w:t>,</w:t>
      </w:r>
      <w:r>
        <w:t xml:space="preserve"> olisi olennaisen tärkeätä saada kappaleessa 3.5 kuvatut valtione</w:t>
      </w:r>
      <w:r>
        <w:t>u</w:t>
      </w:r>
      <w:r>
        <w:t xml:space="preserve">voston yhteiset </w:t>
      </w:r>
      <w:proofErr w:type="spellStart"/>
      <w:r>
        <w:t>VNHY:öön</w:t>
      </w:r>
      <w:proofErr w:type="spellEnd"/>
      <w:r>
        <w:t xml:space="preserve"> kootut hallinto- ja palveluprosessit </w:t>
      </w:r>
      <w:r w:rsidR="000F6DC1">
        <w:t>laadultaan luotettavalle tasolle. Raportissa tämä on kuvattu kehittämiskohteeksi ja luottamus näihin palveluihin on myös ehdoton edellytys uusiin yhteisty</w:t>
      </w:r>
      <w:r w:rsidR="000F6DC1">
        <w:t>ö</w:t>
      </w:r>
      <w:r w:rsidR="000F6DC1">
        <w:t>prosesseihin siirtymiselle.</w:t>
      </w:r>
      <w:r w:rsidR="00C92929">
        <w:t xml:space="preserve"> Tähänastisessa palvelujen kokoamisessa on o</w:t>
      </w:r>
      <w:r w:rsidR="00C92929">
        <w:t>l</w:t>
      </w:r>
      <w:r w:rsidR="00C92929">
        <w:t>lut havaittavissa byrokratian lisääntymistä ja palvelujen tuottajan etäänt</w:t>
      </w:r>
      <w:r w:rsidR="00C92929">
        <w:t>y</w:t>
      </w:r>
      <w:r w:rsidR="00C92929">
        <w:t xml:space="preserve">mistä asiakkaan tarpeista. Ongelmana on myös ollut pienten palvelujen osa-alueiden tuottajien </w:t>
      </w:r>
      <w:proofErr w:type="spellStart"/>
      <w:r w:rsidR="00C92929">
        <w:t>siiloutuminen</w:t>
      </w:r>
      <w:proofErr w:type="spellEnd"/>
      <w:r w:rsidR="00C92929">
        <w:t>, jolloin kokonaisymmärrys asiakkaan tarpeista on jäänyt puutteelliseksi.</w:t>
      </w:r>
      <w:r w:rsidR="0056304D">
        <w:t xml:space="preserve"> Nykyisessä mallissa ministeriö ei pysty korjaamaan palvelutoiminnoissa olevia epätarkoituksenmukaisuuksia, kun taas jos palveluiden tuottaminen ja toteuttaminen olisi kunkin ministeriön omassa määräysvallassa, palvelut voitaisiin joustavasti sopeuttaa kunkin ministeriön kokonaisedun mukaisiksi. </w:t>
      </w:r>
      <w:r w:rsidR="00C92929">
        <w:t xml:space="preserve"> </w:t>
      </w:r>
    </w:p>
    <w:p w:rsidR="00C92929" w:rsidRDefault="00C92929" w:rsidP="00D32E94">
      <w:pPr>
        <w:pStyle w:val="Leipteksti"/>
      </w:pPr>
    </w:p>
    <w:p w:rsidR="00C92929" w:rsidRDefault="00C92929" w:rsidP="00D32E94">
      <w:pPr>
        <w:pStyle w:val="Leipteksti"/>
      </w:pPr>
      <w:r>
        <w:t>Kohdassa 3.6 sivulla 51 nähdään ongelmaksi, että s</w:t>
      </w:r>
      <w:r w:rsidRPr="00C92929">
        <w:t>äädösvalmistelu osaami</w:t>
      </w:r>
      <w:r>
        <w:t>n</w:t>
      </w:r>
      <w:r w:rsidRPr="00C92929">
        <w:t xml:space="preserve">en ei ole hyödynnettävissä helposti yli ministeriörajojen. Tästä </w:t>
      </w:r>
      <w:r w:rsidRPr="00C92929">
        <w:lastRenderedPageBreak/>
        <w:t>seuraa tarve hankkia lainsäädännön tiettyjen osa-alueen erityisosaamista vaativiin tehtäviin ministeriökohtaisia asiantuntijaresursseja</w:t>
      </w:r>
      <w:r>
        <w:t>. Liikenne- ja viestintäministeriön näkemyksen mukaan ministeriöiden asiantuntijat ovat pääosin nimenomaan kunkin ministeriön toimialan ja tehtävien asiantunt</w:t>
      </w:r>
      <w:r>
        <w:t>i</w:t>
      </w:r>
      <w:r>
        <w:t>joita, jotka tekevät säädösvalmistelua osana työtään, ja ministeriön toim</w:t>
      </w:r>
      <w:r>
        <w:t>i</w:t>
      </w:r>
      <w:r>
        <w:t xml:space="preserve">alan ja tehtävien tuntemus on välttämätöntä tehtävien asianmukaiseksi hoitamiseksi. </w:t>
      </w:r>
      <w:r w:rsidR="00B948B2">
        <w:t>Liikenne- ja viestintäm</w:t>
      </w:r>
      <w:r>
        <w:t>inisteriö ei tunnista valtioneuvoston pi</w:t>
      </w:r>
      <w:r>
        <w:t>i</w:t>
      </w:r>
      <w:r>
        <w:t xml:space="preserve">rissä olevan vajaakäytöllä </w:t>
      </w:r>
      <w:proofErr w:type="spellStart"/>
      <w:r>
        <w:t>generalistisia</w:t>
      </w:r>
      <w:proofErr w:type="spellEnd"/>
      <w:r>
        <w:t xml:space="preserve"> säädösvalmistelijoita, jotka odo</w:t>
      </w:r>
      <w:r>
        <w:t>t</w:t>
      </w:r>
      <w:r>
        <w:t>taisivat tehtäviä.</w:t>
      </w:r>
      <w:r w:rsidR="00B948B2">
        <w:t xml:space="preserve"> Pikemminkin kaikki kyvykkäät säädösvalmistelijat ovat o</w:t>
      </w:r>
      <w:r w:rsidR="00B948B2">
        <w:t>l</w:t>
      </w:r>
      <w:r w:rsidR="00B948B2">
        <w:t>leet viime vuosina erittäin työllistettyjä.</w:t>
      </w:r>
      <w:r w:rsidR="0056304D">
        <w:t xml:space="preserve"> </w:t>
      </w:r>
    </w:p>
    <w:p w:rsidR="005C3759" w:rsidRDefault="005C3759" w:rsidP="00D32E94">
      <w:pPr>
        <w:pStyle w:val="Leipteksti"/>
      </w:pPr>
    </w:p>
    <w:p w:rsidR="005C3759" w:rsidRDefault="005C3759" w:rsidP="00D32E94">
      <w:pPr>
        <w:pStyle w:val="Leipteksti"/>
      </w:pPr>
      <w:r>
        <w:t xml:space="preserve">Kohdassa 4.3 sivulla 80 kuvassa 43 esitellään </w:t>
      </w:r>
      <w:proofErr w:type="spellStart"/>
      <w:r>
        <w:t>VNHY:llä</w:t>
      </w:r>
      <w:proofErr w:type="spellEnd"/>
      <w:r>
        <w:t xml:space="preserve"> olevia ”ohjauste</w:t>
      </w:r>
      <w:r>
        <w:t>h</w:t>
      </w:r>
      <w:r>
        <w:t xml:space="preserve">täviä”. Käytännön tasolla kaikki nämä asiat ovat sellaisia, joita VM ohjaa jo koko valtionhallinnon tasolla, ja </w:t>
      </w:r>
      <w:proofErr w:type="spellStart"/>
      <w:r>
        <w:t>VM:llä</w:t>
      </w:r>
      <w:proofErr w:type="spellEnd"/>
      <w:r>
        <w:t xml:space="preserve"> on toimivalta antaa näissä asioissa kaikkia valtion virastoja (siis myös ministeriöitä) koskevia määräyksiä ja o</w:t>
      </w:r>
      <w:r>
        <w:t>h</w:t>
      </w:r>
      <w:r>
        <w:t xml:space="preserve">jeita. Näin ollen olisi järkevää pohtia, onko </w:t>
      </w:r>
      <w:proofErr w:type="spellStart"/>
      <w:r>
        <w:t>VNHY:n</w:t>
      </w:r>
      <w:proofErr w:type="spellEnd"/>
      <w:r>
        <w:t xml:space="preserve"> päällekkäinen ja ri</w:t>
      </w:r>
      <w:r>
        <w:t>n</w:t>
      </w:r>
      <w:r>
        <w:t xml:space="preserve">nakkainen ohjaus näissä asioissa tarpeellista. Ministeriönäkökulmasta ei ole ollut havaittavissa hyötyä </w:t>
      </w:r>
      <w:proofErr w:type="spellStart"/>
      <w:r>
        <w:t>VNHY:n</w:t>
      </w:r>
      <w:proofErr w:type="spellEnd"/>
      <w:r>
        <w:t xml:space="preserve"> ”ohjauksesta” näissä asioissa.</w:t>
      </w:r>
      <w:r w:rsidR="00AA6A9E">
        <w:t xml:space="preserve"> Kä</w:t>
      </w:r>
      <w:r w:rsidR="00AA6A9E">
        <w:t>y</w:t>
      </w:r>
      <w:r w:rsidR="00AA6A9E">
        <w:t>tännön tasolla on myös eriskummallinen tilanne, että hallinnonalansa vira</w:t>
      </w:r>
      <w:r w:rsidR="00AA6A9E">
        <w:t>s</w:t>
      </w:r>
      <w:r w:rsidR="00AA6A9E">
        <w:t>toja ohjaavat ministeriöt saavat näissä asioissa ohjausta kahdelta eri taho</w:t>
      </w:r>
      <w:r w:rsidR="00AA6A9E">
        <w:t>l</w:t>
      </w:r>
      <w:r w:rsidR="00AA6A9E">
        <w:t>ta, ja ministeriöillä on näissä asioissa osittain erilaista ohjausta kuin vira</w:t>
      </w:r>
      <w:r w:rsidR="00AA6A9E">
        <w:t>s</w:t>
      </w:r>
      <w:r w:rsidR="00AA6A9E">
        <w:t>toillaan. Budjettivaltio on nykyisin supistunut jo niin pieneksi, että on vaikea nähdä perusteita, minkä vuoksi valtion virastoista ministeriöille pitäisi antaa erilaista ohjausta ko. asioissa kuin VM antaa kaikkien valtion virastojen osalta.</w:t>
      </w:r>
      <w:r>
        <w:t xml:space="preserve"> Eri asia sitten on </w:t>
      </w:r>
      <w:proofErr w:type="spellStart"/>
      <w:r>
        <w:t>VNHY:n</w:t>
      </w:r>
      <w:proofErr w:type="spellEnd"/>
      <w:r>
        <w:t xml:space="preserve"> ministeriöille tuottamat selkeät palvel</w:t>
      </w:r>
      <w:r>
        <w:t>u</w:t>
      </w:r>
      <w:r>
        <w:t xml:space="preserve">tehtävät. Esimerkiksi </w:t>
      </w:r>
      <w:proofErr w:type="spellStart"/>
      <w:r>
        <w:t>VNHY:n</w:t>
      </w:r>
      <w:proofErr w:type="spellEnd"/>
      <w:r>
        <w:t xml:space="preserve"> palveluksessa olevat kääntäjät tekevät su</w:t>
      </w:r>
      <w:r>
        <w:t>o</w:t>
      </w:r>
      <w:r>
        <w:t>rastaan erinomaisen laadukasta työtä.</w:t>
      </w:r>
    </w:p>
    <w:p w:rsidR="00AA6A9E" w:rsidRDefault="00AA6A9E" w:rsidP="00D32E94">
      <w:pPr>
        <w:pStyle w:val="Leipteksti"/>
      </w:pPr>
    </w:p>
    <w:p w:rsidR="00AA6A9E" w:rsidRDefault="00AA6A9E" w:rsidP="00D32E94">
      <w:pPr>
        <w:pStyle w:val="Leipteksti"/>
      </w:pPr>
      <w:r>
        <w:t>Kohdasta 4.5 palvelut on todettava, että matkahallinto on kussakin minist</w:t>
      </w:r>
      <w:r>
        <w:t>e</w:t>
      </w:r>
      <w:r>
        <w:t xml:space="preserve">riössä, ei </w:t>
      </w:r>
      <w:proofErr w:type="spellStart"/>
      <w:r>
        <w:t>VNHY:ssä</w:t>
      </w:r>
      <w:proofErr w:type="spellEnd"/>
      <w:r>
        <w:t xml:space="preserve">. </w:t>
      </w:r>
      <w:r w:rsidR="00A95CA0">
        <w:t>Aikaisemmin kohdassa 3.5 palveluita on kuvattu ta</w:t>
      </w:r>
      <w:r w:rsidR="00A95CA0">
        <w:t>r</w:t>
      </w:r>
      <w:r w:rsidR="00A95CA0">
        <w:t xml:space="preserve">kemmin </w:t>
      </w:r>
      <w:proofErr w:type="spellStart"/>
      <w:r w:rsidR="00A95CA0">
        <w:t>VNHY:n</w:t>
      </w:r>
      <w:proofErr w:type="spellEnd"/>
      <w:r w:rsidR="00A95CA0">
        <w:t xml:space="preserve"> näkökulmasta, ja tässäkin </w:t>
      </w:r>
      <w:proofErr w:type="spellStart"/>
      <w:r w:rsidR="00A95CA0">
        <w:t>VNHY:n</w:t>
      </w:r>
      <w:proofErr w:type="spellEnd"/>
      <w:r w:rsidR="00A95CA0">
        <w:t xml:space="preserve"> osuus näyttäytyy su</w:t>
      </w:r>
      <w:r w:rsidR="00A95CA0">
        <w:t>u</w:t>
      </w:r>
      <w:r w:rsidR="00A95CA0">
        <w:t xml:space="preserve">rempana kuin todellisuuden tasolla ministeriötasolla on havaittavissa. </w:t>
      </w:r>
      <w:r w:rsidR="00F42368">
        <w:t>K</w:t>
      </w:r>
      <w:r w:rsidR="00F42368">
        <w:t>y</w:t>
      </w:r>
      <w:r w:rsidR="00F42368">
        <w:t>seisessä kohdassa todetaan, että joidenkin palveluiden osalta ministeriöt ”osallistuvat” ko. palvelun tuottamiseen, vaikka käytännön tasolla usean palvelun osalta ministeriöt hoitavat käytännön tasolla kaiken tai lähes ka</w:t>
      </w:r>
      <w:r w:rsidR="00F42368">
        <w:t>i</w:t>
      </w:r>
      <w:r w:rsidR="00F42368">
        <w:t xml:space="preserve">ken työn. Esimerkiksi henkilöstöasioiden osalta VNHY antaa kyllä erilaisia ohjeita (jotka ovat päällekkäisiä / rinnakkaisia </w:t>
      </w:r>
      <w:proofErr w:type="spellStart"/>
      <w:r w:rsidR="00F42368">
        <w:t>VM:n</w:t>
      </w:r>
      <w:proofErr w:type="spellEnd"/>
      <w:r w:rsidR="00F42368">
        <w:t xml:space="preserve"> samoja asioita kosk</w:t>
      </w:r>
      <w:r w:rsidR="00F42368">
        <w:t>e</w:t>
      </w:r>
      <w:r w:rsidR="00F42368">
        <w:t xml:space="preserve">vien ohjeiden kanssa) jne., mutta käytännön työ tehdään ministeriöissä. </w:t>
      </w:r>
      <w:r w:rsidR="00B8363F">
        <w:t>Hankintojen osalta on vielä erikseen todettava, että mm. puhelimien ja ta</w:t>
      </w:r>
      <w:r w:rsidR="00B8363F">
        <w:t>b</w:t>
      </w:r>
      <w:r w:rsidR="00B8363F">
        <w:t xml:space="preserve">lettien hankinnoissa virkamiehille on ollut jatkuvia ongelmia, vaikka ao. määrärahat on siirretty </w:t>
      </w:r>
      <w:proofErr w:type="spellStart"/>
      <w:r w:rsidR="00B8363F">
        <w:t>VNHY:lle</w:t>
      </w:r>
      <w:proofErr w:type="spellEnd"/>
      <w:r w:rsidR="00B8363F">
        <w:t>. Silloin kun puhelimien ja tablettien ha</w:t>
      </w:r>
      <w:r w:rsidR="00B8363F">
        <w:t>n</w:t>
      </w:r>
      <w:r w:rsidR="00B8363F">
        <w:t>kinta hoidettiin kustakin ministeriöstä, ongelmia ei esiintynyt. Tässäkin as</w:t>
      </w:r>
      <w:r w:rsidR="00B8363F">
        <w:t>i</w:t>
      </w:r>
      <w:r w:rsidR="00B8363F">
        <w:t xml:space="preserve">assa on havaittavissa, että kun tietyn palvelun osalta toimivalta on siirretty viraston ulkopuolelle, </w:t>
      </w:r>
      <w:r w:rsidR="00EA2473">
        <w:t>tilanne johtaa helposti osaoptimointiin, jossa tarka</w:t>
      </w:r>
      <w:r w:rsidR="00EA2473">
        <w:t>s</w:t>
      </w:r>
      <w:r w:rsidR="00EA2473">
        <w:t>tellaan ainoastaan ao. palvelun kustannuksia eikä ao. palvelun viraston toiminnan tehokkuudelle tuottamia hyötyjä.</w:t>
      </w:r>
      <w:r>
        <w:t xml:space="preserve"> </w:t>
      </w:r>
    </w:p>
    <w:p w:rsidR="000F6DC1" w:rsidRDefault="000F6DC1" w:rsidP="00D32E94">
      <w:pPr>
        <w:pStyle w:val="Leipteksti"/>
      </w:pPr>
    </w:p>
    <w:p w:rsidR="00BD0CCC" w:rsidRDefault="00551A4E" w:rsidP="00D32E94">
      <w:pPr>
        <w:pStyle w:val="Leipteksti"/>
      </w:pPr>
      <w:r>
        <w:t>LVM katsoo lisäksi</w:t>
      </w:r>
      <w:r w:rsidR="001300D3">
        <w:t>, että kyseessä on muutos, joka olisi erittäin tärkeä käs</w:t>
      </w:r>
      <w:r w:rsidR="001300D3">
        <w:t>i</w:t>
      </w:r>
      <w:r w:rsidR="001300D3">
        <w:t>tellä kattavasti kansliapäällikkökokouksessa. Tällöin mahdollisen toimint</w:t>
      </w:r>
      <w:r w:rsidR="001300D3">
        <w:t>a</w:t>
      </w:r>
      <w:r w:rsidR="001300D3">
        <w:t>tapamuutoksen vaikutukset pystyttäisiin käsittelemään periaatteellisella t</w:t>
      </w:r>
      <w:r w:rsidR="001300D3">
        <w:t>a</w:t>
      </w:r>
      <w:r w:rsidR="001300D3">
        <w:t>solla kansliapäällikkökokouksen roolin</w:t>
      </w:r>
      <w:r w:rsidR="00397A9C">
        <w:t xml:space="preserve">, ajankäytön </w:t>
      </w:r>
      <w:r w:rsidR="001300D3">
        <w:t>ja toiminnan suunnitt</w:t>
      </w:r>
      <w:r w:rsidR="001300D3">
        <w:t>e</w:t>
      </w:r>
      <w:r w:rsidR="001300D3">
        <w:t xml:space="preserve">lun näkökulmasta ja ymmärrys vaikutuksista olisi yhteinen. </w:t>
      </w:r>
      <w:r w:rsidR="00397A9C">
        <w:t>Myös kok</w:t>
      </w:r>
      <w:r w:rsidR="00397A9C">
        <w:t>o</w:t>
      </w:r>
      <w:r w:rsidR="00397A9C">
        <w:t>naisarkki</w:t>
      </w:r>
      <w:r w:rsidR="008932C4">
        <w:t>tehtuurin koordi</w:t>
      </w:r>
      <w:r w:rsidR="00397A9C">
        <w:t>naatio</w:t>
      </w:r>
      <w:r w:rsidR="008932C4">
        <w:t>työryhmän roolin, työmäärän sekä resurss</w:t>
      </w:r>
      <w:r w:rsidR="008932C4">
        <w:t>i</w:t>
      </w:r>
      <w:r w:rsidR="008932C4">
        <w:t xml:space="preserve">tarpeen määrittely olisi </w:t>
      </w:r>
      <w:r>
        <w:t>keskeistä</w:t>
      </w:r>
      <w:r w:rsidR="008932C4">
        <w:t xml:space="preserve"> arvioida yhteisesti.</w:t>
      </w:r>
    </w:p>
    <w:p w:rsidR="004676DB" w:rsidRDefault="004676DB" w:rsidP="00D32E94">
      <w:pPr>
        <w:pStyle w:val="Leipteksti"/>
      </w:pPr>
    </w:p>
    <w:p w:rsidR="004676DB" w:rsidRDefault="004676DB" w:rsidP="00D32E94">
      <w:pPr>
        <w:pStyle w:val="Leipteksti"/>
      </w:pPr>
      <w:r>
        <w:t>LVM toivoo myös tarkempaa määrittelyä hallintamallin piiriin kuuluvien pr</w:t>
      </w:r>
      <w:r>
        <w:t>o</w:t>
      </w:r>
      <w:r>
        <w:t>sessien omistajuudesta. Käytännössä malli tarkoittaa ainakin osittain ma</w:t>
      </w:r>
      <w:r>
        <w:t>t</w:t>
      </w:r>
      <w:r>
        <w:t>riisimaiseen johtamismalliin siirtymistä</w:t>
      </w:r>
      <w:r w:rsidR="0031301C">
        <w:t>.</w:t>
      </w:r>
      <w:r>
        <w:t xml:space="preserve"> </w:t>
      </w:r>
      <w:proofErr w:type="gramStart"/>
      <w:r w:rsidR="0031301C">
        <w:t>K</w:t>
      </w:r>
      <w:r>
        <w:t>oska valtioneuvosto ei ole yksi o</w:t>
      </w:r>
      <w:r>
        <w:t>r</w:t>
      </w:r>
      <w:r>
        <w:t>ganisaatio</w:t>
      </w:r>
      <w:r w:rsidR="00293FF3">
        <w:t xml:space="preserve">, </w:t>
      </w:r>
      <w:r w:rsidR="00EA2473">
        <w:t>vaan kaikki ministeriöt ovat itsenäisiä virastoja,</w:t>
      </w:r>
      <w:r>
        <w:t xml:space="preserve"> </w:t>
      </w:r>
      <w:r w:rsidR="0031301C">
        <w:t>katsoo LVM, e</w:t>
      </w:r>
      <w:r w:rsidR="0031301C">
        <w:t>t</w:t>
      </w:r>
      <w:r w:rsidR="0031301C">
        <w:t>tä roolit, vastuut ja vaikutukset resurs</w:t>
      </w:r>
      <w:r w:rsidR="00551A4E">
        <w:t>seihin on määriteltävä tarkasti</w:t>
      </w:r>
      <w:r w:rsidR="00293FF3">
        <w:t>,</w:t>
      </w:r>
      <w:r w:rsidR="0031301C">
        <w:t xml:space="preserve"> mikäli uuteen johtamismalliin päätetään siirtyä.</w:t>
      </w:r>
      <w:proofErr w:type="gramEnd"/>
      <w:r w:rsidR="008932C4">
        <w:t xml:space="preserve"> LVM esittää myös, että mikäli ha</w:t>
      </w:r>
      <w:r w:rsidR="008932C4">
        <w:t>l</w:t>
      </w:r>
      <w:r w:rsidR="008932C4">
        <w:t>lintamalli otetaan käyttöön, tulee se myös teknisesti rakentaa sisään aut</w:t>
      </w:r>
      <w:r w:rsidR="008932C4">
        <w:t>o</w:t>
      </w:r>
      <w:r w:rsidR="008932C4">
        <w:t xml:space="preserve">maattiseksi osaksi yhteisiä prosesseja jo kehitteillä oleviin </w:t>
      </w:r>
      <w:proofErr w:type="spellStart"/>
      <w:r w:rsidR="008932C4">
        <w:t>VN:n</w:t>
      </w:r>
      <w:proofErr w:type="spellEnd"/>
      <w:r w:rsidR="008932C4">
        <w:t xml:space="preserve"> yhteisiin järjestelmiin, erityisesti Vahvaan ja Hankeikkunaan. Samalla tulee</w:t>
      </w:r>
      <w:r w:rsidR="00551A4E">
        <w:t xml:space="preserve"> ehdo</w:t>
      </w:r>
      <w:r w:rsidR="00551A4E">
        <w:t>t</w:t>
      </w:r>
      <w:r w:rsidR="00551A4E">
        <w:t>tomasti</w:t>
      </w:r>
      <w:r w:rsidR="008932C4">
        <w:t xml:space="preserve"> huomioida mahdolliset rajapinnat muihin julkisen hallinn</w:t>
      </w:r>
      <w:bookmarkStart w:id="0" w:name="_GoBack"/>
      <w:bookmarkEnd w:id="0"/>
      <w:r w:rsidR="008932C4">
        <w:t>on toimijo</w:t>
      </w:r>
      <w:r w:rsidR="008932C4">
        <w:t>i</w:t>
      </w:r>
      <w:r w:rsidR="008932C4">
        <w:t>hin.</w:t>
      </w:r>
    </w:p>
    <w:p w:rsidR="001300D3" w:rsidRDefault="001300D3" w:rsidP="00D32E94">
      <w:pPr>
        <w:pStyle w:val="Leipteksti"/>
      </w:pPr>
    </w:p>
    <w:p w:rsidR="001300D3" w:rsidRDefault="001300D3" w:rsidP="00D32E94">
      <w:pPr>
        <w:pStyle w:val="Leipteksti"/>
      </w:pPr>
      <w:r>
        <w:t xml:space="preserve">Hallintamallin käyttöönotto </w:t>
      </w:r>
      <w:r w:rsidR="00EA2473">
        <w:t xml:space="preserve">lähinnä </w:t>
      </w:r>
      <w:r>
        <w:t>viestinnällisenä yhteistyön kehittämisen kana</w:t>
      </w:r>
      <w:r w:rsidR="00EA2473">
        <w:t>vana on sinänsä mahdollista</w:t>
      </w:r>
      <w:r>
        <w:t xml:space="preserve">, jotta päällekkäisyyksiä ja </w:t>
      </w:r>
      <w:r w:rsidR="004676DB">
        <w:t xml:space="preserve">liittymäpintoja on mahdollista jo varhaisessa vaiheessa tunnistaa ja hyödyntää. </w:t>
      </w:r>
      <w:r w:rsidR="00B64905">
        <w:t>Jos</w:t>
      </w:r>
      <w:r w:rsidR="004676DB">
        <w:t xml:space="preserve"> ha</w:t>
      </w:r>
      <w:r w:rsidR="004676DB">
        <w:t>l</w:t>
      </w:r>
      <w:r w:rsidR="004676DB">
        <w:t>lintamalli edellyttää</w:t>
      </w:r>
      <w:r w:rsidR="00B64905">
        <w:t xml:space="preserve"> ministeriötason</w:t>
      </w:r>
      <w:r w:rsidR="004676DB">
        <w:t xml:space="preserve"> toiminnassa </w:t>
      </w:r>
      <w:r w:rsidR="00184354">
        <w:t xml:space="preserve">aina </w:t>
      </w:r>
      <w:r w:rsidR="004676DB">
        <w:t>kahdentoista eri m</w:t>
      </w:r>
      <w:r w:rsidR="004676DB">
        <w:t>i</w:t>
      </w:r>
      <w:r w:rsidR="004676DB">
        <w:t>nisteriön yhteis</w:t>
      </w:r>
      <w:r w:rsidR="007216DA">
        <w:t>tä hyväksyntää ja toimintatapaa</w:t>
      </w:r>
      <w:r w:rsidR="004676DB">
        <w:t xml:space="preserve"> katsoo LVM, että malli ei edistä uusien toimintatapojen, kokeilujen ja yhteistyön kehittymistä, vaan päinvastoin</w:t>
      </w:r>
      <w:r w:rsidR="00353CCC">
        <w:t xml:space="preserve"> saattaa jopa</w:t>
      </w:r>
      <w:r w:rsidR="004676DB">
        <w:t xml:space="preserve"> hidastaa sitä.</w:t>
      </w:r>
      <w:r w:rsidR="00B64905">
        <w:t xml:space="preserve"> Vielä huonompi vaihtoehto olisi, e</w:t>
      </w:r>
      <w:r w:rsidR="00B64905">
        <w:t>t</w:t>
      </w:r>
      <w:r w:rsidR="00B64905">
        <w:t>tä VNK päättäisi asioista ministeriöiden tahdon vastaisesti. Yli 90 % inn</w:t>
      </w:r>
      <w:r w:rsidR="00B64905">
        <w:t>o</w:t>
      </w:r>
      <w:r w:rsidR="00B64905">
        <w:t>vaatioista tapahtuu asiakasrajapinnassa, ja hallintamalli ei saa johtaa inn</w:t>
      </w:r>
      <w:r w:rsidR="00B64905">
        <w:t>o</w:t>
      </w:r>
      <w:r w:rsidR="00B64905">
        <w:t>vaatioiden kokeilun ja käyttöönoton hidastumiseen tai hankaloitumiseen.</w:t>
      </w:r>
      <w:r w:rsidR="006B049E">
        <w:t xml:space="preserve"> Erilaisissa palvelukeskusmalleissa ja palveluiden kokoamisessa tapahtuu helposti norsunluutorni-ilmiö, jossa palvelukeskus ryhtyy toimimaan oma</w:t>
      </w:r>
      <w:r w:rsidR="006B049E">
        <w:t>s</w:t>
      </w:r>
      <w:r w:rsidR="006B049E">
        <w:t>ta näkökulmastaan tuntematta varsinaista toimintaa, jota palvelun pitäisi tukea.</w:t>
      </w:r>
      <w:r w:rsidR="009F50C4">
        <w:t xml:space="preserve"> </w:t>
      </w:r>
      <w:r w:rsidR="00353CCC">
        <w:t>L</w:t>
      </w:r>
      <w:r w:rsidR="00F37F3F">
        <w:t>VM</w:t>
      </w:r>
      <w:r w:rsidR="00353CCC">
        <w:t xml:space="preserve"> katsoo myös, että</w:t>
      </w:r>
      <w:r w:rsidR="00125190">
        <w:t xml:space="preserve"> lähestyminen</w:t>
      </w:r>
      <w:r w:rsidR="00353CCC">
        <w:t xml:space="preserve"> </w:t>
      </w:r>
      <w:r w:rsidR="00977BD5">
        <w:t>yhteiskunnallista</w:t>
      </w:r>
      <w:r w:rsidR="00125190">
        <w:t xml:space="preserve"> tavoitetta</w:t>
      </w:r>
      <w:r w:rsidR="00353CCC">
        <w:t xml:space="preserve"> eri näkökulmista, on olennainen osa vastuullista virkamiesvalmistelua</w:t>
      </w:r>
      <w:r w:rsidR="00125190">
        <w:t xml:space="preserve"> ja y</w:t>
      </w:r>
      <w:r w:rsidR="00125190">
        <w:t>h</w:t>
      </w:r>
      <w:r w:rsidR="00125190">
        <w:t>teistyötä</w:t>
      </w:r>
      <w:r w:rsidR="009F50C4">
        <w:t>. E</w:t>
      </w:r>
      <w:r w:rsidR="00353CCC">
        <w:t>rityisesti tästä näkökulmasta on olennaista miettiä</w:t>
      </w:r>
      <w:r w:rsidR="009F50C4">
        <w:t xml:space="preserve">, </w:t>
      </w:r>
      <w:r w:rsidR="00353CCC">
        <w:t>vaikuttaako yhteiseen hallintamalliin siirtyminen myös hankkeissa käytettävään tietoon ja tätä kautta toimintatapojen lisäksi myös hankkeen asiasisältöön</w:t>
      </w:r>
      <w:r w:rsidR="00125190">
        <w:t xml:space="preserve"> </w:t>
      </w:r>
      <w:r w:rsidR="00977BD5">
        <w:t>yksipu</w:t>
      </w:r>
      <w:r w:rsidR="00977BD5">
        <w:t>o</w:t>
      </w:r>
      <w:r w:rsidR="00977BD5">
        <w:t>listavasti</w:t>
      </w:r>
      <w:r w:rsidR="00353CCC">
        <w:t>?</w:t>
      </w:r>
    </w:p>
    <w:p w:rsidR="00D32E94" w:rsidRDefault="00D32E94" w:rsidP="00D32E94">
      <w:pPr>
        <w:pStyle w:val="Leipteksti"/>
      </w:pPr>
    </w:p>
    <w:p w:rsidR="00D32E94" w:rsidRPr="00966B06" w:rsidRDefault="00D32E94" w:rsidP="00D32E94">
      <w:pPr>
        <w:pStyle w:val="Leipteksti"/>
      </w:pPr>
    </w:p>
    <w:p w:rsidR="00E56509" w:rsidRPr="00966B06" w:rsidRDefault="00E56509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9F18EF" w:rsidRPr="00966B06" w:rsidRDefault="00AE18C7" w:rsidP="00FC3B1A">
      <w:pPr>
        <w:pStyle w:val="Leipteksti"/>
      </w:pPr>
      <w:r>
        <w:t>Harri Pursiainen</w:t>
      </w:r>
    </w:p>
    <w:p w:rsidR="009F18EF" w:rsidRPr="00966B06" w:rsidRDefault="00AE18C7" w:rsidP="00FC3B1A">
      <w:pPr>
        <w:pStyle w:val="Leipteksti"/>
      </w:pPr>
      <w:r>
        <w:t>Kansliapäällikkö</w:t>
      </w: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</w:p>
    <w:p w:rsidR="009F18EF" w:rsidRPr="00966B06" w:rsidRDefault="00AE18C7" w:rsidP="00FC3B1A">
      <w:pPr>
        <w:pStyle w:val="Leipteksti"/>
      </w:pPr>
      <w:r>
        <w:t>Juhapekka Ristola</w:t>
      </w:r>
    </w:p>
    <w:p w:rsidR="009F18EF" w:rsidRPr="00966B06" w:rsidRDefault="00AE18C7" w:rsidP="00FC3B1A">
      <w:pPr>
        <w:pStyle w:val="Leipteksti"/>
      </w:pPr>
      <w:r>
        <w:t>Osastopäällikkö, ylijohtaja</w:t>
      </w: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480485"/>
    <w:sectPr w:rsidR="009F18EF" w:rsidRPr="00966B06" w:rsidSect="00480485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68" w:rsidRDefault="00F42368">
      <w:r>
        <w:separator/>
      </w:r>
    </w:p>
  </w:endnote>
  <w:endnote w:type="continuationSeparator" w:id="0">
    <w:p w:rsidR="00F42368" w:rsidRDefault="00F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68" w:rsidRDefault="00F42368" w:rsidP="00480485"/>
  <w:p w:rsidR="00F42368" w:rsidRDefault="00B948B2" w:rsidP="00480485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F42368">
      <w:t>Id</w:t>
    </w:r>
    <w:r>
      <w:fldChar w:fldCharType="end"/>
    </w:r>
    <w:r w:rsidR="00F42368"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F42368">
      <w:t>Versionumero</w:t>
    </w:r>
    <w:r>
      <w:fldChar w:fldCharType="end"/>
    </w:r>
  </w:p>
  <w:p w:rsidR="00F42368" w:rsidRPr="00653640" w:rsidRDefault="00F42368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F42368" w:rsidTr="00D32E94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F42368" w:rsidRDefault="00F42368" w:rsidP="00D32E94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F42368" w:rsidRDefault="00F42368" w:rsidP="00D32E94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F42368" w:rsidRDefault="00F42368" w:rsidP="00D32E94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F42368" w:rsidRDefault="00F42368" w:rsidP="00D32E94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F42368" w:rsidRDefault="00F42368" w:rsidP="00D32E94">
          <w:pPr>
            <w:pStyle w:val="Alatunniste"/>
          </w:pPr>
        </w:p>
      </w:tc>
    </w:tr>
    <w:tr w:rsidR="00F42368" w:rsidTr="00D32E94">
      <w:trPr>
        <w:cantSplit/>
        <w:trHeight w:hRule="exact" w:val="227"/>
      </w:trPr>
      <w:tc>
        <w:tcPr>
          <w:tcW w:w="2628" w:type="dxa"/>
          <w:noWrap/>
        </w:tcPr>
        <w:p w:rsidR="00F42368" w:rsidRDefault="00F42368" w:rsidP="00D32E94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F42368" w:rsidRDefault="00F42368" w:rsidP="00D32E94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F42368" w:rsidRDefault="00F42368" w:rsidP="00D32E94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F42368" w:rsidRDefault="00F42368" w:rsidP="00D32E94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F42368" w:rsidRDefault="00F42368" w:rsidP="00D32E94">
          <w:pPr>
            <w:pStyle w:val="Alatunniste"/>
          </w:pPr>
          <w:r>
            <w:t>www.lvm.fi</w:t>
          </w:r>
        </w:p>
      </w:tc>
    </w:tr>
    <w:tr w:rsidR="00F42368" w:rsidTr="00D32E94">
      <w:trPr>
        <w:cantSplit/>
        <w:trHeight w:hRule="exact" w:val="227"/>
      </w:trPr>
      <w:tc>
        <w:tcPr>
          <w:tcW w:w="2628" w:type="dxa"/>
        </w:tcPr>
        <w:p w:rsidR="00F42368" w:rsidRDefault="00F42368" w:rsidP="00D32E94">
          <w:pPr>
            <w:pStyle w:val="Alatunniste"/>
          </w:pPr>
        </w:p>
      </w:tc>
      <w:tc>
        <w:tcPr>
          <w:tcW w:w="1796" w:type="dxa"/>
        </w:tcPr>
        <w:p w:rsidR="00F42368" w:rsidRDefault="00F42368" w:rsidP="00D32E94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F42368" w:rsidRDefault="00F42368" w:rsidP="00D32E94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F42368" w:rsidRDefault="00F42368" w:rsidP="00D32E94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F42368" w:rsidRDefault="00F42368" w:rsidP="00D32E94">
          <w:pPr>
            <w:pStyle w:val="Alatunniste"/>
          </w:pPr>
          <w:r>
            <w:t>etunimi.sukunimi@lvm.fi</w:t>
          </w:r>
        </w:p>
      </w:tc>
    </w:tr>
    <w:tr w:rsidR="00F42368" w:rsidTr="00D32E94">
      <w:trPr>
        <w:cantSplit/>
        <w:trHeight w:hRule="exact" w:val="227"/>
      </w:trPr>
      <w:tc>
        <w:tcPr>
          <w:tcW w:w="2628" w:type="dxa"/>
        </w:tcPr>
        <w:p w:rsidR="00F42368" w:rsidRDefault="00F42368" w:rsidP="00D32E94">
          <w:pPr>
            <w:pStyle w:val="Alatunniste"/>
          </w:pPr>
        </w:p>
      </w:tc>
      <w:tc>
        <w:tcPr>
          <w:tcW w:w="1796" w:type="dxa"/>
        </w:tcPr>
        <w:p w:rsidR="00F42368" w:rsidRDefault="00F42368" w:rsidP="00D32E94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F42368" w:rsidRDefault="00F42368" w:rsidP="00D32E94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F42368" w:rsidRDefault="00F42368" w:rsidP="00D32E94">
          <w:pPr>
            <w:pStyle w:val="Alatunniste"/>
          </w:pPr>
        </w:p>
      </w:tc>
      <w:tc>
        <w:tcPr>
          <w:tcW w:w="2551" w:type="dxa"/>
        </w:tcPr>
        <w:p w:rsidR="00F42368" w:rsidRDefault="00F42368" w:rsidP="00D32E94">
          <w:pPr>
            <w:pStyle w:val="Alatunniste"/>
          </w:pPr>
          <w:r>
            <w:t>kirjaamo@lvm.fi</w:t>
          </w:r>
        </w:p>
      </w:tc>
    </w:tr>
    <w:tr w:rsidR="00F42368" w:rsidTr="00D32E94">
      <w:trPr>
        <w:cantSplit/>
        <w:trHeight w:hRule="exact" w:val="227"/>
      </w:trPr>
      <w:tc>
        <w:tcPr>
          <w:tcW w:w="2628" w:type="dxa"/>
        </w:tcPr>
        <w:p w:rsidR="00F42368" w:rsidRDefault="00F42368" w:rsidP="00D32E94">
          <w:pPr>
            <w:pStyle w:val="Alatunniste"/>
          </w:pPr>
        </w:p>
      </w:tc>
      <w:tc>
        <w:tcPr>
          <w:tcW w:w="1796" w:type="dxa"/>
        </w:tcPr>
        <w:p w:rsidR="00F42368" w:rsidRDefault="00F42368" w:rsidP="00D32E94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F42368" w:rsidRDefault="00F42368" w:rsidP="00D32E94">
          <w:pPr>
            <w:pStyle w:val="Alatunniste"/>
          </w:pPr>
        </w:p>
      </w:tc>
      <w:tc>
        <w:tcPr>
          <w:tcW w:w="1316" w:type="dxa"/>
        </w:tcPr>
        <w:p w:rsidR="00F42368" w:rsidRDefault="00F42368" w:rsidP="00D32E94">
          <w:pPr>
            <w:pStyle w:val="Alatunniste"/>
          </w:pPr>
        </w:p>
      </w:tc>
      <w:tc>
        <w:tcPr>
          <w:tcW w:w="2551" w:type="dxa"/>
        </w:tcPr>
        <w:p w:rsidR="00F42368" w:rsidRDefault="00F42368" w:rsidP="00D32E94">
          <w:pPr>
            <w:pStyle w:val="Alatunniste"/>
          </w:pPr>
        </w:p>
      </w:tc>
    </w:tr>
  </w:tbl>
  <w:p w:rsidR="00F42368" w:rsidRPr="00480485" w:rsidRDefault="00F42368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68" w:rsidRDefault="00F42368" w:rsidP="00037954"/>
  <w:p w:rsidR="00F42368" w:rsidRDefault="00B948B2" w:rsidP="00150D84">
    <w:pPr>
      <w:pStyle w:val="LVMAsiakirjanidver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F42368">
      <w:t>Id</w:t>
    </w:r>
    <w:r>
      <w:fldChar w:fldCharType="end"/>
    </w:r>
    <w:r w:rsidR="00F42368"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F42368">
      <w:t>Versionumero</w:t>
    </w:r>
    <w:r>
      <w:fldChar w:fldCharType="end"/>
    </w:r>
  </w:p>
  <w:p w:rsidR="00F42368" w:rsidRPr="00653640" w:rsidRDefault="00F42368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F42368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F42368" w:rsidRDefault="00F42368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F42368" w:rsidRDefault="00F42368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F42368" w:rsidRDefault="00F42368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F42368" w:rsidRDefault="00F42368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F42368" w:rsidRDefault="00F42368" w:rsidP="00653640">
          <w:pPr>
            <w:pStyle w:val="Alatunniste"/>
          </w:pPr>
        </w:p>
      </w:tc>
    </w:tr>
    <w:tr w:rsidR="00F42368" w:rsidTr="00653640">
      <w:trPr>
        <w:cantSplit/>
        <w:trHeight w:hRule="exact" w:val="227"/>
      </w:trPr>
      <w:tc>
        <w:tcPr>
          <w:tcW w:w="2628" w:type="dxa"/>
          <w:noWrap/>
        </w:tcPr>
        <w:p w:rsidR="00F42368" w:rsidRDefault="00F42368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F42368" w:rsidRDefault="00F42368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F42368" w:rsidRDefault="00F42368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F42368" w:rsidRDefault="00F42368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F42368" w:rsidRDefault="00F42368" w:rsidP="00653640">
          <w:pPr>
            <w:pStyle w:val="Alatunniste"/>
          </w:pPr>
          <w:r>
            <w:t>www.lvm.fi</w:t>
          </w:r>
        </w:p>
      </w:tc>
    </w:tr>
    <w:tr w:rsidR="00F42368" w:rsidTr="00653640">
      <w:trPr>
        <w:cantSplit/>
        <w:trHeight w:hRule="exact" w:val="227"/>
      </w:trPr>
      <w:tc>
        <w:tcPr>
          <w:tcW w:w="2628" w:type="dxa"/>
        </w:tcPr>
        <w:p w:rsidR="00F42368" w:rsidRDefault="00F42368" w:rsidP="00653640">
          <w:pPr>
            <w:pStyle w:val="Alatunniste"/>
          </w:pPr>
        </w:p>
      </w:tc>
      <w:tc>
        <w:tcPr>
          <w:tcW w:w="1796" w:type="dxa"/>
        </w:tcPr>
        <w:p w:rsidR="00F42368" w:rsidRDefault="00F42368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F42368" w:rsidRDefault="00F42368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F42368" w:rsidRDefault="00F42368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F42368" w:rsidRDefault="00F42368" w:rsidP="00653640">
          <w:pPr>
            <w:pStyle w:val="Alatunniste"/>
          </w:pPr>
          <w:r>
            <w:t>etunimi.sukunimi@lvm.fi</w:t>
          </w:r>
        </w:p>
      </w:tc>
    </w:tr>
    <w:tr w:rsidR="00F42368" w:rsidTr="00653640">
      <w:trPr>
        <w:cantSplit/>
        <w:trHeight w:hRule="exact" w:val="227"/>
      </w:trPr>
      <w:tc>
        <w:tcPr>
          <w:tcW w:w="2628" w:type="dxa"/>
        </w:tcPr>
        <w:p w:rsidR="00F42368" w:rsidRDefault="00F42368" w:rsidP="00653640">
          <w:pPr>
            <w:pStyle w:val="Alatunniste"/>
          </w:pPr>
        </w:p>
      </w:tc>
      <w:tc>
        <w:tcPr>
          <w:tcW w:w="1796" w:type="dxa"/>
        </w:tcPr>
        <w:p w:rsidR="00F42368" w:rsidRDefault="00F42368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F42368" w:rsidRDefault="00F42368" w:rsidP="00D32E94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F42368" w:rsidRDefault="00F42368" w:rsidP="00D32E94">
          <w:pPr>
            <w:pStyle w:val="Alatunniste"/>
          </w:pPr>
        </w:p>
      </w:tc>
      <w:tc>
        <w:tcPr>
          <w:tcW w:w="2551" w:type="dxa"/>
        </w:tcPr>
        <w:p w:rsidR="00F42368" w:rsidRDefault="00F42368" w:rsidP="00D32E94">
          <w:pPr>
            <w:pStyle w:val="Alatunniste"/>
          </w:pPr>
          <w:r>
            <w:t>kirjaamo@lvm.fi</w:t>
          </w:r>
        </w:p>
      </w:tc>
    </w:tr>
    <w:tr w:rsidR="00F42368" w:rsidTr="00653640">
      <w:trPr>
        <w:cantSplit/>
        <w:trHeight w:hRule="exact" w:val="227"/>
      </w:trPr>
      <w:tc>
        <w:tcPr>
          <w:tcW w:w="2628" w:type="dxa"/>
        </w:tcPr>
        <w:p w:rsidR="00F42368" w:rsidRDefault="00F42368" w:rsidP="00653640">
          <w:pPr>
            <w:pStyle w:val="Alatunniste"/>
          </w:pPr>
        </w:p>
      </w:tc>
      <w:tc>
        <w:tcPr>
          <w:tcW w:w="1796" w:type="dxa"/>
        </w:tcPr>
        <w:p w:rsidR="00F42368" w:rsidRDefault="00F42368" w:rsidP="00D32E94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F42368" w:rsidRDefault="00F42368" w:rsidP="00D32E94">
          <w:pPr>
            <w:pStyle w:val="Alatunniste"/>
          </w:pPr>
        </w:p>
      </w:tc>
      <w:tc>
        <w:tcPr>
          <w:tcW w:w="1316" w:type="dxa"/>
        </w:tcPr>
        <w:p w:rsidR="00F42368" w:rsidRDefault="00F42368" w:rsidP="00D32E94">
          <w:pPr>
            <w:pStyle w:val="Alatunniste"/>
          </w:pPr>
        </w:p>
      </w:tc>
      <w:tc>
        <w:tcPr>
          <w:tcW w:w="2551" w:type="dxa"/>
        </w:tcPr>
        <w:p w:rsidR="00F42368" w:rsidRDefault="00F42368" w:rsidP="00D32E94">
          <w:pPr>
            <w:pStyle w:val="Alatunniste"/>
          </w:pPr>
        </w:p>
      </w:tc>
    </w:tr>
  </w:tbl>
  <w:p w:rsidR="00F42368" w:rsidRDefault="00F42368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68" w:rsidRDefault="00F42368">
      <w:r>
        <w:separator/>
      </w:r>
    </w:p>
  </w:footnote>
  <w:footnote w:type="continuationSeparator" w:id="0">
    <w:p w:rsidR="00F42368" w:rsidRDefault="00F42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68" w:rsidRDefault="00F42368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68" w:rsidRPr="00EB5F36" w:rsidRDefault="00F42368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293FF3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293FF3">
      <w:rPr>
        <w:rStyle w:val="Sivunumero"/>
        <w:noProof/>
      </w:rPr>
      <w:t>4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F42368" w:rsidRDefault="00F42368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77E24AAE" wp14:editId="3F57E90D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68" w:rsidRPr="00EB5F36" w:rsidRDefault="00F42368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293FF3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293FF3">
      <w:rPr>
        <w:rStyle w:val="Sivunumero"/>
        <w:noProof/>
      </w:rPr>
      <w:t>4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F42368" w:rsidRDefault="00F42368" w:rsidP="00EB5F36">
    <w:pPr>
      <w:pStyle w:val="Yltunniste"/>
    </w:pPr>
  </w:p>
  <w:p w:rsidR="00F42368" w:rsidRPr="00EB5F36" w:rsidRDefault="00F42368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83F94"/>
    <w:rsid w:val="00084321"/>
    <w:rsid w:val="000959E2"/>
    <w:rsid w:val="000B20ED"/>
    <w:rsid w:val="000C127D"/>
    <w:rsid w:val="000D096F"/>
    <w:rsid w:val="000E505E"/>
    <w:rsid w:val="000E60B6"/>
    <w:rsid w:val="000F0062"/>
    <w:rsid w:val="000F2157"/>
    <w:rsid w:val="000F6DC1"/>
    <w:rsid w:val="00125190"/>
    <w:rsid w:val="001300D3"/>
    <w:rsid w:val="00140EF8"/>
    <w:rsid w:val="00146B2A"/>
    <w:rsid w:val="00150D84"/>
    <w:rsid w:val="001710DD"/>
    <w:rsid w:val="00184354"/>
    <w:rsid w:val="00186449"/>
    <w:rsid w:val="001A132E"/>
    <w:rsid w:val="001A33A8"/>
    <w:rsid w:val="001D0C86"/>
    <w:rsid w:val="001F27FC"/>
    <w:rsid w:val="00210627"/>
    <w:rsid w:val="00251754"/>
    <w:rsid w:val="00256C44"/>
    <w:rsid w:val="00280CFF"/>
    <w:rsid w:val="00293FF3"/>
    <w:rsid w:val="002C1927"/>
    <w:rsid w:val="002D334D"/>
    <w:rsid w:val="002D7A71"/>
    <w:rsid w:val="002E635F"/>
    <w:rsid w:val="002F34C4"/>
    <w:rsid w:val="002F5C73"/>
    <w:rsid w:val="0031301C"/>
    <w:rsid w:val="003221EF"/>
    <w:rsid w:val="00323503"/>
    <w:rsid w:val="003241A6"/>
    <w:rsid w:val="003323E0"/>
    <w:rsid w:val="0035180F"/>
    <w:rsid w:val="00353CCC"/>
    <w:rsid w:val="003564B3"/>
    <w:rsid w:val="00374779"/>
    <w:rsid w:val="00385A23"/>
    <w:rsid w:val="00397A9C"/>
    <w:rsid w:val="003B0583"/>
    <w:rsid w:val="003B7A8E"/>
    <w:rsid w:val="003C2F72"/>
    <w:rsid w:val="003C7039"/>
    <w:rsid w:val="003D18C3"/>
    <w:rsid w:val="003E6477"/>
    <w:rsid w:val="003F3EC5"/>
    <w:rsid w:val="0041565A"/>
    <w:rsid w:val="00423292"/>
    <w:rsid w:val="00432AC3"/>
    <w:rsid w:val="004676DB"/>
    <w:rsid w:val="004740E7"/>
    <w:rsid w:val="00480485"/>
    <w:rsid w:val="00494FD4"/>
    <w:rsid w:val="004B2020"/>
    <w:rsid w:val="004B6034"/>
    <w:rsid w:val="004C72E8"/>
    <w:rsid w:val="004D0F99"/>
    <w:rsid w:val="004D63CE"/>
    <w:rsid w:val="004E5453"/>
    <w:rsid w:val="004E756B"/>
    <w:rsid w:val="00512645"/>
    <w:rsid w:val="005308DE"/>
    <w:rsid w:val="00541595"/>
    <w:rsid w:val="00551A4E"/>
    <w:rsid w:val="0056304D"/>
    <w:rsid w:val="0059215F"/>
    <w:rsid w:val="0059738C"/>
    <w:rsid w:val="005A559B"/>
    <w:rsid w:val="005B4E1B"/>
    <w:rsid w:val="005C3759"/>
    <w:rsid w:val="005C4A69"/>
    <w:rsid w:val="005C7446"/>
    <w:rsid w:val="0063146D"/>
    <w:rsid w:val="006413C5"/>
    <w:rsid w:val="00653640"/>
    <w:rsid w:val="006565EA"/>
    <w:rsid w:val="00657F29"/>
    <w:rsid w:val="0066014C"/>
    <w:rsid w:val="006765B8"/>
    <w:rsid w:val="00677470"/>
    <w:rsid w:val="00680AD9"/>
    <w:rsid w:val="00684BB4"/>
    <w:rsid w:val="006B049E"/>
    <w:rsid w:val="006C7FE9"/>
    <w:rsid w:val="006E4F2E"/>
    <w:rsid w:val="006F1C67"/>
    <w:rsid w:val="006F4ECD"/>
    <w:rsid w:val="00701471"/>
    <w:rsid w:val="007177C2"/>
    <w:rsid w:val="007216DA"/>
    <w:rsid w:val="00732D08"/>
    <w:rsid w:val="0074332B"/>
    <w:rsid w:val="00744876"/>
    <w:rsid w:val="00761C60"/>
    <w:rsid w:val="0077386C"/>
    <w:rsid w:val="00786285"/>
    <w:rsid w:val="007863D8"/>
    <w:rsid w:val="007A3330"/>
    <w:rsid w:val="007A4F32"/>
    <w:rsid w:val="007A598C"/>
    <w:rsid w:val="007B3232"/>
    <w:rsid w:val="007D053C"/>
    <w:rsid w:val="007D631B"/>
    <w:rsid w:val="00817C85"/>
    <w:rsid w:val="00826BF0"/>
    <w:rsid w:val="008423BA"/>
    <w:rsid w:val="0087522E"/>
    <w:rsid w:val="00891E12"/>
    <w:rsid w:val="008932C4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77BD5"/>
    <w:rsid w:val="009840D5"/>
    <w:rsid w:val="009A2A64"/>
    <w:rsid w:val="009B3467"/>
    <w:rsid w:val="009D1FDC"/>
    <w:rsid w:val="009F18EF"/>
    <w:rsid w:val="009F50C4"/>
    <w:rsid w:val="009F7F40"/>
    <w:rsid w:val="00A3353E"/>
    <w:rsid w:val="00A377EB"/>
    <w:rsid w:val="00A514B8"/>
    <w:rsid w:val="00A7748B"/>
    <w:rsid w:val="00A95CA0"/>
    <w:rsid w:val="00A96DD0"/>
    <w:rsid w:val="00AA6A9E"/>
    <w:rsid w:val="00AD0375"/>
    <w:rsid w:val="00AD59BE"/>
    <w:rsid w:val="00AE18C7"/>
    <w:rsid w:val="00AE1BB8"/>
    <w:rsid w:val="00AF01F5"/>
    <w:rsid w:val="00AF6BBD"/>
    <w:rsid w:val="00B241B6"/>
    <w:rsid w:val="00B45F0E"/>
    <w:rsid w:val="00B53AA1"/>
    <w:rsid w:val="00B64905"/>
    <w:rsid w:val="00B72A80"/>
    <w:rsid w:val="00B80601"/>
    <w:rsid w:val="00B8363F"/>
    <w:rsid w:val="00B948B2"/>
    <w:rsid w:val="00BA18F6"/>
    <w:rsid w:val="00BD0CCC"/>
    <w:rsid w:val="00BE5706"/>
    <w:rsid w:val="00C0067E"/>
    <w:rsid w:val="00C00CBE"/>
    <w:rsid w:val="00C0562A"/>
    <w:rsid w:val="00C12430"/>
    <w:rsid w:val="00C17399"/>
    <w:rsid w:val="00C31976"/>
    <w:rsid w:val="00C31C77"/>
    <w:rsid w:val="00C47B5A"/>
    <w:rsid w:val="00C5102E"/>
    <w:rsid w:val="00C560E6"/>
    <w:rsid w:val="00C8246F"/>
    <w:rsid w:val="00C87EF0"/>
    <w:rsid w:val="00C92929"/>
    <w:rsid w:val="00CC0BA5"/>
    <w:rsid w:val="00CC46FE"/>
    <w:rsid w:val="00CD23F4"/>
    <w:rsid w:val="00CD249F"/>
    <w:rsid w:val="00CF779F"/>
    <w:rsid w:val="00D03302"/>
    <w:rsid w:val="00D0671F"/>
    <w:rsid w:val="00D17C93"/>
    <w:rsid w:val="00D20185"/>
    <w:rsid w:val="00D22A93"/>
    <w:rsid w:val="00D32E94"/>
    <w:rsid w:val="00D32FC1"/>
    <w:rsid w:val="00D429A7"/>
    <w:rsid w:val="00D51DF8"/>
    <w:rsid w:val="00D63E3A"/>
    <w:rsid w:val="00D70D30"/>
    <w:rsid w:val="00D8152F"/>
    <w:rsid w:val="00DA12E1"/>
    <w:rsid w:val="00DA3D6E"/>
    <w:rsid w:val="00DB3905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A2473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20F3F"/>
    <w:rsid w:val="00F377E5"/>
    <w:rsid w:val="00F37F3F"/>
    <w:rsid w:val="00F42114"/>
    <w:rsid w:val="00F42368"/>
    <w:rsid w:val="00F46EBC"/>
    <w:rsid w:val="00F52E07"/>
    <w:rsid w:val="00F83734"/>
    <w:rsid w:val="00F96954"/>
    <w:rsid w:val="00FB1AC7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10477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Tuomola Tiina</cp:lastModifiedBy>
  <cp:revision>4</cp:revision>
  <cp:lastPrinted>2016-01-03T11:59:00Z</cp:lastPrinted>
  <dcterms:created xsi:type="dcterms:W3CDTF">2017-08-10T10:05:00Z</dcterms:created>
  <dcterms:modified xsi:type="dcterms:W3CDTF">2017-08-10T10:07:00Z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