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614" w:rsidRPr="007B7614" w:rsidRDefault="006D7025" w:rsidP="007B7614">
      <w:pPr>
        <w:tabs>
          <w:tab w:val="left" w:pos="5670"/>
        </w:tabs>
        <w:suppressAutoHyphens/>
        <w:autoSpaceDE w:val="0"/>
        <w:autoSpaceDN w:val="0"/>
        <w:adjustRightInd w:val="0"/>
        <w:ind w:left="3912" w:hanging="39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B7614" w:rsidRPr="007B7614">
        <w:rPr>
          <w:rFonts w:ascii="Times New Roman" w:hAnsi="Times New Roman"/>
          <w:sz w:val="24"/>
          <w:szCs w:val="24"/>
        </w:rPr>
        <w:tab/>
      </w:r>
      <w:r w:rsidR="007B7614" w:rsidRPr="007B7614">
        <w:rPr>
          <w:rFonts w:ascii="Times New Roman" w:hAnsi="Times New Roman"/>
          <w:sz w:val="24"/>
          <w:szCs w:val="24"/>
        </w:rPr>
        <w:tab/>
      </w:r>
      <w:r w:rsidR="007B7614" w:rsidRPr="007B7614">
        <w:rPr>
          <w:rFonts w:ascii="Times New Roman" w:hAnsi="Times New Roman"/>
          <w:sz w:val="24"/>
          <w:szCs w:val="24"/>
        </w:rPr>
        <w:tab/>
      </w:r>
      <w:r w:rsidR="00680EFE">
        <w:rPr>
          <w:rFonts w:ascii="Times New Roman" w:hAnsi="Times New Roman"/>
          <w:sz w:val="24"/>
          <w:szCs w:val="24"/>
        </w:rPr>
        <w:t>Ohjeen l</w:t>
      </w:r>
      <w:r w:rsidR="007B7614" w:rsidRPr="007B7614">
        <w:rPr>
          <w:rFonts w:ascii="Times New Roman" w:hAnsi="Times New Roman"/>
          <w:sz w:val="24"/>
          <w:szCs w:val="24"/>
        </w:rPr>
        <w:t>iite</w:t>
      </w:r>
      <w:r w:rsidR="003134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</w:p>
    <w:p w:rsidR="007B7614" w:rsidRPr="007B7614" w:rsidRDefault="007B7614" w:rsidP="007B7614">
      <w:pPr>
        <w:tabs>
          <w:tab w:val="left" w:pos="5670"/>
        </w:tabs>
        <w:suppressAutoHyphens/>
        <w:autoSpaceDE w:val="0"/>
        <w:autoSpaceDN w:val="0"/>
        <w:adjustRightInd w:val="0"/>
        <w:ind w:left="3912" w:hanging="3912"/>
        <w:rPr>
          <w:rFonts w:ascii="Times New Roman" w:hAnsi="Times New Roman"/>
          <w:sz w:val="24"/>
          <w:szCs w:val="24"/>
        </w:rPr>
      </w:pPr>
    </w:p>
    <w:p w:rsidR="007B7614" w:rsidRPr="007B7614" w:rsidRDefault="007B7614" w:rsidP="007B7614">
      <w:pPr>
        <w:tabs>
          <w:tab w:val="left" w:pos="5670"/>
        </w:tabs>
        <w:suppressAutoHyphens/>
        <w:autoSpaceDE w:val="0"/>
        <w:autoSpaceDN w:val="0"/>
        <w:adjustRightInd w:val="0"/>
        <w:ind w:left="3912" w:hanging="3912"/>
        <w:rPr>
          <w:rFonts w:ascii="Times New Roman" w:hAnsi="Times New Roman"/>
          <w:sz w:val="24"/>
          <w:szCs w:val="24"/>
        </w:rPr>
      </w:pPr>
    </w:p>
    <w:p w:rsidR="007B7614" w:rsidRPr="007B7614" w:rsidRDefault="007B7614" w:rsidP="007B7614">
      <w:pPr>
        <w:tabs>
          <w:tab w:val="left" w:pos="5670"/>
        </w:tabs>
        <w:suppressAutoHyphens/>
        <w:autoSpaceDE w:val="0"/>
        <w:autoSpaceDN w:val="0"/>
        <w:adjustRightInd w:val="0"/>
        <w:ind w:left="3912" w:hanging="3912"/>
        <w:rPr>
          <w:rFonts w:ascii="Times New Roman" w:hAnsi="Times New Roman"/>
          <w:sz w:val="24"/>
          <w:szCs w:val="24"/>
        </w:rPr>
      </w:pPr>
    </w:p>
    <w:p w:rsidR="007B7614" w:rsidRPr="007B7614" w:rsidRDefault="007B7614" w:rsidP="007B7614">
      <w:pPr>
        <w:tabs>
          <w:tab w:val="left" w:pos="5670"/>
        </w:tabs>
        <w:suppressAutoHyphens/>
        <w:autoSpaceDE w:val="0"/>
        <w:autoSpaceDN w:val="0"/>
        <w:adjustRightInd w:val="0"/>
        <w:ind w:left="3912" w:hanging="3912"/>
        <w:rPr>
          <w:rFonts w:ascii="Times New Roman" w:hAnsi="Times New Roman"/>
          <w:sz w:val="24"/>
          <w:szCs w:val="24"/>
        </w:rPr>
      </w:pPr>
      <w:r w:rsidRPr="007B7614">
        <w:rPr>
          <w:rFonts w:ascii="Times New Roman" w:hAnsi="Times New Roman"/>
          <w:sz w:val="24"/>
          <w:szCs w:val="24"/>
        </w:rPr>
        <w:t>Talouspoliittisen ministerivaliokunnan linjaukset 10.4.2012</w:t>
      </w:r>
    </w:p>
    <w:p w:rsidR="007B7614" w:rsidRPr="007B7614" w:rsidRDefault="007B7614" w:rsidP="007B761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7B7614" w:rsidRPr="007B7614" w:rsidRDefault="007B7614" w:rsidP="007B7614">
      <w:pPr>
        <w:suppressAutoHyphens/>
        <w:autoSpaceDE w:val="0"/>
        <w:autoSpaceDN w:val="0"/>
        <w:adjustRightInd w:val="0"/>
        <w:spacing w:line="260" w:lineRule="exact"/>
        <w:rPr>
          <w:rFonts w:ascii="Times New Roman" w:hAnsi="Times New Roman"/>
          <w:sz w:val="24"/>
          <w:szCs w:val="24"/>
        </w:rPr>
      </w:pPr>
    </w:p>
    <w:p w:rsidR="007B7614" w:rsidRPr="007B7614" w:rsidRDefault="007B7614" w:rsidP="007B7614">
      <w:pPr>
        <w:suppressAutoHyphens/>
        <w:autoSpaceDE w:val="0"/>
        <w:autoSpaceDN w:val="0"/>
        <w:adjustRightInd w:val="0"/>
        <w:spacing w:line="260" w:lineRule="exact"/>
        <w:rPr>
          <w:rFonts w:ascii="Times New Roman" w:hAnsi="Times New Roman"/>
          <w:sz w:val="24"/>
          <w:szCs w:val="24"/>
        </w:rPr>
      </w:pPr>
    </w:p>
    <w:p w:rsidR="007B7614" w:rsidRPr="007B7614" w:rsidRDefault="007B7614" w:rsidP="003134F5">
      <w:pPr>
        <w:suppressAutoHyphens/>
        <w:autoSpaceDE w:val="0"/>
        <w:autoSpaceDN w:val="0"/>
        <w:adjustRightInd w:val="0"/>
        <w:spacing w:line="260" w:lineRule="exact"/>
        <w:ind w:left="1304"/>
        <w:jc w:val="both"/>
        <w:rPr>
          <w:rFonts w:ascii="Times New Roman" w:hAnsi="Times New Roman"/>
          <w:sz w:val="24"/>
          <w:szCs w:val="24"/>
        </w:rPr>
      </w:pPr>
      <w:r w:rsidRPr="007B7614">
        <w:rPr>
          <w:rFonts w:ascii="Times New Roman" w:hAnsi="Times New Roman"/>
          <w:sz w:val="24"/>
          <w:szCs w:val="24"/>
        </w:rPr>
        <w:t>Talouspoliittisen ministerivaliokunnan kannanoton mukaan hallinnonalojen tulee val</w:t>
      </w:r>
      <w:r w:rsidR="000A417E">
        <w:rPr>
          <w:rFonts w:ascii="Times New Roman" w:hAnsi="Times New Roman"/>
          <w:sz w:val="24"/>
          <w:szCs w:val="24"/>
        </w:rPr>
        <w:t>-</w:t>
      </w:r>
      <w:r w:rsidRPr="007B7614">
        <w:rPr>
          <w:rFonts w:ascii="Times New Roman" w:hAnsi="Times New Roman"/>
          <w:sz w:val="24"/>
          <w:szCs w:val="24"/>
        </w:rPr>
        <w:t>mistella vaikuttavuus- ja tuloksellisuusohjelmansa vuoden 2012 loppuun mennessä. Kukin hallinnonala nimeää 2–3 omaa tai poikkihallinnollista kärkihanketta, joita voi</w:t>
      </w:r>
      <w:r w:rsidR="002C1CE8">
        <w:rPr>
          <w:rFonts w:ascii="Times New Roman" w:hAnsi="Times New Roman"/>
          <w:sz w:val="24"/>
          <w:szCs w:val="24"/>
        </w:rPr>
        <w:t>-</w:t>
      </w:r>
      <w:r w:rsidRPr="007B7614">
        <w:rPr>
          <w:rFonts w:ascii="Times New Roman" w:hAnsi="Times New Roman"/>
          <w:sz w:val="24"/>
          <w:szCs w:val="24"/>
        </w:rPr>
        <w:t>daan pitää tuloksellisuuden ja vaikuttavuuden sekä toiminnan tavoitteiden kannalta erityisen merkittävinä. Ohjelmia koskeva</w:t>
      </w:r>
      <w:r w:rsidRPr="007B761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B7614">
        <w:rPr>
          <w:rFonts w:ascii="Times New Roman" w:hAnsi="Times New Roman"/>
          <w:sz w:val="24"/>
          <w:szCs w:val="24"/>
        </w:rPr>
        <w:t>ohjeistus toimitetaan hallinnonaloille kevät</w:t>
      </w:r>
      <w:r w:rsidR="002C1CE8">
        <w:rPr>
          <w:rFonts w:ascii="Times New Roman" w:hAnsi="Times New Roman"/>
          <w:sz w:val="24"/>
          <w:szCs w:val="24"/>
        </w:rPr>
        <w:t>-</w:t>
      </w:r>
      <w:r w:rsidRPr="007B7614">
        <w:rPr>
          <w:rFonts w:ascii="Times New Roman" w:hAnsi="Times New Roman"/>
          <w:sz w:val="24"/>
          <w:szCs w:val="24"/>
        </w:rPr>
        <w:t>kaudella 2012.</w:t>
      </w:r>
    </w:p>
    <w:p w:rsidR="007B7614" w:rsidRPr="007B7614" w:rsidRDefault="007B7614" w:rsidP="003134F5">
      <w:pPr>
        <w:suppressAutoHyphens/>
        <w:autoSpaceDE w:val="0"/>
        <w:autoSpaceDN w:val="0"/>
        <w:adjustRightInd w:val="0"/>
        <w:spacing w:line="260" w:lineRule="exact"/>
        <w:ind w:left="1304"/>
        <w:jc w:val="both"/>
        <w:rPr>
          <w:rFonts w:ascii="Times New Roman" w:hAnsi="Times New Roman"/>
          <w:sz w:val="24"/>
          <w:szCs w:val="24"/>
        </w:rPr>
      </w:pPr>
    </w:p>
    <w:p w:rsidR="007B7614" w:rsidRPr="007B7614" w:rsidRDefault="007B7614" w:rsidP="003134F5">
      <w:pPr>
        <w:suppressAutoHyphens/>
        <w:autoSpaceDE w:val="0"/>
        <w:autoSpaceDN w:val="0"/>
        <w:adjustRightInd w:val="0"/>
        <w:spacing w:line="260" w:lineRule="exact"/>
        <w:ind w:left="1304"/>
        <w:jc w:val="both"/>
        <w:rPr>
          <w:rFonts w:ascii="Times New Roman" w:hAnsi="Times New Roman"/>
          <w:sz w:val="24"/>
          <w:szCs w:val="24"/>
        </w:rPr>
      </w:pPr>
      <w:r w:rsidRPr="007B7614">
        <w:rPr>
          <w:rFonts w:ascii="Times New Roman" w:hAnsi="Times New Roman"/>
          <w:sz w:val="24"/>
          <w:szCs w:val="24"/>
        </w:rPr>
        <w:t>Vaikuttavuus- ja tuloksellisuusohjelmassa ei aseteta sitovia henkilötyövuosien enim</w:t>
      </w:r>
      <w:r w:rsidR="000A417E">
        <w:rPr>
          <w:rFonts w:ascii="Times New Roman" w:hAnsi="Times New Roman"/>
          <w:sz w:val="24"/>
          <w:szCs w:val="24"/>
        </w:rPr>
        <w:t>-</w:t>
      </w:r>
      <w:r w:rsidRPr="007B7614">
        <w:rPr>
          <w:rFonts w:ascii="Times New Roman" w:hAnsi="Times New Roman"/>
          <w:sz w:val="24"/>
          <w:szCs w:val="24"/>
        </w:rPr>
        <w:t>mäismääriä, mutta valtiovarainministeriö seuraa ohjelman aikana henkilötyövuosien määrää valtionhallinnossa ja raportoi kehityksestä vuosittain talouspoliittiselle minis</w:t>
      </w:r>
      <w:r w:rsidR="002C1CE8">
        <w:rPr>
          <w:rFonts w:ascii="Times New Roman" w:hAnsi="Times New Roman"/>
          <w:sz w:val="24"/>
          <w:szCs w:val="24"/>
        </w:rPr>
        <w:t>-</w:t>
      </w:r>
      <w:r w:rsidRPr="007B7614">
        <w:rPr>
          <w:rFonts w:ascii="Times New Roman" w:hAnsi="Times New Roman"/>
          <w:sz w:val="24"/>
          <w:szCs w:val="24"/>
        </w:rPr>
        <w:t>terivaliokunnalle. Ratkaisevaa jatkossa on kehysmenettelyssä määritellyn euromää</w:t>
      </w:r>
      <w:r w:rsidR="002C1CE8">
        <w:rPr>
          <w:rFonts w:ascii="Times New Roman" w:hAnsi="Times New Roman"/>
          <w:sz w:val="24"/>
          <w:szCs w:val="24"/>
        </w:rPr>
        <w:t>-</w:t>
      </w:r>
      <w:r w:rsidRPr="007B7614">
        <w:rPr>
          <w:rFonts w:ascii="Times New Roman" w:hAnsi="Times New Roman"/>
          <w:sz w:val="24"/>
          <w:szCs w:val="24"/>
        </w:rPr>
        <w:t>räisen tavoitteen toteutuminen. Kehyspäätöksen toiminta</w:t>
      </w:r>
      <w:r w:rsidR="002C1CE8">
        <w:rPr>
          <w:rFonts w:ascii="Times New Roman" w:hAnsi="Times New Roman"/>
          <w:sz w:val="24"/>
          <w:szCs w:val="24"/>
        </w:rPr>
        <w:t>-</w:t>
      </w:r>
      <w:r w:rsidRPr="007B7614">
        <w:rPr>
          <w:rFonts w:ascii="Times New Roman" w:hAnsi="Times New Roman"/>
          <w:sz w:val="24"/>
          <w:szCs w:val="24"/>
        </w:rPr>
        <w:t xml:space="preserve">menomäärärahalaskennan taustalla on oletus valtionhallinnon henkilöstömäärän vähenemisestä myös meneillään olevalla kehyskaudella. </w:t>
      </w:r>
    </w:p>
    <w:p w:rsidR="007B7614" w:rsidRPr="007B7614" w:rsidRDefault="007B7614" w:rsidP="003134F5">
      <w:pPr>
        <w:suppressAutoHyphens/>
        <w:autoSpaceDE w:val="0"/>
        <w:autoSpaceDN w:val="0"/>
        <w:adjustRightInd w:val="0"/>
        <w:spacing w:line="260" w:lineRule="exact"/>
        <w:ind w:left="1304"/>
        <w:jc w:val="both"/>
        <w:rPr>
          <w:rFonts w:ascii="Times New Roman" w:hAnsi="Times New Roman"/>
          <w:sz w:val="24"/>
          <w:szCs w:val="24"/>
        </w:rPr>
      </w:pPr>
    </w:p>
    <w:p w:rsidR="007B7614" w:rsidRPr="007B7614" w:rsidRDefault="007B7614" w:rsidP="003134F5">
      <w:pPr>
        <w:suppressAutoHyphens/>
        <w:autoSpaceDE w:val="0"/>
        <w:autoSpaceDN w:val="0"/>
        <w:adjustRightInd w:val="0"/>
        <w:spacing w:line="260" w:lineRule="exact"/>
        <w:ind w:left="1304"/>
        <w:jc w:val="both"/>
        <w:rPr>
          <w:rFonts w:ascii="Times New Roman" w:hAnsi="Times New Roman"/>
          <w:sz w:val="24"/>
          <w:szCs w:val="24"/>
        </w:rPr>
      </w:pPr>
      <w:r w:rsidRPr="007B7614">
        <w:rPr>
          <w:rFonts w:ascii="Times New Roman" w:hAnsi="Times New Roman"/>
          <w:sz w:val="24"/>
          <w:szCs w:val="24"/>
        </w:rPr>
        <w:t>Ministeriöiden tulee myös toimittaa muutoin kuin suoralla budjettirahoituksella rahoitetuissa toiminnoissa tiedot hallinnonalansa virastojen ja laitosten maksullisen toiminnan euro- ja henkilötyövuosimäärien kehityksestä, toiminnan kannattavuudesta sekä keskeisistä kehittämistoimista, joiden henkilötyövuosimäärän kehitys poikkeaa siitä, mikä on toimintamenomäärärahojen mitoituksessa asetettu aiemmin tavoitteeksi.</w:t>
      </w:r>
    </w:p>
    <w:p w:rsidR="007B7614" w:rsidRPr="007B7614" w:rsidRDefault="007B7614" w:rsidP="003134F5">
      <w:pPr>
        <w:suppressAutoHyphens/>
        <w:autoSpaceDE w:val="0"/>
        <w:autoSpaceDN w:val="0"/>
        <w:adjustRightInd w:val="0"/>
        <w:spacing w:line="260" w:lineRule="exact"/>
        <w:jc w:val="both"/>
        <w:rPr>
          <w:rFonts w:ascii="Times New Roman" w:hAnsi="Times New Roman"/>
          <w:sz w:val="24"/>
          <w:szCs w:val="24"/>
        </w:rPr>
      </w:pPr>
    </w:p>
    <w:p w:rsidR="007B7614" w:rsidRPr="007B7614" w:rsidRDefault="007B7614" w:rsidP="003134F5">
      <w:pPr>
        <w:suppressAutoHyphens/>
        <w:autoSpaceDE w:val="0"/>
        <w:autoSpaceDN w:val="0"/>
        <w:adjustRightInd w:val="0"/>
        <w:spacing w:line="260" w:lineRule="exact"/>
        <w:jc w:val="both"/>
        <w:rPr>
          <w:rFonts w:ascii="Times New Roman" w:hAnsi="Times New Roman"/>
          <w:sz w:val="24"/>
          <w:szCs w:val="24"/>
        </w:rPr>
      </w:pPr>
    </w:p>
    <w:sectPr w:rsidR="007B7614" w:rsidRPr="007B7614" w:rsidSect="00F406B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7B7614"/>
    <w:rsid w:val="000A417E"/>
    <w:rsid w:val="002C1CE8"/>
    <w:rsid w:val="003134F5"/>
    <w:rsid w:val="003927A3"/>
    <w:rsid w:val="004E1D9D"/>
    <w:rsid w:val="00536939"/>
    <w:rsid w:val="00591D0D"/>
    <w:rsid w:val="005D7750"/>
    <w:rsid w:val="00680EFE"/>
    <w:rsid w:val="006D7025"/>
    <w:rsid w:val="007B7614"/>
    <w:rsid w:val="00DF105F"/>
    <w:rsid w:val="00F13E98"/>
    <w:rsid w:val="00F406B6"/>
    <w:rsid w:val="00FA3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B7614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7B76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5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1302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vmahlqvi</dc:creator>
  <cp:keywords/>
  <dc:description/>
  <cp:lastModifiedBy>vmahlqvi</cp:lastModifiedBy>
  <cp:revision>2</cp:revision>
  <dcterms:created xsi:type="dcterms:W3CDTF">2012-06-11T10:11:00Z</dcterms:created>
  <dcterms:modified xsi:type="dcterms:W3CDTF">2012-06-11T10:11:00Z</dcterms:modified>
</cp:coreProperties>
</file>