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after="200"/>
        <w:rPr>
          <w:rFonts w:ascii="Arial" w:eastAsia="Arial" w:hAnsi="Arial" w:cs="Arial"/>
          <w:b w:val="0"/>
          <w:color w:val="000000"/>
          <w:sz w:val="24"/>
        </w:rPr>
      </w:pPr>
      <w:r>
        <w:rPr>
          <w:rFonts w:ascii="Arial" w:eastAsia="Arial" w:hAnsi="Arial" w:cs="Arial"/>
          <w:b w:val="0"/>
          <w:color w:val="000000"/>
          <w:sz w:val="24"/>
        </w:rPr>
        <w:t>Valtiovarainministeriö</w:t>
      </w:r>
    </w:p>
    <w:p w:rsidR="00A77B3E">
      <w:pPr>
        <w:spacing w:before="0" w:after="0"/>
        <w:rPr>
          <w:rFonts w:ascii="Arial" w:eastAsia="Arial" w:hAnsi="Arial" w:cs="Arial"/>
          <w:b w:val="0"/>
          <w:color w:val="000000"/>
          <w:sz w:val="24"/>
        </w:rPr>
      </w:pPr>
    </w:p>
    <w:p w:rsidR="00A77B3E">
      <w:pPr>
        <w:spacing w:before="0" w:after="200"/>
        <w:ind w:firstLine="5000"/>
        <w:rPr>
          <w:rFonts w:ascii="Arial" w:eastAsia="Arial" w:hAnsi="Arial" w:cs="Arial"/>
          <w:b w:val="0"/>
          <w:color w:val="000000"/>
          <w:sz w:val="24"/>
        </w:rPr>
      </w:pPr>
      <w:r>
        <w:rPr>
          <w:rFonts w:ascii="Arial" w:eastAsia="Arial" w:hAnsi="Arial" w:cs="Arial"/>
          <w:b w:val="0"/>
          <w:color w:val="000000"/>
          <w:sz w:val="24"/>
        </w:rPr>
        <w:t>Lausuntopyyntö</w:t>
      </w:r>
    </w:p>
    <w:p w:rsidR="00A77B3E">
      <w:pPr>
        <w:spacing w:before="0" w:after="200"/>
        <w:ind w:firstLine="5000"/>
        <w:rPr>
          <w:rFonts w:ascii="Arial" w:eastAsia="Arial" w:hAnsi="Arial" w:cs="Arial"/>
          <w:b w:val="0"/>
          <w:color w:val="000000"/>
          <w:sz w:val="24"/>
        </w:rPr>
      </w:pPr>
      <w:r>
        <w:rPr>
          <w:rFonts w:ascii="Arial" w:eastAsia="Arial" w:hAnsi="Arial" w:cs="Arial"/>
          <w:b w:val="0"/>
          <w:color w:val="000000"/>
          <w:sz w:val="24"/>
        </w:rPr>
        <w:t>27.09.2022</w:t>
        <w:tab/>
        <w:tab/>
        <w:tab/>
        <w:t>VN/22230/2022</w:t>
      </w:r>
    </w:p>
    <w:p w:rsidR="00A77B3E">
      <w:pPr>
        <w:rPr>
          <w:rFonts w:ascii="Arial" w:eastAsia="Arial" w:hAnsi="Arial" w:cs="Arial"/>
          <w:b w:val="0"/>
          <w:color w:val="000000"/>
          <w:sz w:val="24"/>
        </w:rPr>
      </w:pPr>
    </w:p>
    <w:p w:rsidR="00A77B3E">
      <w:pPr>
        <w:rPr>
          <w:rFonts w:ascii="Arial" w:eastAsia="Arial" w:hAnsi="Arial" w:cs="Arial"/>
          <w:b w:val="0"/>
          <w:color w:val="000000"/>
          <w:sz w:val="24"/>
        </w:rPr>
      </w:pPr>
    </w:p>
    <w:p w:rsidR="00A77B3E">
      <w:pPr>
        <w:rPr>
          <w:rFonts w:ascii="Arial" w:eastAsia="Arial" w:hAnsi="Arial" w:cs="Arial"/>
          <w:b w:val="0"/>
          <w:color w:val="000000"/>
          <w:sz w:val="24"/>
        </w:rPr>
      </w:pPr>
    </w:p>
    <w:p w:rsidR="00A77B3E">
      <w:pPr>
        <w:rPr>
          <w:rFonts w:ascii="Arial" w:eastAsia="Arial" w:hAnsi="Arial" w:cs="Arial"/>
          <w:b w:val="0"/>
          <w:color w:val="000000"/>
          <w:sz w:val="24"/>
        </w:rPr>
      </w:pPr>
    </w:p>
    <w:p w:rsidR="00A77B3E">
      <w:pPr>
        <w:rPr>
          <w:rFonts w:ascii="Arial" w:eastAsia="Arial" w:hAnsi="Arial" w:cs="Arial"/>
          <w:b w:val="0"/>
          <w:color w:val="000000"/>
          <w:sz w:val="32"/>
        </w:rPr>
      </w:pPr>
      <w:r>
        <w:rPr>
          <w:rFonts w:ascii="Arial" w:eastAsia="Arial" w:hAnsi="Arial" w:cs="Arial"/>
          <w:b/>
          <w:color w:val="000000"/>
          <w:sz w:val="32"/>
        </w:rPr>
        <w:t>Lausuntopyyntö luonnoksesta hallituksen esitykseksi kaivosmineraaliveroa koskevasta lainsäädännöstä</w:t>
      </w:r>
    </w:p>
    <w:p w:rsidR="00A77B3E">
      <w:pPr>
        <w:rPr>
          <w:rFonts w:ascii="Arial" w:eastAsia="Arial" w:hAnsi="Arial" w:cs="Arial"/>
          <w:b w:val="0"/>
          <w:color w:val="000000"/>
          <w:sz w:val="32"/>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Johdanto</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Valtiovarainministeriö pyytää 17.10.2022 mennessä lausuntoja luonnoksesta hallituksen esitykseksi kaivosmineraaliveroa koskevasta lainsäädännöstä.</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Tausta</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Pääministeri Sanna Marinin hallituksen hallitusohjelman mukaan selvitetään mahdollisuutta ottaa käyttöön erillinen kaivosvero, jotta maaperän kaivannaisista saadaan yhteiskunnalle kohtuullinen korvaus. Hallitus teki vuoden 2022 talousarvioneuvotteluissa linjauksen, että Suomessa otetaan vuonna 2023 käyttöön kaivosvero. Kaivosveron tavoiteltu verotuotto on 25 miljooonaa euroa vuodessa. Verotuotosta 60 prosenttia ohjataan kaivosten sijaintikunnille ja 40 prosenttia valtiolle.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Valtiovarainministeri Annika Saarikko asetti työryhmän arvioimaan eri verovaihtoehtojen soveltuvuutta, toteuttamiskelpoisuutta ja pääasiallisia vaikutuksia. Työryhmän työ valmistui kesäkuussa 2022 ja työryhmän arviomuistio oli lausuntokierroksella elokuun alkuun saakka.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Työryhmän arviomuistion ja lausuntokierroksen perusteella tehtiin syksyllä 2022 päätös, että valmistelua jatketaan kaivosveron toteuttamista arvioivan työryhmän loppuraportissa esitetyn kaavamaisen ja yksinkertaisen rojaltimallin pohjalta. Myös vuoden 2023 talousarvioneuvotteluiden yhteydessä pääministeri Sanna Marinin hallitus linjasi, että kaivosveron valmistelua jatketaan ja kaivosveron verotuotosta 60 prosenttia on tarkoitus ohjata kaivosten sijaintikunnille.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Esityksessä ehdotetaan säädettäväksi kaivosmineraaliverolaki. Lisäksi esityksessä ehdotetaan muutettavaksi valmisteverotuslakia ja oma-aloitteisten verojen verotusmenettelystä annettua lakia.</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Esityksessä ehdotetaan, että otetaan käyttöön uusi, Suomessa louhittuihin kaivosmineraaleihin kohdistuva vero. Ehdotettava veromalli olisi luonteeltaan rojaltityyppinen suoritus, joka olisi mahdollisimman yksinkertainen ja kaavamainen, kuitenkin niin, että veromallissa otettaisiin huomioon yhtäältä metallimalmien ja muiden kaivosmineraalien välinen eroavaisuus ja toisaalta metallimalmien väliset erot niiden arvoissa ja malmipitoisuuksissa.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Veron soveltamisalaan kuuluisivat kaivoslaissa tarkoitetut kaivosmineraalit. Soveltamisalan ulkopuolelle rajattaisiin kuitenkin kullanhuuhdonnassa löydetyt kaivosmineraalit. Verovelvollinen olisi se, jolla on kaivosmineraalin hyödyntämiseen oikeuttava lupa. Verovelvollinen olisi tyypillisesti kaivosyhtiö. Vero määräytyisi metallimalmien osalta sen ajankohdan perusteella, jona verovelvollinen toimittaa sen rikastettavaksi, ja muiden kaivosmineraalien osalta sen ajankohdan perusteella, jona kaivosmineraali louhitaan.</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Metallimalmien vero olisi 0,6 prosenttia metallimalmin sisältämän metallin verotusarvosta. Verotusarvo perustuisi metallien kansainvälisiin markkinahintoihin. Ellei tällaista hintatietoa olisi saatavilla, verotusarvo määritettäisiin vastaavien muiden julkisten hintatietojen perusteella tai viime sijassa toisen vastaavan tuotteen kansainvälisten, julkisten hintatietojen perusteella. Verotusarvo laskettaisiin hintatietojen vuotuisena, aritmeettisena keskiarvona ja vahvistettaisiin etukäteen edellisen vuoden hintatietojen perusteella. Muiden kaivosmineraalien kuin metallimalmien vero olisi 0,2 euroa tonnilta louhittua kaivosmineraalia.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Kaivosmineraalien verotukseen sovellettaisiin pääosin valmisteverotuksen ja oma-aloitteisten verojen menettelysäännöksiä. Veron piiriin kuuluvien toimijoiden tulisi rekisteröityä verovelvollisiksi. Verovelvollinen antaisi veroilmoituksen kalenterivuoden mittaiselta verokaudelta sekä laskisi ja suorittaisi veron oma-aloitteisesti. Veroviranomainen olisi Verohallinto.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Kaivosveron vuosittaisen verotuoton arvioidaan olevan noin 25 miljoonaa euroa, josta valtion osuus olisi 10 miljoonaa euroa ja kaivosten sijaintikuntien 15 miljoonaa euroa. Verotuotto tilitettäisiin sille kunnalle, jossa kaivos sijaitsee. Verotuotto kertyisi ensimmäistä kertaa vuonna 2025.</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Valmisteverotuslakiin ja oma-aloitteisten verojen verotusmenettelystä annettuun lakiin tehtäisiin kaivosmineraaliveroa koskevat lisäykset. </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Lait on tarkoitettu tulemaan voimaan 1.1.2024. Lakia sovellettaisiin niihin kaivosmineraaleihin, joita koskeva veron suorittamisvelvollisuus syntyy lain voimaantulon jälkeen.</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Tavoitteet</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Veron tavoitteena on ottaa huomioon kaivoslaissa tarkoitettujen kaivosmineraalien luonne uusiutumattomina luonnonvaroina ja ohjata yhteiskunnalle kohtuullinen korvaus niiden käytöstä veron muodossa. Verolla ei ole ympäristönsuojelullisia tavoitteita.</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Vastausohjeet vastaanottajille</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Lausunnot pyydetään antamaan vastaamalla lausuntopalvelu.fi:ssä julkaistuun lausuntopyyntöön viimeistään 17.10.2022. Lausuntoa ei tarvitse lähettää erikseen sähköpostitse tai postitse.</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Myös jakelulistan ulkopuoliset tahot voivat halutessaan antaa lausuntonsa.</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Lausunnon antaakseen vastaajan tulee rekisteröityä ja kirjautua lausuntopalvelu.fi:hin. Tarkemmat ohjeet palvelun käyttämiseksi löytyvät lausuntopalvelu.fi:n sivulta Ohjeet -&gt; Käyttöohjeet. Palvelun käyttöönoton tukea voi pyytää osoitteesta lausuntopalvelu.om@gov.fi.</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Kaikki annetut lausunnot ovat julkisia ja julkaistaan lausuntopalvelu.fi:ssä.</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Aikataulu</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Lausunnot pyydetään antamaan vastaamalla lausuntopalvelu.fi:ssä julkaistuun lausuntopyyntöön viimeistään 17.10.2022.</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Valmistelijat</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Veroasiantuntija, Ella Luikku, puh. 029553 0091, ella.luikku@gov.fi</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Linkit</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"https://vm.fi/hanke?tunnus=VM105:00/2022"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https://vm.fi/hanke?tunnus=VM105:00/2022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Linkki säädösvalmisteluhankkeen verkkosivuille</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"https://vm.fi/sv/projekt?tunnus=VM105:00/2022"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https://vm.fi/sv/projekt?tunnus=VM105:00/2022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Länk till lagberedningsprojektets webbplats</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"https://vm.fi/hanke?tunnus=VM008:00/2022"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https://vm.fi/hanke?tunnus=VM008:00/2022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Linkki työryhmän hankesivuille</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"https://vm.fi/sv/projekt?tunnus=VM008:00/2022"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https://vm.fi/sv/projekt?tunnus=VM008:00/2022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Länk till arbetsgruppens projektsida</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Liitteet:</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5B9BD5"/>
          <w:sz w:val="24"/>
        </w:rPr>
        <w:t>Luonnos hallituksen esitykseksi kaivosmineraaliveroa koskevasta lainsäädännöstä 27.9.2022.pdf</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5B9BD5"/>
          <w:sz w:val="24"/>
        </w:rPr>
        <w:t>Utkast propositionens huvudsakliga innehåll och lagförslag 26.9.2022.pdf</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Jakelu:</w:t>
      </w:r>
    </w:p>
    <w:tbl>
      <w:tblPr>
        <w:tblW w:w="5000" w:type="pct"/>
        <w:tblCellMar>
          <w:left w:w="108" w:type="dxa"/>
          <w:right w:w="108" w:type="dxa"/>
        </w:tblCellMar>
      </w:tblPr>
      <w:tblGrid>
        <w:gridCol w:w="8036"/>
        <w:gridCol w:w="1302"/>
        <w:gridCol w:w="1302"/>
      </w:tblGrid>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Akava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Elinkeinoelämän keskusliitto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Elinkeinoelämän tutkimuslaitos ETLA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Energiateollisuus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Finnwatch</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Geologian tutkimuskeskus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Greenpeace</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Huittisten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Ilomantsin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Juukan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Kaivosteollisuus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Kajaanin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Keminmaan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Keskuskauppakamari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Kimitoö kommun - Kemiönsaaren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Kittilän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Kolarin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Kolttien luottamusmies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Kuopion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Lapin Kullankaivajain Liitto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Lapinlahden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Lappeenrannan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Lohjan kaupunki - Lojo stad</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Luonnonvarakeskus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Maa- ja metsätalousministeriö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Maa- ja metsätaloustuottajain Keskusliitto MTK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Matkailu- ja Ravintolapalvelut MaRa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Metallinjalostajat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Metsäteollisuus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Mäntyharjun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Oikeusministeriö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Paliskuntain yhdistys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Paltamon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Pargas stad - Paraisten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Pelkosenniemen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Pieksämäen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Polvijärven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Pyhäjärven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Raahen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Saamelaiskäräjät</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Salon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Savonlinnan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Siilinjärven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Sipoon kunta - Sibbo kommun</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Sodankylän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Sotkamon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ammattijärjestöjen keskusliitto SAK</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ilmastopaneeli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itsenäisyyden juhlarahasto Sitra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Kuntaliitto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luonnonsuojeluliitto</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ympäristökeskus SYKE</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Suomussalmen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Teknologiateollisuus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Toimihenkilökeskusjärjestö STTK</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Tornion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Turvallisuus- ja kemikaalivirasto Tukes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Työ- ja elinkeinoministeriö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Valkeakosken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Valtioneuvoston oikeuskansleri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VATT</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Verohallinto</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Veronmaksajain keskusliitto</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Vimpelin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WWF Suomi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Ympäristöministeriö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Ålands landskapsregering</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bl>
    <w:p w:rsidR="00A77B3E">
      <w:pPr>
        <w:spacing w:after="200" w:afterAutospacing="0"/>
        <w:ind w:left="800"/>
        <w:rPr>
          <w:rFonts w:ascii="Arial" w:eastAsia="Arial" w:hAnsi="Arial" w:cs="Arial"/>
          <w:b w:val="0"/>
          <w:color w:val="000000"/>
          <w:sz w:val="24"/>
        </w:rPr>
      </w:pPr>
    </w:p>
    <w:p w:rsidR="00A77B3E">
      <w:pPr>
        <w:spacing w:before="200" w:after="200"/>
        <w:ind w:left="0"/>
        <w:rPr>
          <w:rFonts w:ascii="Arial" w:eastAsia="Arial" w:hAnsi="Arial" w:cs="Arial"/>
          <w:b w:val="0"/>
          <w:color w:val="000000"/>
          <w:sz w:val="24"/>
        </w:rPr>
      </w:pPr>
      <w:r>
        <w:rPr>
          <w:rFonts w:ascii="Arial" w:eastAsia="Arial" w:hAnsi="Arial" w:cs="Arial"/>
          <w:b w:val="0"/>
          <w:color w:val="000000"/>
          <w:sz w:val="24"/>
        </w:rPr>
        <w:br w:type="page"/>
      </w:r>
      <w:r>
        <w:rPr>
          <w:rFonts w:ascii="Arial" w:eastAsia="Arial" w:hAnsi="Arial" w:cs="Arial"/>
          <w:b/>
          <w:color w:val="000000"/>
          <w:sz w:val="24"/>
        </w:rPr>
        <w:t>Lausunnonantajan lausunto</w:t>
      </w:r>
    </w:p>
    <w:p w:rsidR="00A77B3E">
      <w:pPr>
        <w:spacing w:before="200" w:after="200"/>
        <w:ind w:left="800"/>
        <w:rPr>
          <w:rFonts w:ascii="Arial" w:eastAsia="Arial" w:hAnsi="Arial" w:cs="Arial"/>
          <w:b w:val="0"/>
          <w:color w:val="000000"/>
          <w:sz w:val="24"/>
        </w:rPr>
      </w:pPr>
      <w:r>
        <w:rPr>
          <w:rStyle w:val="DefaultParagraphFont"/>
          <w:rFonts w:ascii="Arial" w:eastAsia="Arial" w:hAnsi="Arial" w:cs="Arial"/>
          <w:b w:val="0"/>
          <w:color w:val="000000"/>
          <w:sz w:val="24"/>
        </w:rPr>
        <w:t>Voitte kirjoittaa lausuntonne alla olevaan tekstikenttään</w:t>
      </w:r>
    </w:p>
    <w:p w:rsidR="00A77B3E">
      <w:pPr>
        <w:spacing w:before="200" w:after="200"/>
        <w:ind w:left="800"/>
        <w:rPr>
          <w:rFonts w:ascii="Arial" w:eastAsia="Arial" w:hAnsi="Arial" w:cs="Arial"/>
          <w:b w:val="0"/>
          <w:color w:val="000000"/>
          <w:sz w:val="24"/>
        </w:rPr>
      </w:pPr>
    </w:p>
    <w:p w:rsidR="00A77B3E">
      <w:pPr>
        <w:spacing w:before="0" w:after="200"/>
        <w:ind w:left="800"/>
        <w:rPr>
          <w:rFonts w:ascii="Arial" w:eastAsia="Arial" w:hAnsi="Arial" w:cs="Arial"/>
          <w:b w:val="0"/>
          <w:color w:val="000000"/>
          <w:sz w:val="24"/>
        </w:rPr>
      </w:pPr>
    </w:p>
    <w:p w:rsidR="00A77B3E">
      <w:pPr>
        <w:spacing w:before="0" w:after="200"/>
        <w:ind w:left="800"/>
        <w:rPr>
          <w:rFonts w:ascii="Arial" w:eastAsia="Arial" w:hAnsi="Arial" w:cs="Arial"/>
          <w:b w:val="0"/>
          <w:color w:val="000000"/>
          <w:sz w:val="24"/>
        </w:rPr>
      </w:pPr>
    </w:p>
    <w:p w:rsidR="00A77B3E">
      <w:pPr>
        <w:spacing w:before="0" w:after="200"/>
        <w:ind w:left="8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Luikku Ella</w:t>
      </w: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Valtiovarainministeriö</w:t>
      </w:r>
    </w:p>
    <w:p w:rsidR="00A77B3E">
      <w:pPr>
        <w:spacing w:before="0" w:after="0"/>
        <w:ind w:left="32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Luikku Ella</w:t>
      </w: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Valtiovarainministeriö</w:t>
      </w:r>
    </w:p>
    <w:p w:rsidR="00A77B3E">
      <w:pPr>
        <w:spacing w:before="0" w:after="0"/>
        <w:ind w:left="0"/>
        <w:rPr>
          <w:rFonts w:ascii="Arial" w:eastAsia="Arial" w:hAnsi="Arial" w:cs="Arial"/>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Lausuntopalvelu.fi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rPr>
            <w:t>6</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rPr>
            <w:t>6</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