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3F" w:rsidRDefault="0086443F" w:rsidP="00F70AC7">
      <w:pPr>
        <w:spacing w:line="24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9.7pt;margin-top:12pt;width:225.8pt;height:105.1pt;z-index:-251657728;mso-wrap-distance-left:0;mso-wrap-distance-right:0;mso-position-horizontal-relative:page;mso-position-vertical-relative:page" wrapcoords="-72 0 -72 21446 21600 21446 21600 0 -72 0">
            <v:imagedata r:id="rId7" o:title=""/>
            <w10:wrap type="tight" anchorx="page" anchory="page"/>
          </v:shape>
        </w:pict>
      </w:r>
      <w:r>
        <w:rPr>
          <w:noProof/>
        </w:rPr>
        <w:pict>
          <v:shape id="_x0000_s1028" type="#_x0000_t75" style="position:absolute;left:0;text-align:left;margin-left:369.7pt;margin-top:12pt;width:225.8pt;height:105.1pt;z-index:-251658752;mso-wrap-distance-left:0;mso-wrap-distance-right:0;mso-position-horizontal-relative:page;mso-position-vertical-relative:page" wrapcoords="-72 0 -72 21446 21600 21446 21600 0 -72 0">
            <v:imagedata r:id="rId7" o:title=""/>
            <w10:wrap type="tight" anchorx="page" anchory="page"/>
          </v:shape>
        </w:pict>
      </w:r>
      <w:r>
        <w:rPr>
          <w:noProof/>
        </w:rPr>
        <w:pict>
          <v:shape id="_x0000_s1029" type="#_x0000_t75" style="position:absolute;left:0;text-align:left;margin-left:369.15pt;margin-top:0;width:225.8pt;height:105.1pt;z-index:-251659776;mso-wrap-distance-left:0;mso-wrap-distance-right:0;mso-position-horizontal-relative:page;mso-position-vertical-relative:page" wrapcoords="-72 0 -72 21446 21600 21446 21600 0 -72 0" o:allowincell="f">
            <v:imagedata r:id="rId7" o:title=""/>
            <w10:wrap type="tight" anchorx="page" anchory="page"/>
          </v:shape>
        </w:pict>
      </w:r>
      <w:r>
        <w:t>Oikeusministeriö</w:t>
      </w:r>
    </w:p>
    <w:p w:rsidR="0086443F" w:rsidRDefault="0086443F" w:rsidP="00F70AC7">
      <w:pPr>
        <w:spacing w:line="240" w:lineRule="auto"/>
        <w:jc w:val="both"/>
      </w:pPr>
      <w:r>
        <w:t>Lainvalmisteluosasto</w:t>
      </w:r>
    </w:p>
    <w:p w:rsidR="0086443F" w:rsidRDefault="0086443F" w:rsidP="00F70AC7">
      <w:pPr>
        <w:spacing w:line="240" w:lineRule="auto"/>
        <w:jc w:val="both"/>
      </w:pPr>
      <w:r>
        <w:t>PL 25</w:t>
      </w:r>
    </w:p>
    <w:p w:rsidR="0086443F" w:rsidRDefault="0086443F" w:rsidP="00F70AC7">
      <w:pPr>
        <w:spacing w:line="240" w:lineRule="auto"/>
        <w:jc w:val="both"/>
      </w:pPr>
      <w:r>
        <w:t>00023 VALTIONEUVOSTO</w:t>
      </w:r>
    </w:p>
    <w:p w:rsidR="0086443F" w:rsidRDefault="0086443F" w:rsidP="00F70AC7">
      <w:pPr>
        <w:spacing w:line="240" w:lineRule="auto"/>
        <w:jc w:val="both"/>
      </w:pPr>
    </w:p>
    <w:p w:rsidR="0086443F" w:rsidRDefault="0086443F" w:rsidP="00F70AC7">
      <w:pPr>
        <w:spacing w:line="240" w:lineRule="auto"/>
        <w:jc w:val="both"/>
      </w:pPr>
      <w:r>
        <w:t xml:space="preserve">s-posti: </w:t>
      </w:r>
      <w:hyperlink r:id="rId8" w:history="1">
        <w:r w:rsidRPr="002C2524">
          <w:rPr>
            <w:rStyle w:val="Hyperlink"/>
            <w:rFonts w:cs="Arial"/>
          </w:rPr>
          <w:t>oikeusministerio@om.fi</w:t>
        </w:r>
      </w:hyperlink>
    </w:p>
    <w:p w:rsidR="0086443F" w:rsidRDefault="0086443F" w:rsidP="00F70AC7">
      <w:pPr>
        <w:spacing w:line="240" w:lineRule="auto"/>
        <w:jc w:val="both"/>
      </w:pPr>
    </w:p>
    <w:p w:rsidR="0086443F" w:rsidRDefault="0086443F" w:rsidP="00F70AC7">
      <w:pPr>
        <w:spacing w:line="240" w:lineRule="auto"/>
        <w:jc w:val="both"/>
      </w:pPr>
    </w:p>
    <w:p w:rsidR="0086443F" w:rsidRDefault="0086443F" w:rsidP="00F70AC7">
      <w:pPr>
        <w:spacing w:line="240" w:lineRule="auto"/>
        <w:jc w:val="both"/>
      </w:pPr>
    </w:p>
    <w:p w:rsidR="0086443F" w:rsidRDefault="0086443F" w:rsidP="00F70AC7">
      <w:pPr>
        <w:spacing w:line="240" w:lineRule="auto"/>
        <w:jc w:val="both"/>
      </w:pPr>
      <w:r>
        <w:t>Viite: lausuntopyyntö 6.4.2010 (OM 5/41/2009)</w:t>
      </w:r>
    </w:p>
    <w:p w:rsidR="0086443F" w:rsidRDefault="0086443F" w:rsidP="00F70AC7">
      <w:pPr>
        <w:spacing w:line="240" w:lineRule="auto"/>
        <w:jc w:val="both"/>
      </w:pPr>
    </w:p>
    <w:p w:rsidR="0086443F" w:rsidRDefault="0086443F" w:rsidP="00F70AC7">
      <w:pPr>
        <w:spacing w:line="240" w:lineRule="auto"/>
        <w:jc w:val="both"/>
      </w:pPr>
    </w:p>
    <w:p w:rsidR="0086443F" w:rsidRDefault="0086443F" w:rsidP="00F70AC7">
      <w:pPr>
        <w:spacing w:line="240" w:lineRule="auto"/>
        <w:jc w:val="both"/>
      </w:pPr>
    </w:p>
    <w:p w:rsidR="0086443F" w:rsidRPr="001F2C85" w:rsidRDefault="0086443F" w:rsidP="00F70AC7">
      <w:pPr>
        <w:pStyle w:val="Title"/>
        <w:spacing w:before="0" w:after="0" w:line="240" w:lineRule="auto"/>
        <w:jc w:val="both"/>
        <w:rPr>
          <w:sz w:val="24"/>
        </w:rPr>
      </w:pPr>
      <w:r w:rsidRPr="001F2C85">
        <w:rPr>
          <w:sz w:val="24"/>
        </w:rPr>
        <w:t>Teollis- ja tekijänoikeusasioiden keskittäminen markkinaoikeuteen</w:t>
      </w:r>
    </w:p>
    <w:p w:rsidR="0086443F" w:rsidRPr="001F2C85" w:rsidRDefault="0086443F" w:rsidP="00F70AC7">
      <w:pPr>
        <w:pStyle w:val="BodyText"/>
        <w:jc w:val="both"/>
        <w:rPr>
          <w:b/>
        </w:rPr>
      </w:pPr>
      <w:r>
        <w:rPr>
          <w:b/>
        </w:rPr>
        <w:t>IPR-tuomioistuintyöryhmän mietintö (OM 28/2010)</w:t>
      </w:r>
    </w:p>
    <w:p w:rsidR="0086443F" w:rsidRDefault="0086443F" w:rsidP="00F70AC7">
      <w:pPr>
        <w:pStyle w:val="Title"/>
        <w:spacing w:before="0" w:after="0" w:line="240" w:lineRule="auto"/>
        <w:jc w:val="both"/>
      </w:pPr>
    </w:p>
    <w:p w:rsidR="0086443F" w:rsidRDefault="0086443F" w:rsidP="00F70AC7">
      <w:pPr>
        <w:pStyle w:val="BodyText"/>
        <w:spacing w:line="276" w:lineRule="auto"/>
        <w:ind w:left="1247"/>
        <w:jc w:val="both"/>
      </w:pPr>
    </w:p>
    <w:p w:rsidR="0086443F" w:rsidRDefault="0086443F" w:rsidP="00F70AC7">
      <w:pPr>
        <w:pStyle w:val="BodyText"/>
        <w:spacing w:line="276" w:lineRule="auto"/>
        <w:ind w:left="1247"/>
        <w:jc w:val="both"/>
      </w:pPr>
    </w:p>
    <w:p w:rsidR="0086443F" w:rsidRDefault="0086443F" w:rsidP="00F70AC7">
      <w:pPr>
        <w:pStyle w:val="BodyText"/>
        <w:spacing w:line="276" w:lineRule="auto"/>
        <w:jc w:val="both"/>
      </w:pPr>
      <w:r>
        <w:t>Säveltäjäin Tekijänoikeustoimisto Teosto r.y. kiittää mahdollisuudesta tulla kuulluksi asiassa ja esittää lausuntonaan seuraavaa.</w:t>
      </w:r>
    </w:p>
    <w:p w:rsidR="0086443F" w:rsidRDefault="0086443F" w:rsidP="00F70AC7">
      <w:pPr>
        <w:pStyle w:val="BodyText"/>
        <w:spacing w:line="276" w:lineRule="auto"/>
        <w:jc w:val="both"/>
      </w:pPr>
    </w:p>
    <w:p w:rsidR="0086443F" w:rsidRDefault="0086443F" w:rsidP="00F70AC7">
      <w:pPr>
        <w:pStyle w:val="BodyText"/>
        <w:spacing w:line="276" w:lineRule="auto"/>
        <w:jc w:val="both"/>
      </w:pPr>
    </w:p>
    <w:p w:rsidR="0086443F" w:rsidRPr="003F2179" w:rsidRDefault="0086443F" w:rsidP="00F70AC7">
      <w:pPr>
        <w:pStyle w:val="BodyText"/>
        <w:spacing w:line="276" w:lineRule="auto"/>
        <w:jc w:val="both"/>
        <w:rPr>
          <w:u w:val="single"/>
        </w:rPr>
      </w:pPr>
      <w:r w:rsidRPr="003F2179">
        <w:rPr>
          <w:u w:val="single"/>
        </w:rPr>
        <w:t>Markkinaoikeus tekijänoikeusasioiden oikeudenkäynti</w:t>
      </w:r>
      <w:r>
        <w:rPr>
          <w:u w:val="single"/>
        </w:rPr>
        <w:t>paikkana</w:t>
      </w:r>
    </w:p>
    <w:p w:rsidR="0086443F" w:rsidRDefault="0086443F" w:rsidP="00F70AC7">
      <w:pPr>
        <w:pStyle w:val="BodyText"/>
        <w:spacing w:line="276" w:lineRule="auto"/>
        <w:jc w:val="both"/>
      </w:pPr>
    </w:p>
    <w:p w:rsidR="0086443F" w:rsidRDefault="0086443F" w:rsidP="00F70AC7">
      <w:pPr>
        <w:pStyle w:val="BodyText"/>
        <w:spacing w:line="276" w:lineRule="auto"/>
        <w:jc w:val="both"/>
      </w:pPr>
      <w:r>
        <w:t>Teollis- ja tekijänoikeusasioiden keskittäminen markkinaoikeuteen perustuu valtioneuvoston 26.3.2009 tekemään periaatepäätökseen kansallisesta IPR-strategiasta. Sen mukaan oikeuks</w:t>
      </w:r>
      <w:r>
        <w:t>i</w:t>
      </w:r>
      <w:r>
        <w:t>en tehokkuuden ja selkeyden kannalta tuomioistuinkäsittelyn korkea laatu ja nopeus ovat ke</w:t>
      </w:r>
      <w:r>
        <w:t>s</w:t>
      </w:r>
      <w:r>
        <w:t>keisessä asemassa. Aineettomien oikeuksien tuomioistuinkäsittelyn keskittämistä koskevissa aiemmissa lausunnoissamme olemme kiinnittäneet huomiota siihen, että tekijänoikeus on läht</w:t>
      </w:r>
      <w:r>
        <w:t>ö</w:t>
      </w:r>
      <w:r>
        <w:t xml:space="preserve">kohtaisesti teoksen alkuperäiselle tekijälle, </w:t>
      </w:r>
      <w:r w:rsidRPr="009967E5">
        <w:rPr>
          <w:i/>
        </w:rPr>
        <w:t>yksilölle kuuluva oikeus</w:t>
      </w:r>
      <w:r>
        <w:t>. Sekä valtioneuvoston IPR-strategiassa että IPR-tuomioistuintyöryhmän mietinnössä (jäljempänä mietintö) oikeussuojan tarvetta, saatavuutta ja kehittämistä on arvioitu ensisijaisesti yritysten näkökulmasta. Muiden etutahojen ja yksittäisten ihmisten tarpeiden erittely on jäänyt vähälle huomiolle. Tätä on pide</w:t>
      </w:r>
      <w:r>
        <w:t>t</w:t>
      </w:r>
      <w:r>
        <w:t>tävä puutteena, koska tekijänoikeus on yhä enemmän yksilöiden oikeutta oman luovan työnsä tuloksiin erityisesti internetissä. Jotta IPR-järjestelmä olisi tehokas ja oikeudenmukainen myös tulevaisuudessa, tekijänoikeuksiin tulee voida vedota digitaalisissa toimintaympäristöissä si</w:t>
      </w:r>
      <w:r>
        <w:t>l</w:t>
      </w:r>
      <w:r>
        <w:t xml:space="preserve">loinkin kun oikeudenhaltijana ei ole esimerkiksi kansainvälinen suuryritys. </w:t>
      </w:r>
    </w:p>
    <w:p w:rsidR="0086443F" w:rsidRDefault="0086443F" w:rsidP="00F70AC7">
      <w:pPr>
        <w:pStyle w:val="BodyText"/>
        <w:spacing w:line="276" w:lineRule="auto"/>
        <w:jc w:val="both"/>
      </w:pPr>
    </w:p>
    <w:p w:rsidR="0086443F" w:rsidRDefault="0086443F" w:rsidP="00F70AC7">
      <w:pPr>
        <w:pStyle w:val="BodyText"/>
        <w:spacing w:line="276" w:lineRule="auto"/>
        <w:jc w:val="both"/>
      </w:pPr>
      <w:r>
        <w:t>On varottava, ettei tekijänoikeusasioiden sijoittaminen Helsingissä sijaitsevaan erityistuomioi</w:t>
      </w:r>
      <w:r>
        <w:t>s</w:t>
      </w:r>
      <w:r>
        <w:t>tuimeen johda yksittäisten tekijöiden tai luovan alan pienyritysten etääntymiseen käytettävissä olevista tekijänoikeuden toimeenpanokeinoista ja siten nosta kynnystä oikeussuojan hakem</w:t>
      </w:r>
      <w:r>
        <w:t>i</w:t>
      </w:r>
      <w:r>
        <w:t>seen. Tämä olisi haitallista myös kansallisessa IPR-strategiassa asetetuille tavoitteille. Ihmisten yhdenvertaisuuden oikeudenkäytössä tulee toteutua asuinpaikasta riippumatta. Samoin suom</w:t>
      </w:r>
      <w:r>
        <w:t>a</w:t>
      </w:r>
      <w:r>
        <w:t xml:space="preserve">laisen oikeusvaltion vahvuus, </w:t>
      </w:r>
      <w:r w:rsidRPr="00CD7FD6">
        <w:t>oikeudenkäytön kansanomaisuus ja läheisyys</w:t>
      </w:r>
      <w:r>
        <w:t xml:space="preserve"> kansalaisyhteisku</w:t>
      </w:r>
      <w:r>
        <w:t>n</w:t>
      </w:r>
      <w:r>
        <w:t>taan, tulee pystyä tekijänoikeusasioissakin edelleen säilyttämään.</w:t>
      </w:r>
    </w:p>
    <w:p w:rsidR="0086443F" w:rsidRDefault="0086443F" w:rsidP="00F70AC7">
      <w:pPr>
        <w:pStyle w:val="BodyText"/>
        <w:tabs>
          <w:tab w:val="clear" w:pos="1247"/>
          <w:tab w:val="clear" w:pos="2495"/>
          <w:tab w:val="clear" w:pos="3742"/>
          <w:tab w:val="clear" w:pos="4990"/>
        </w:tabs>
        <w:spacing w:line="276" w:lineRule="auto"/>
        <w:jc w:val="both"/>
      </w:pPr>
      <w:r>
        <w:t>Teollis- ja tekijänoikeusasioiden keskittämisen päämääriksi on mietinnössä esitetty immateria</w:t>
      </w:r>
      <w:r>
        <w:t>a</w:t>
      </w:r>
      <w:r>
        <w:t>listen asioiden käsittelyn hajaantuneisuuden vähentäminen, korkeatasoisen asiantuntemuksen kerryttäminen markkinaoikeuteen sekä tehokkuus- ja synergiaetujen saavuttaminen. Jotta nämä tavoitteet voisivat toteutua, tulee mielestämme kiinnittää erityistä huomiota siihen,</w:t>
      </w:r>
    </w:p>
    <w:p w:rsidR="0086443F" w:rsidRDefault="0086443F" w:rsidP="00F70AC7">
      <w:pPr>
        <w:pStyle w:val="BodyText"/>
        <w:tabs>
          <w:tab w:val="clear" w:pos="1247"/>
          <w:tab w:val="clear" w:pos="2495"/>
          <w:tab w:val="clear" w:pos="3742"/>
          <w:tab w:val="clear" w:pos="4990"/>
        </w:tabs>
        <w:spacing w:line="276" w:lineRule="auto"/>
        <w:jc w:val="both"/>
      </w:pPr>
    </w:p>
    <w:p w:rsidR="0086443F" w:rsidRDefault="0086443F" w:rsidP="00F70AC7">
      <w:pPr>
        <w:pStyle w:val="BodyText"/>
        <w:numPr>
          <w:ilvl w:val="0"/>
          <w:numId w:val="22"/>
        </w:numPr>
        <w:tabs>
          <w:tab w:val="clear" w:pos="1247"/>
          <w:tab w:val="clear" w:pos="2495"/>
          <w:tab w:val="clear" w:pos="3742"/>
          <w:tab w:val="clear" w:pos="4990"/>
        </w:tabs>
        <w:spacing w:line="276" w:lineRule="auto"/>
        <w:jc w:val="both"/>
      </w:pPr>
      <w:r>
        <w:t>miten tekijänoikeuden ja teollisoikeuksien aineelliset erityispiirteet tukevat toisiaan siten, että ne tosiasiallisesti johtavat synergian ja koherenssin lisääntymiseen</w:t>
      </w:r>
    </w:p>
    <w:p w:rsidR="0086443F" w:rsidRDefault="0086443F" w:rsidP="00F70AC7">
      <w:pPr>
        <w:pStyle w:val="BodyText"/>
        <w:numPr>
          <w:ilvl w:val="0"/>
          <w:numId w:val="22"/>
        </w:numPr>
        <w:tabs>
          <w:tab w:val="clear" w:pos="1247"/>
          <w:tab w:val="clear" w:pos="2495"/>
          <w:tab w:val="clear" w:pos="3742"/>
          <w:tab w:val="clear" w:pos="4990"/>
        </w:tabs>
        <w:spacing w:line="276" w:lineRule="auto"/>
        <w:jc w:val="both"/>
      </w:pPr>
      <w:r>
        <w:t>miten tekijänoikeuksiin liittyvää asiantuntemusta vaalitaan ja kehitetään tilanteessa, jossa lukumääräisesti suurin osa käsiteltävistä asioista liittyy teollisoikeuksiin</w:t>
      </w:r>
    </w:p>
    <w:p w:rsidR="0086443F" w:rsidRDefault="0086443F" w:rsidP="00F70AC7">
      <w:pPr>
        <w:pStyle w:val="BodyText"/>
        <w:numPr>
          <w:ilvl w:val="0"/>
          <w:numId w:val="22"/>
        </w:numPr>
        <w:tabs>
          <w:tab w:val="clear" w:pos="1247"/>
          <w:tab w:val="clear" w:pos="2495"/>
          <w:tab w:val="clear" w:pos="3742"/>
          <w:tab w:val="clear" w:pos="4990"/>
        </w:tabs>
        <w:spacing w:line="276" w:lineRule="auto"/>
        <w:jc w:val="both"/>
      </w:pPr>
      <w:r>
        <w:t>miten yleiseen varallisuus- ja sopimusoikeuteen liittyvän asiantuntemuksen ja ratkaisuk</w:t>
      </w:r>
      <w:r>
        <w:t>o</w:t>
      </w:r>
      <w:r>
        <w:t>kemuksen hankkiminen, säilyminen ja kehittyminen turvataan toimintaympäristössä, jolla ei ole suoraa toiminnallista yhteyttä yleisiin tuomioistuimiin.</w:t>
      </w:r>
    </w:p>
    <w:p w:rsidR="0086443F" w:rsidRDefault="0086443F" w:rsidP="00F70AC7">
      <w:pPr>
        <w:pStyle w:val="BodyText"/>
        <w:spacing w:line="276" w:lineRule="auto"/>
        <w:jc w:val="both"/>
      </w:pPr>
    </w:p>
    <w:p w:rsidR="0086443F" w:rsidRDefault="0086443F" w:rsidP="00F70AC7">
      <w:pPr>
        <w:pStyle w:val="BodyText"/>
        <w:spacing w:line="276" w:lineRule="auto"/>
        <w:jc w:val="both"/>
      </w:pPr>
      <w:r>
        <w:t>Lisäksi korostamme sitä mietinnössäkin huomioitua onnistumisen välttämätöntä edellytystä, että markkinaoikeudelle turvataan tehokkaaseen ja ammattitaitoiseen toimintaan tarvittavat henkilö- ja muut resurssit.</w:t>
      </w:r>
    </w:p>
    <w:p w:rsidR="0086443F" w:rsidRDefault="0086443F" w:rsidP="00F70AC7">
      <w:pPr>
        <w:pStyle w:val="BodyText"/>
        <w:spacing w:line="276" w:lineRule="auto"/>
        <w:jc w:val="both"/>
      </w:pPr>
    </w:p>
    <w:p w:rsidR="0086443F" w:rsidRPr="003F2179" w:rsidRDefault="0086443F" w:rsidP="00751EC4">
      <w:pPr>
        <w:pStyle w:val="BodyText"/>
        <w:tabs>
          <w:tab w:val="clear" w:pos="4990"/>
          <w:tab w:val="left" w:pos="5400"/>
        </w:tabs>
        <w:spacing w:line="276" w:lineRule="auto"/>
        <w:jc w:val="both"/>
        <w:rPr>
          <w:u w:val="single"/>
        </w:rPr>
      </w:pPr>
      <w:r w:rsidRPr="003F2179">
        <w:rPr>
          <w:u w:val="single"/>
        </w:rPr>
        <w:t>Muutoksenhaku markkinaoikeuden ratkaisuista</w:t>
      </w:r>
    </w:p>
    <w:p w:rsidR="0086443F" w:rsidRDefault="0086443F" w:rsidP="00F70AC7">
      <w:pPr>
        <w:pStyle w:val="BodyText"/>
        <w:spacing w:line="276" w:lineRule="auto"/>
        <w:jc w:val="both"/>
      </w:pPr>
    </w:p>
    <w:p w:rsidR="0086443F" w:rsidRDefault="0086443F" w:rsidP="00F70AC7">
      <w:pPr>
        <w:pStyle w:val="BodyText"/>
        <w:spacing w:line="276" w:lineRule="auto"/>
        <w:jc w:val="both"/>
      </w:pPr>
      <w:r>
        <w:t>Mietinnössä on tarkasteltu kolmea vaihtoehtoa muutoksenhaun järjestämiseksi markkinaoike</w:t>
      </w:r>
      <w:r>
        <w:t>u</w:t>
      </w:r>
      <w:r>
        <w:t>den ratkaisuihin:</w:t>
      </w:r>
    </w:p>
    <w:p w:rsidR="0086443F" w:rsidRDefault="0086443F" w:rsidP="00F70AC7">
      <w:pPr>
        <w:pStyle w:val="BodyText"/>
        <w:spacing w:line="276" w:lineRule="auto"/>
        <w:jc w:val="both"/>
      </w:pPr>
    </w:p>
    <w:p w:rsidR="0086443F" w:rsidRDefault="0086443F" w:rsidP="00F70AC7">
      <w:pPr>
        <w:pStyle w:val="BodyText"/>
        <w:numPr>
          <w:ilvl w:val="0"/>
          <w:numId w:val="21"/>
        </w:numPr>
        <w:tabs>
          <w:tab w:val="clear" w:pos="1247"/>
          <w:tab w:val="clear" w:pos="2495"/>
          <w:tab w:val="clear" w:pos="3742"/>
          <w:tab w:val="clear" w:pos="4990"/>
        </w:tabs>
        <w:spacing w:line="276" w:lineRule="auto"/>
        <w:ind w:left="284" w:hanging="284"/>
      </w:pPr>
      <w:r w:rsidRPr="00995532">
        <w:t xml:space="preserve">valittaminen </w:t>
      </w:r>
      <w:r>
        <w:t xml:space="preserve">suoraan </w:t>
      </w:r>
      <w:r w:rsidRPr="00995532">
        <w:t>korkeimpaan oikeuteen voimassa olevaa valituslupajärjestelmää</w:t>
      </w:r>
      <w:r>
        <w:br/>
      </w:r>
      <w:r w:rsidRPr="00995532">
        <w:t>(OK 30:3) noudattaen</w:t>
      </w:r>
    </w:p>
    <w:p w:rsidR="0086443F" w:rsidRDefault="0086443F" w:rsidP="00F70AC7">
      <w:pPr>
        <w:pStyle w:val="BodyText"/>
        <w:numPr>
          <w:ilvl w:val="0"/>
          <w:numId w:val="21"/>
        </w:numPr>
        <w:tabs>
          <w:tab w:val="clear" w:pos="1247"/>
          <w:tab w:val="clear" w:pos="2495"/>
          <w:tab w:val="clear" w:pos="3742"/>
          <w:tab w:val="clear" w:pos="4990"/>
        </w:tabs>
        <w:spacing w:line="276" w:lineRule="auto"/>
        <w:ind w:left="284" w:hanging="284"/>
      </w:pPr>
      <w:r>
        <w:t>valittaminen korkeimpaan oikeuteen siten, että valituslupaperusteisiin sisällytetään erityinen immateriaalioikeudellisia riita-asioita koskeva lupaperuste</w:t>
      </w:r>
    </w:p>
    <w:p w:rsidR="0086443F" w:rsidRDefault="0086443F" w:rsidP="00F70AC7">
      <w:pPr>
        <w:pStyle w:val="BodyText"/>
        <w:numPr>
          <w:ilvl w:val="0"/>
          <w:numId w:val="21"/>
        </w:numPr>
        <w:tabs>
          <w:tab w:val="clear" w:pos="1247"/>
          <w:tab w:val="clear" w:pos="2495"/>
          <w:tab w:val="clear" w:pos="3742"/>
          <w:tab w:val="clear" w:pos="4990"/>
        </w:tabs>
        <w:spacing w:line="276" w:lineRule="auto"/>
        <w:ind w:left="284" w:hanging="284"/>
      </w:pPr>
      <w:r>
        <w:t>valittaminen hovioikeuteen ja edelleen korkeimpaan oikeuteen valituslupajärjestelmää no</w:t>
      </w:r>
      <w:r>
        <w:t>u</w:t>
      </w:r>
      <w:r>
        <w:t>dattaen.</w:t>
      </w:r>
    </w:p>
    <w:p w:rsidR="0086443F" w:rsidRDefault="0086443F" w:rsidP="00F70AC7">
      <w:pPr>
        <w:pStyle w:val="BodyText"/>
        <w:spacing w:line="276" w:lineRule="auto"/>
      </w:pPr>
    </w:p>
    <w:p w:rsidR="0086443F" w:rsidRDefault="0086443F" w:rsidP="00F70AC7">
      <w:pPr>
        <w:pStyle w:val="BodyText"/>
        <w:spacing w:line="276" w:lineRule="auto"/>
        <w:jc w:val="both"/>
      </w:pPr>
      <w:r>
        <w:t>Pidämme vaihtoehtoja 1 ja 2 käytännössä toteutuskelvottomina</w:t>
      </w:r>
      <w:r w:rsidRPr="004D2BAB">
        <w:t xml:space="preserve">. </w:t>
      </w:r>
      <w:r>
        <w:t>Vaihtoehdon 1 keskeisin o</w:t>
      </w:r>
      <w:r>
        <w:t>n</w:t>
      </w:r>
      <w:r>
        <w:t xml:space="preserve">gelma on korkeimman oikeuden rooli ja tehtävä </w:t>
      </w:r>
      <w:r w:rsidRPr="00BD4F17">
        <w:rPr>
          <w:i/>
        </w:rPr>
        <w:t>ennakkopäätöstuomioistuimena</w:t>
      </w:r>
      <w:r>
        <w:t xml:space="preserve">. KKO </w:t>
      </w:r>
      <w:r w:rsidRPr="004D2BAB">
        <w:t>hylkää yli 90 % sille osoitetuista valituslupahakemuksista.</w:t>
      </w:r>
      <w:r>
        <w:t xml:space="preserve"> Ennakkopäätösperusteella valituslupa voidaan myöntää vain, jos </w:t>
      </w:r>
      <w:r w:rsidRPr="003B0D5E">
        <w:t>lain soveltamisen kannalta muissa samanlaisissa tapauksissa tai oikeuskä</w:t>
      </w:r>
      <w:r w:rsidRPr="003B0D5E">
        <w:t>y</w:t>
      </w:r>
      <w:r w:rsidRPr="003B0D5E">
        <w:t>tännön yhtenäisyyden vuoksi on tärkeää saattaa asia korkeimman oikeuden ratkaistavaksi</w:t>
      </w:r>
      <w:r>
        <w:t>. Käytännössä näin painavat perusteet ovat käsillä hyvin harvoin: korkein oikeus on viimeisen kymmenen vuoden aikana antanut vuosittain keskimäärin 1-2 tekijänoikeutta koskevaa päätö</w:t>
      </w:r>
      <w:r>
        <w:t>s</w:t>
      </w:r>
      <w:r>
        <w:t>tä. Tämä vaihtoehto tarkoittaisi siten markkinaoikeuden päätöksen jäämistä lopulliseksi ratka</w:t>
      </w:r>
      <w:r>
        <w:t>i</w:t>
      </w:r>
      <w:r>
        <w:t xml:space="preserve">suksi lähes kaikissa jutuissa. </w:t>
      </w:r>
    </w:p>
    <w:p w:rsidR="0086443F" w:rsidRDefault="0086443F" w:rsidP="00F70AC7">
      <w:pPr>
        <w:pStyle w:val="BodyText"/>
        <w:spacing w:line="276" w:lineRule="auto"/>
        <w:jc w:val="both"/>
      </w:pPr>
    </w:p>
    <w:p w:rsidR="0086443F" w:rsidRDefault="0086443F" w:rsidP="00F70AC7">
      <w:pPr>
        <w:pStyle w:val="BodyText"/>
        <w:spacing w:line="276" w:lineRule="auto"/>
        <w:jc w:val="both"/>
      </w:pPr>
      <w:r>
        <w:t>Asianosaisten oikeusturvaodotusten kannalta olisi kohtuutonta, mikäli muutoksenhakumahdoll</w:t>
      </w:r>
      <w:r>
        <w:t>i</w:t>
      </w:r>
      <w:r>
        <w:t>suus jäisi riippumaan pelkästään asian ennakkotapausarvosta, joka voi määritelmällisestikin koskea vain murto-osaa kaikista oikeusriidoista. Riidanalaisen asian merkitys asianosaiselle saattaa kuitenkin olla hyvin tärkeä, jopa ainutkertainen. Muutoksenhakuoikeus on oikeussuoj</w:t>
      </w:r>
      <w:r>
        <w:t>a</w:t>
      </w:r>
      <w:r>
        <w:t>järjestelmän keskeinen periaate, jonka myös perustuslain 21 § turvaa. Tätä yksiselitteistä läht</w:t>
      </w:r>
      <w:r>
        <w:t>ö</w:t>
      </w:r>
      <w:r>
        <w:t>kohtaa tulee kunnioittaa myös immateriaalioikeudellisten asioiden suhteen. Mikäli asianosaiset vapaaehtoisesti haluavat riitansa ratkaisemiseksi turvautua yksiportaiseen prosessiin, on väl</w:t>
      </w:r>
      <w:r>
        <w:t>i</w:t>
      </w:r>
      <w:r>
        <w:t>miesmenettely useimmiten heidän käytettävissään.</w:t>
      </w:r>
    </w:p>
    <w:p w:rsidR="0086443F" w:rsidRDefault="0086443F" w:rsidP="00F70AC7">
      <w:pPr>
        <w:pStyle w:val="BodyText"/>
        <w:spacing w:line="276" w:lineRule="auto"/>
        <w:jc w:val="both"/>
      </w:pPr>
    </w:p>
    <w:p w:rsidR="0086443F" w:rsidRDefault="0086443F" w:rsidP="00F70AC7">
      <w:pPr>
        <w:pStyle w:val="BodyText"/>
        <w:spacing w:line="276" w:lineRule="auto"/>
        <w:jc w:val="both"/>
      </w:pPr>
      <w:r w:rsidRPr="004D2BAB">
        <w:t>Pidämme yhtä ongelmallisena myös vaihtoehtoa</w:t>
      </w:r>
      <w:r>
        <w:t xml:space="preserve"> 2</w:t>
      </w:r>
      <w:r w:rsidRPr="004D2BAB">
        <w:t>. Erityisen immateriaalioikeudellisia asioita</w:t>
      </w:r>
      <w:r>
        <w:t xml:space="preserve"> </w:t>
      </w:r>
      <w:r w:rsidRPr="004D2BAB">
        <w:t>koskevan lupaperusteen lisäämisen jälkeenkin muuto</w:t>
      </w:r>
      <w:r>
        <w:t xml:space="preserve">ksenhaku jäisi lähtökohtaisesti </w:t>
      </w:r>
      <w:r w:rsidRPr="004D2BAB">
        <w:t>luvanvara</w:t>
      </w:r>
      <w:r w:rsidRPr="004D2BAB">
        <w:t>i</w:t>
      </w:r>
      <w:r w:rsidRPr="004D2BAB">
        <w:t>seksi. Tämäkin</w:t>
      </w:r>
      <w:r>
        <w:t xml:space="preserve"> vaihtoehto asettaisi immateriaalioikeudelliset asiat eri asemaan muun tyyppisiin riitoihin verrattuna. Kyse olisi siis vaihtoehtoon</w:t>
      </w:r>
      <w:r w:rsidRPr="0096753A">
        <w:t xml:space="preserve"> </w:t>
      </w:r>
      <w:r>
        <w:t>1 verrattuna lähinnä aste-erosta, joka kuitenkin johtaisi tosiasiallisesti samaan lopputulokseen.</w:t>
      </w:r>
    </w:p>
    <w:p w:rsidR="0086443F" w:rsidRDefault="0086443F" w:rsidP="00F70AC7">
      <w:pPr>
        <w:pStyle w:val="BodyText"/>
        <w:spacing w:line="276" w:lineRule="auto"/>
        <w:jc w:val="both"/>
      </w:pPr>
    </w:p>
    <w:p w:rsidR="0086443F" w:rsidRDefault="0086443F" w:rsidP="00F70AC7">
      <w:pPr>
        <w:pStyle w:val="BodyText"/>
        <w:spacing w:line="276" w:lineRule="auto"/>
        <w:jc w:val="both"/>
      </w:pPr>
      <w:r w:rsidRPr="004D2BAB">
        <w:t xml:space="preserve">Pidämme </w:t>
      </w:r>
      <w:r>
        <w:t>toteutuskelpoisena ainoastaan vaihtoehtoa 3</w:t>
      </w:r>
      <w:r w:rsidRPr="004D2BAB">
        <w:t xml:space="preserve">. </w:t>
      </w:r>
      <w:r>
        <w:t xml:space="preserve">Ihmisten </w:t>
      </w:r>
      <w:r w:rsidRPr="004D2BAB">
        <w:t>yhdenvertaisuus oikeudenho</w:t>
      </w:r>
      <w:r w:rsidRPr="004D2BAB">
        <w:t>i</w:t>
      </w:r>
      <w:r w:rsidRPr="004D2BAB">
        <w:t>dossa edellyttää, että mahdollisuudet saattaa asia ylempien oikeuksien tutkittavaksi ovat yht</w:t>
      </w:r>
      <w:r w:rsidRPr="004D2BAB">
        <w:t>ä</w:t>
      </w:r>
      <w:r w:rsidRPr="004D2BAB">
        <w:t>läiset eri asioissa.</w:t>
      </w:r>
      <w:r w:rsidRPr="00A30FA1">
        <w:rPr>
          <w:b/>
        </w:rPr>
        <w:t xml:space="preserve"> </w:t>
      </w:r>
      <w:r>
        <w:t>Esimerkiksi hovioikeuksien ensiasteena käsittelemien asioiden määrää on viime vuosina vähennetty siirtämällä ratkaisuvaltaa käräjäoikeuksille. On huomattava, että kyse on ollut asiaryhmistä, joissa muutoksenhaku korkeimpaan oikeuteen on jo lähtökohtaisesti ollut sallittua ilman valituslupaa. Muutoksenhakua korkeimpaan oikeuteen koskevien säännösten muuttamista koskeneen hallituksen esityksen perusteluissa todettiin, että kansalaisten yhde</w:t>
      </w:r>
      <w:r>
        <w:t>n</w:t>
      </w:r>
      <w:r>
        <w:t>vertaisuuden ja tuomioistuinjärjestelmän kannalta tämä on oikeansuuntainen kehitys. Asioiden käsittelyn tulee noudattaa tavallista oikeusastejärjestystä, jollei siitä poikkeamiselle ole erityisiä perusteita (HE 9/2005 vp s. 12). Sellaisia perusteita ei nyt ole käsillä. Myös tekijänoikeuden henkilökohtainen luonne ja suuri merkitys yksittäisten tekijöiden kannalta tukee nykymuotoisen muutoksenhakuoikeuden säilyttämistä.</w:t>
      </w:r>
    </w:p>
    <w:p w:rsidR="0086443F" w:rsidRDefault="0086443F" w:rsidP="00F70AC7">
      <w:pPr>
        <w:pStyle w:val="BodyText"/>
        <w:spacing w:line="240" w:lineRule="auto"/>
        <w:jc w:val="both"/>
        <w:rPr>
          <w:b/>
          <w:bCs/>
        </w:rPr>
      </w:pPr>
    </w:p>
    <w:p w:rsidR="0086443F" w:rsidRDefault="0086443F" w:rsidP="00F70AC7">
      <w:pPr>
        <w:pStyle w:val="BodyText"/>
        <w:spacing w:line="240" w:lineRule="auto"/>
        <w:jc w:val="both"/>
      </w:pPr>
    </w:p>
    <w:p w:rsidR="0086443F" w:rsidRDefault="0086443F" w:rsidP="00F70AC7">
      <w:pPr>
        <w:pStyle w:val="BodyText"/>
        <w:spacing w:line="240" w:lineRule="auto"/>
        <w:jc w:val="both"/>
      </w:pPr>
      <w:r>
        <w:t>Helsingissä, toukokuun 11 päivänä 2010</w:t>
      </w:r>
    </w:p>
    <w:p w:rsidR="0086443F" w:rsidRDefault="0086443F" w:rsidP="00F70AC7">
      <w:pPr>
        <w:pStyle w:val="BodyText"/>
        <w:spacing w:line="240" w:lineRule="auto"/>
        <w:jc w:val="both"/>
      </w:pPr>
    </w:p>
    <w:p w:rsidR="0086443F" w:rsidRDefault="0086443F" w:rsidP="00F70AC7">
      <w:pPr>
        <w:pStyle w:val="BodyText"/>
        <w:spacing w:line="240" w:lineRule="auto"/>
        <w:jc w:val="both"/>
      </w:pPr>
    </w:p>
    <w:p w:rsidR="0086443F" w:rsidRDefault="0086443F" w:rsidP="00F70AC7">
      <w:pPr>
        <w:pStyle w:val="BodyText"/>
        <w:spacing w:line="240" w:lineRule="auto"/>
        <w:jc w:val="both"/>
      </w:pPr>
    </w:p>
    <w:p w:rsidR="0086443F" w:rsidRDefault="0086443F" w:rsidP="00F70AC7">
      <w:pPr>
        <w:pStyle w:val="BodyText"/>
        <w:spacing w:line="240" w:lineRule="auto"/>
        <w:jc w:val="both"/>
      </w:pPr>
      <w:r>
        <w:t>Säveltäjäin Tekijänoikeustoimisto Teosto r.y.</w:t>
      </w:r>
    </w:p>
    <w:p w:rsidR="0086443F" w:rsidRDefault="0086443F" w:rsidP="00F70AC7">
      <w:pPr>
        <w:pStyle w:val="BodyText"/>
        <w:spacing w:line="240" w:lineRule="auto"/>
        <w:jc w:val="both"/>
      </w:pPr>
    </w:p>
    <w:p w:rsidR="0086443F" w:rsidRDefault="0086443F" w:rsidP="00F70AC7">
      <w:pPr>
        <w:pStyle w:val="BodyText"/>
        <w:spacing w:line="240" w:lineRule="auto"/>
        <w:jc w:val="both"/>
      </w:pPr>
    </w:p>
    <w:p w:rsidR="0086443F" w:rsidRDefault="0086443F" w:rsidP="00F70AC7">
      <w:pPr>
        <w:pStyle w:val="BodyText"/>
        <w:spacing w:line="240" w:lineRule="auto"/>
        <w:jc w:val="both"/>
      </w:pPr>
    </w:p>
    <w:p w:rsidR="0086443F" w:rsidRDefault="0086443F" w:rsidP="00F70AC7">
      <w:pPr>
        <w:pStyle w:val="BodyText"/>
        <w:spacing w:line="240" w:lineRule="auto"/>
        <w:jc w:val="both"/>
      </w:pPr>
      <w:r>
        <w:t>Katri Sipilä</w:t>
      </w:r>
      <w:r>
        <w:tab/>
      </w:r>
      <w:r>
        <w:tab/>
      </w:r>
      <w:r>
        <w:tab/>
      </w:r>
      <w:r>
        <w:tab/>
        <w:t>Martti Kivistö</w:t>
      </w:r>
    </w:p>
    <w:p w:rsidR="0086443F" w:rsidRDefault="0086443F" w:rsidP="00F70AC7">
      <w:pPr>
        <w:pStyle w:val="BodyText"/>
        <w:spacing w:line="240" w:lineRule="auto"/>
        <w:jc w:val="both"/>
      </w:pPr>
      <w:r>
        <w:t>toimitusjohtaja</w:t>
      </w:r>
      <w:r>
        <w:tab/>
      </w:r>
      <w:r>
        <w:tab/>
      </w:r>
      <w:r>
        <w:tab/>
        <w:t>edunvalvontajohtaja</w:t>
      </w:r>
    </w:p>
    <w:p w:rsidR="0086443F" w:rsidRDefault="0086443F" w:rsidP="00F70AC7">
      <w:pPr>
        <w:pStyle w:val="BodyText"/>
        <w:spacing w:line="240" w:lineRule="auto"/>
        <w:jc w:val="both"/>
        <w:rPr>
          <w:b/>
          <w:bCs/>
          <w:sz w:val="20"/>
          <w:szCs w:val="20"/>
        </w:rPr>
      </w:pPr>
    </w:p>
    <w:p w:rsidR="0086443F" w:rsidRDefault="0086443F" w:rsidP="00F70AC7">
      <w:pPr>
        <w:pStyle w:val="BodyText"/>
        <w:spacing w:line="240" w:lineRule="auto"/>
        <w:jc w:val="both"/>
        <w:rPr>
          <w:b/>
          <w:bCs/>
          <w:sz w:val="20"/>
          <w:szCs w:val="20"/>
        </w:rPr>
      </w:pPr>
      <w:r>
        <w:rPr>
          <w:b/>
          <w:bCs/>
          <w:sz w:val="20"/>
          <w:szCs w:val="20"/>
        </w:rPr>
        <w:t>***********************************************************************************************************************</w:t>
      </w:r>
    </w:p>
    <w:p w:rsidR="0086443F" w:rsidRDefault="0086443F" w:rsidP="00F70AC7">
      <w:pPr>
        <w:pStyle w:val="BodyText"/>
        <w:spacing w:line="276" w:lineRule="auto"/>
        <w:jc w:val="both"/>
        <w:rPr>
          <w:b/>
          <w:bCs/>
          <w:sz w:val="20"/>
          <w:szCs w:val="20"/>
        </w:rPr>
      </w:pPr>
      <w:r>
        <w:rPr>
          <w:b/>
          <w:bCs/>
          <w:sz w:val="20"/>
          <w:szCs w:val="20"/>
        </w:rPr>
        <w:t>Mikä Teosto on?</w:t>
      </w:r>
    </w:p>
    <w:p w:rsidR="0086443F" w:rsidRDefault="0086443F" w:rsidP="00F70AC7">
      <w:pPr>
        <w:pStyle w:val="BodyText"/>
        <w:tabs>
          <w:tab w:val="clear" w:pos="1247"/>
          <w:tab w:val="clear" w:pos="2495"/>
          <w:tab w:val="clear" w:pos="3742"/>
          <w:tab w:val="clear" w:pos="4990"/>
        </w:tabs>
        <w:spacing w:line="276" w:lineRule="auto"/>
        <w:jc w:val="both"/>
        <w:rPr>
          <w:sz w:val="20"/>
          <w:szCs w:val="20"/>
        </w:rPr>
      </w:pPr>
    </w:p>
    <w:p w:rsidR="0086443F" w:rsidRDefault="0086443F" w:rsidP="00F70AC7">
      <w:pPr>
        <w:pStyle w:val="BodyText"/>
        <w:tabs>
          <w:tab w:val="clear" w:pos="1247"/>
          <w:tab w:val="clear" w:pos="2495"/>
          <w:tab w:val="clear" w:pos="3742"/>
          <w:tab w:val="clear" w:pos="4990"/>
        </w:tabs>
        <w:spacing w:line="276" w:lineRule="auto"/>
        <w:jc w:val="both"/>
        <w:rPr>
          <w:sz w:val="20"/>
          <w:szCs w:val="20"/>
        </w:rPr>
      </w:pPr>
      <w:r>
        <w:rPr>
          <w:sz w:val="20"/>
          <w:szCs w:val="20"/>
        </w:rPr>
        <w:t>Teosto on vuonna 1928 perustettu säveltäjien, sanoittajien, sovittajien ja musiikinkustantajien tekijäno</w:t>
      </w:r>
      <w:r>
        <w:rPr>
          <w:sz w:val="20"/>
          <w:szCs w:val="20"/>
        </w:rPr>
        <w:t>i</w:t>
      </w:r>
      <w:r>
        <w:rPr>
          <w:sz w:val="20"/>
          <w:szCs w:val="20"/>
        </w:rPr>
        <w:t>keusjärjestö.  Edustamme noin 25 000:ta kotimaista musiikin tekijää ja kustantajaa, ja lisäksi vastavuoro</w:t>
      </w:r>
      <w:r>
        <w:rPr>
          <w:sz w:val="20"/>
          <w:szCs w:val="20"/>
        </w:rPr>
        <w:t>i</w:t>
      </w:r>
      <w:r>
        <w:rPr>
          <w:sz w:val="20"/>
          <w:szCs w:val="20"/>
        </w:rPr>
        <w:t>suussopimusten kautta noin kahta miljoonaa ulkomaista oikeudenhaltijaa. Keräämistämme musiikin es</w:t>
      </w:r>
      <w:r>
        <w:rPr>
          <w:sz w:val="20"/>
          <w:szCs w:val="20"/>
        </w:rPr>
        <w:t>i</w:t>
      </w:r>
      <w:r>
        <w:rPr>
          <w:sz w:val="20"/>
          <w:szCs w:val="20"/>
        </w:rPr>
        <w:t>tys- ja tallennuskorvauksista jaoimme vuonna 2009 oikeudenomistajillemme 86,5 %.</w:t>
      </w:r>
    </w:p>
    <w:p w:rsidR="0086443F" w:rsidRDefault="0086443F" w:rsidP="00F70AC7">
      <w:pPr>
        <w:pStyle w:val="BodyText"/>
        <w:tabs>
          <w:tab w:val="clear" w:pos="1247"/>
          <w:tab w:val="clear" w:pos="2495"/>
          <w:tab w:val="clear" w:pos="3742"/>
          <w:tab w:val="clear" w:pos="4990"/>
        </w:tabs>
        <w:spacing w:line="276" w:lineRule="auto"/>
        <w:jc w:val="both"/>
        <w:rPr>
          <w:sz w:val="20"/>
          <w:szCs w:val="20"/>
        </w:rPr>
      </w:pPr>
    </w:p>
    <w:p w:rsidR="0086443F" w:rsidRDefault="0086443F" w:rsidP="00CD7FD6">
      <w:pPr>
        <w:pStyle w:val="BodyText"/>
        <w:tabs>
          <w:tab w:val="clear" w:pos="1247"/>
          <w:tab w:val="clear" w:pos="2495"/>
          <w:tab w:val="clear" w:pos="3742"/>
          <w:tab w:val="clear" w:pos="4990"/>
        </w:tabs>
        <w:spacing w:line="276" w:lineRule="auto"/>
        <w:jc w:val="both"/>
        <w:rPr>
          <w:b/>
          <w:bCs/>
          <w:sz w:val="20"/>
          <w:szCs w:val="20"/>
        </w:rPr>
      </w:pPr>
      <w:r>
        <w:rPr>
          <w:sz w:val="20"/>
          <w:szCs w:val="20"/>
        </w:rPr>
        <w:t>Teosto toimii yhdyssiteenä musiikin tekijöiden ja käyttäjien välillä huolehtien siitä, että musiikin käyttäjät saavat luvat musiikin käyttöön ja että oikeudenomistajat saavat korvaukset teostensa käyttämisestä. O</w:t>
      </w:r>
      <w:r>
        <w:rPr>
          <w:sz w:val="20"/>
          <w:szCs w:val="20"/>
        </w:rPr>
        <w:t>i</w:t>
      </w:r>
      <w:r>
        <w:rPr>
          <w:sz w:val="20"/>
          <w:szCs w:val="20"/>
        </w:rPr>
        <w:t>keuksien hallinnoinnin lisäksi Teosto edistää monin tavoin kansallista kulttuuria. Yhdistyksen aatteelliseen toimintaan kuuluu suomalaisen luovan säveltaiteen edistäminen.</w:t>
      </w:r>
    </w:p>
    <w:sectPr w:rsidR="0086443F" w:rsidSect="0038215E">
      <w:headerReference w:type="default" r:id="rId9"/>
      <w:footerReference w:type="first" r:id="rId10"/>
      <w:type w:val="continuous"/>
      <w:pgSz w:w="11906" w:h="16838" w:code="9"/>
      <w:pgMar w:top="2336" w:right="851" w:bottom="1701" w:left="1701" w:header="658" w:footer="15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43F" w:rsidRDefault="0086443F">
      <w:pPr>
        <w:spacing w:line="240" w:lineRule="auto"/>
      </w:pPr>
      <w:r>
        <w:separator/>
      </w:r>
    </w:p>
  </w:endnote>
  <w:endnote w:type="continuationSeparator" w:id="1">
    <w:p w:rsidR="0086443F" w:rsidRDefault="008644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3F" w:rsidRDefault="0086443F">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0.8pt;margin-top:753.7pt;width:224.05pt;height:86.85pt;z-index:-251656192;mso-wrap-distance-left:0;mso-wrap-distance-right:0;mso-position-horizontal-relative:page;mso-position-vertical-relative:page" wrapcoords="-72 0 -72 21414 21600 21414 21600 0 -72 0" o:allowincell="f">
          <v:imagedata r:id="rId1" o:title=""/>
          <w10:wrap type="tight"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43F" w:rsidRDefault="0086443F">
      <w:pPr>
        <w:spacing w:line="240" w:lineRule="auto"/>
      </w:pPr>
      <w:r>
        <w:separator/>
      </w:r>
    </w:p>
  </w:footnote>
  <w:footnote w:type="continuationSeparator" w:id="1">
    <w:p w:rsidR="0086443F" w:rsidRDefault="0086443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3F" w:rsidRDefault="0086443F">
    <w:pPr>
      <w:pStyle w:val="Head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3</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3</w:t>
    </w:r>
    <w:r>
      <w:rPr>
        <w:rStyle w:val="PageNumber"/>
        <w:rFonts w:cs="Arial"/>
      </w:rPr>
      <w:fldChar w:fldCharType="end"/>
    </w:r>
    <w:r>
      <w:rPr>
        <w:rStyle w:val="PageNumber"/>
        <w:rFonts w:cs="Arial"/>
      </w:rPr>
      <w:t>)</w:t>
    </w:r>
  </w:p>
  <w:p w:rsidR="0086443F" w:rsidRDefault="0086443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384CAEE"/>
    <w:lvl w:ilvl="0">
      <w:start w:val="1"/>
      <w:numFmt w:val="decimal"/>
      <w:lvlText w:val="%1."/>
      <w:lvlJc w:val="left"/>
      <w:pPr>
        <w:tabs>
          <w:tab w:val="num" w:pos="926"/>
        </w:tabs>
        <w:ind w:left="926" w:hanging="360"/>
      </w:pPr>
      <w:rPr>
        <w:rFonts w:cs="Times New Roman"/>
      </w:rPr>
    </w:lvl>
  </w:abstractNum>
  <w:abstractNum w:abstractNumId="1">
    <w:nsid w:val="FFFFFF7F"/>
    <w:multiLevelType w:val="singleLevel"/>
    <w:tmpl w:val="9CF843B8"/>
    <w:lvl w:ilvl="0">
      <w:start w:val="1"/>
      <w:numFmt w:val="decimal"/>
      <w:lvlText w:val="%1."/>
      <w:lvlJc w:val="left"/>
      <w:pPr>
        <w:tabs>
          <w:tab w:val="num" w:pos="643"/>
        </w:tabs>
        <w:ind w:left="643" w:hanging="360"/>
      </w:pPr>
      <w:rPr>
        <w:rFonts w:cs="Times New Roman"/>
      </w:rPr>
    </w:lvl>
  </w:abstractNum>
  <w:abstractNum w:abstractNumId="2">
    <w:nsid w:val="FFFFFF82"/>
    <w:multiLevelType w:val="singleLevel"/>
    <w:tmpl w:val="5614A20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9424B48"/>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690C73AA"/>
    <w:lvl w:ilvl="0">
      <w:start w:val="1"/>
      <w:numFmt w:val="decimal"/>
      <w:lvlText w:val="%1."/>
      <w:lvlJc w:val="left"/>
      <w:pPr>
        <w:tabs>
          <w:tab w:val="num" w:pos="360"/>
        </w:tabs>
        <w:ind w:left="360" w:hanging="360"/>
      </w:pPr>
      <w:rPr>
        <w:rFonts w:cs="Times New Roman"/>
      </w:rPr>
    </w:lvl>
  </w:abstractNum>
  <w:abstractNum w:abstractNumId="5">
    <w:nsid w:val="FFFFFF89"/>
    <w:multiLevelType w:val="singleLevel"/>
    <w:tmpl w:val="CCAA09D0"/>
    <w:lvl w:ilvl="0">
      <w:start w:val="1"/>
      <w:numFmt w:val="bullet"/>
      <w:lvlText w:val=""/>
      <w:lvlJc w:val="left"/>
      <w:pPr>
        <w:tabs>
          <w:tab w:val="num" w:pos="360"/>
        </w:tabs>
        <w:ind w:left="360" w:hanging="360"/>
      </w:pPr>
      <w:rPr>
        <w:rFonts w:ascii="Wingdings" w:hAnsi="Wingdings" w:hint="default"/>
        <w:sz w:val="16"/>
      </w:rPr>
    </w:lvl>
  </w:abstractNum>
  <w:abstractNum w:abstractNumId="6">
    <w:nsid w:val="01CD4BB6"/>
    <w:multiLevelType w:val="hybridMultilevel"/>
    <w:tmpl w:val="B7C8FFF0"/>
    <w:lvl w:ilvl="0" w:tplc="71C6119C">
      <w:numFmt w:val="bullet"/>
      <w:lvlText w:val="-"/>
      <w:lvlJc w:val="left"/>
      <w:pPr>
        <w:tabs>
          <w:tab w:val="num" w:pos="360"/>
        </w:tabs>
        <w:ind w:left="360" w:hanging="360"/>
      </w:pPr>
      <w:rPr>
        <w:rFonts w:ascii="Helv" w:eastAsia="Times New Roman" w:hAnsi="Helv"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7">
    <w:nsid w:val="1925517C"/>
    <w:multiLevelType w:val="hybridMultilevel"/>
    <w:tmpl w:val="EB0486B0"/>
    <w:lvl w:ilvl="0" w:tplc="040B0011">
      <w:start w:val="1"/>
      <w:numFmt w:val="decimal"/>
      <w:lvlText w:val="%1)"/>
      <w:lvlJc w:val="left"/>
      <w:pPr>
        <w:ind w:left="360" w:hanging="360"/>
      </w:pPr>
      <w:rPr>
        <w:rFonts w:cs="Times New Roman" w:hint="default"/>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8">
    <w:nsid w:val="425F708D"/>
    <w:multiLevelType w:val="hybridMultilevel"/>
    <w:tmpl w:val="4754B9E2"/>
    <w:lvl w:ilvl="0" w:tplc="71C6119C">
      <w:numFmt w:val="bullet"/>
      <w:lvlText w:val="-"/>
      <w:lvlJc w:val="left"/>
      <w:pPr>
        <w:tabs>
          <w:tab w:val="num" w:pos="360"/>
        </w:tabs>
        <w:ind w:left="360" w:hanging="360"/>
      </w:pPr>
      <w:rPr>
        <w:rFonts w:ascii="Helv" w:eastAsia="Times New Roman" w:hAnsi="Helv" w:hint="default"/>
      </w:rPr>
    </w:lvl>
    <w:lvl w:ilvl="1" w:tplc="040B0003" w:tentative="1">
      <w:start w:val="1"/>
      <w:numFmt w:val="bullet"/>
      <w:lvlText w:val="o"/>
      <w:lvlJc w:val="left"/>
      <w:pPr>
        <w:tabs>
          <w:tab w:val="num" w:pos="720"/>
        </w:tabs>
        <w:ind w:left="720" w:hanging="360"/>
      </w:pPr>
      <w:rPr>
        <w:rFonts w:ascii="Courier New" w:hAnsi="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4"/>
  </w:num>
  <w:num w:numId="8">
    <w:abstractNumId w:val="5"/>
  </w:num>
  <w:num w:numId="9">
    <w:abstractNumId w:val="1"/>
  </w:num>
  <w:num w:numId="10">
    <w:abstractNumId w:val="0"/>
  </w:num>
  <w:num w:numId="11">
    <w:abstractNumId w:val="2"/>
  </w:num>
  <w:num w:numId="12">
    <w:abstractNumId w:val="3"/>
  </w:num>
  <w:num w:numId="13">
    <w:abstractNumId w:val="4"/>
  </w:num>
  <w:num w:numId="14">
    <w:abstractNumId w:val="5"/>
  </w:num>
  <w:num w:numId="15">
    <w:abstractNumId w:val="1"/>
  </w:num>
  <w:num w:numId="16">
    <w:abstractNumId w:val="0"/>
  </w:num>
  <w:num w:numId="17">
    <w:abstractNumId w:val="5"/>
  </w:num>
  <w:num w:numId="18">
    <w:abstractNumId w:val="1"/>
  </w:num>
  <w:num w:numId="19">
    <w:abstractNumId w:val="0"/>
  </w:num>
  <w:num w:numId="20">
    <w:abstractNumId w:val="8"/>
  </w:num>
  <w:num w:numId="21">
    <w:abstractNumId w:val="7"/>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autoHyphenation/>
  <w:hyphenationZone w:val="425"/>
  <w:doNotHyphenateCaps/>
  <w:displayHorizontalDrawingGridEvery w:val="0"/>
  <w:displayVerticalDrawingGridEvery w:val="0"/>
  <w:doNotUseMarginsForDrawingGridOrigin/>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0A1"/>
    <w:rsid w:val="000C0BBC"/>
    <w:rsid w:val="000C3598"/>
    <w:rsid w:val="00132188"/>
    <w:rsid w:val="001E10A1"/>
    <w:rsid w:val="001E4C2F"/>
    <w:rsid w:val="001F2C85"/>
    <w:rsid w:val="002176B3"/>
    <w:rsid w:val="00293298"/>
    <w:rsid w:val="002C2524"/>
    <w:rsid w:val="002E4534"/>
    <w:rsid w:val="00332920"/>
    <w:rsid w:val="00375198"/>
    <w:rsid w:val="0038215E"/>
    <w:rsid w:val="00395DA6"/>
    <w:rsid w:val="003B0D5E"/>
    <w:rsid w:val="003C489A"/>
    <w:rsid w:val="003F2179"/>
    <w:rsid w:val="004D2BAB"/>
    <w:rsid w:val="004F6E6E"/>
    <w:rsid w:val="005043C5"/>
    <w:rsid w:val="00650922"/>
    <w:rsid w:val="006529E5"/>
    <w:rsid w:val="00693D10"/>
    <w:rsid w:val="00721964"/>
    <w:rsid w:val="007302DB"/>
    <w:rsid w:val="00751EC4"/>
    <w:rsid w:val="0078797A"/>
    <w:rsid w:val="00860102"/>
    <w:rsid w:val="0086443F"/>
    <w:rsid w:val="008F7D20"/>
    <w:rsid w:val="0096753A"/>
    <w:rsid w:val="00995532"/>
    <w:rsid w:val="009967E5"/>
    <w:rsid w:val="009F4936"/>
    <w:rsid w:val="00A272CA"/>
    <w:rsid w:val="00A30FA1"/>
    <w:rsid w:val="00A8359D"/>
    <w:rsid w:val="00A83BB7"/>
    <w:rsid w:val="00AA2988"/>
    <w:rsid w:val="00AC58EE"/>
    <w:rsid w:val="00B64348"/>
    <w:rsid w:val="00B7278A"/>
    <w:rsid w:val="00B736F3"/>
    <w:rsid w:val="00BD4F17"/>
    <w:rsid w:val="00C024C9"/>
    <w:rsid w:val="00C9577A"/>
    <w:rsid w:val="00CD7FD6"/>
    <w:rsid w:val="00E05EE9"/>
    <w:rsid w:val="00E06227"/>
    <w:rsid w:val="00E1753D"/>
    <w:rsid w:val="00EF4761"/>
    <w:rsid w:val="00F07680"/>
    <w:rsid w:val="00F547E3"/>
    <w:rsid w:val="00F70AC7"/>
    <w:rsid w:val="00F96C8C"/>
    <w:rsid w:val="00F970E4"/>
    <w:rsid w:val="00FE0BAE"/>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215E"/>
    <w:pPr>
      <w:tabs>
        <w:tab w:val="left" w:pos="1304"/>
        <w:tab w:val="left" w:pos="2608"/>
        <w:tab w:val="left" w:pos="3912"/>
      </w:tabs>
      <w:spacing w:line="240" w:lineRule="atLeast"/>
    </w:pPr>
    <w:rPr>
      <w:rFonts w:ascii="Arial" w:hAnsi="Arial" w:cs="Arial"/>
    </w:rPr>
  </w:style>
  <w:style w:type="paragraph" w:styleId="Heading1">
    <w:name w:val="heading 1"/>
    <w:basedOn w:val="Normal"/>
    <w:next w:val="BodyText"/>
    <w:link w:val="Heading1Char"/>
    <w:uiPriority w:val="99"/>
    <w:qFormat/>
    <w:rsid w:val="0038215E"/>
    <w:pPr>
      <w:keepNext/>
      <w:tabs>
        <w:tab w:val="clear" w:pos="1304"/>
        <w:tab w:val="clear" w:pos="2608"/>
        <w:tab w:val="clear" w:pos="3912"/>
        <w:tab w:val="left" w:pos="284"/>
        <w:tab w:val="left" w:pos="567"/>
        <w:tab w:val="left" w:pos="851"/>
        <w:tab w:val="left" w:pos="1134"/>
        <w:tab w:val="left" w:pos="1418"/>
      </w:tabs>
      <w:spacing w:before="240" w:after="240" w:line="240" w:lineRule="auto"/>
      <w:ind w:left="432" w:hanging="432"/>
      <w:outlineLvl w:val="0"/>
    </w:pPr>
    <w:rPr>
      <w:b/>
      <w:bCs/>
      <w:noProof/>
      <w:kern w:val="28"/>
      <w:sz w:val="28"/>
      <w:szCs w:val="28"/>
    </w:rPr>
  </w:style>
  <w:style w:type="paragraph" w:styleId="Heading2">
    <w:name w:val="heading 2"/>
    <w:basedOn w:val="BodyText"/>
    <w:next w:val="BodyText"/>
    <w:link w:val="Heading2Char"/>
    <w:uiPriority w:val="99"/>
    <w:qFormat/>
    <w:rsid w:val="0038215E"/>
    <w:pPr>
      <w:tabs>
        <w:tab w:val="clear" w:pos="1247"/>
        <w:tab w:val="clear" w:pos="2495"/>
        <w:tab w:val="clear" w:pos="3742"/>
        <w:tab w:val="clear" w:pos="4990"/>
        <w:tab w:val="left" w:pos="284"/>
        <w:tab w:val="left" w:pos="567"/>
        <w:tab w:val="left" w:pos="851"/>
        <w:tab w:val="left" w:pos="1134"/>
        <w:tab w:val="left" w:pos="1418"/>
      </w:tabs>
      <w:ind w:left="360" w:hanging="360"/>
      <w:outlineLvl w:val="1"/>
    </w:pPr>
    <w:rPr>
      <w:b/>
      <w:bCs/>
      <w:sz w:val="24"/>
      <w:szCs w:val="24"/>
    </w:rPr>
  </w:style>
  <w:style w:type="paragraph" w:styleId="Heading3">
    <w:name w:val="heading 3"/>
    <w:basedOn w:val="BodyText"/>
    <w:next w:val="BodyText"/>
    <w:link w:val="Heading3Char"/>
    <w:uiPriority w:val="99"/>
    <w:qFormat/>
    <w:rsid w:val="0038215E"/>
    <w:pPr>
      <w:tabs>
        <w:tab w:val="clear" w:pos="1247"/>
        <w:tab w:val="clear" w:pos="2495"/>
        <w:tab w:val="clear" w:pos="3742"/>
        <w:tab w:val="clear" w:pos="4990"/>
        <w:tab w:val="left" w:pos="284"/>
        <w:tab w:val="left" w:pos="567"/>
        <w:tab w:val="left" w:pos="851"/>
        <w:tab w:val="left" w:pos="1134"/>
        <w:tab w:val="left" w:pos="1418"/>
        <w:tab w:val="left" w:pos="1701"/>
      </w:tabs>
      <w:ind w:left="360" w:hanging="360"/>
      <w:outlineLvl w:val="2"/>
    </w:pPr>
    <w:rPr>
      <w:b/>
      <w:bCs/>
    </w:rPr>
  </w:style>
  <w:style w:type="paragraph" w:styleId="Heading4">
    <w:name w:val="heading 4"/>
    <w:basedOn w:val="Normal"/>
    <w:next w:val="Normal"/>
    <w:link w:val="Heading4Char"/>
    <w:uiPriority w:val="99"/>
    <w:qFormat/>
    <w:rsid w:val="0038215E"/>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38215E"/>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38215E"/>
    <w:pPr>
      <w:tabs>
        <w:tab w:val="num" w:pos="1152"/>
      </w:tabs>
      <w:spacing w:before="240" w:after="60"/>
      <w:ind w:left="1152" w:hanging="1152"/>
      <w:outlineLvl w:val="5"/>
    </w:pPr>
    <w:rPr>
      <w:b/>
      <w:bCs/>
    </w:rPr>
  </w:style>
  <w:style w:type="paragraph" w:styleId="Heading7">
    <w:name w:val="heading 7"/>
    <w:basedOn w:val="Normal"/>
    <w:next w:val="Normal"/>
    <w:link w:val="Heading7Char"/>
    <w:uiPriority w:val="99"/>
    <w:qFormat/>
    <w:rsid w:val="0038215E"/>
    <w:pPr>
      <w:tabs>
        <w:tab w:val="clear" w:pos="1304"/>
        <w:tab w:val="num" w:pos="1296"/>
      </w:tabs>
      <w:spacing w:before="240" w:after="60"/>
      <w:ind w:left="1296" w:hanging="1296"/>
      <w:outlineLvl w:val="6"/>
    </w:pPr>
    <w:rPr>
      <w:sz w:val="24"/>
      <w:szCs w:val="24"/>
    </w:rPr>
  </w:style>
  <w:style w:type="paragraph" w:styleId="Heading8">
    <w:name w:val="heading 8"/>
    <w:basedOn w:val="Normal"/>
    <w:next w:val="Normal"/>
    <w:link w:val="Heading8Char"/>
    <w:uiPriority w:val="99"/>
    <w:qFormat/>
    <w:rsid w:val="0038215E"/>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uiPriority w:val="99"/>
    <w:qFormat/>
    <w:rsid w:val="0038215E"/>
    <w:pPr>
      <w:tabs>
        <w:tab w:val="num" w:pos="1584"/>
      </w:tabs>
      <w:spacing w:before="240" w:after="60"/>
      <w:ind w:left="1584" w:hanging="1584"/>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9D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469D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469D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469D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469D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469D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469D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469D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469D4"/>
    <w:rPr>
      <w:rFonts w:asciiTheme="majorHAnsi" w:eastAsiaTheme="majorEastAsia" w:hAnsiTheme="majorHAnsi" w:cstheme="majorBidi"/>
    </w:rPr>
  </w:style>
  <w:style w:type="paragraph" w:styleId="Header">
    <w:name w:val="header"/>
    <w:basedOn w:val="Normal"/>
    <w:link w:val="HeaderChar"/>
    <w:uiPriority w:val="99"/>
    <w:semiHidden/>
    <w:rsid w:val="0038215E"/>
    <w:pPr>
      <w:tabs>
        <w:tab w:val="clear" w:pos="1304"/>
        <w:tab w:val="clear" w:pos="2608"/>
        <w:tab w:val="clear" w:pos="3912"/>
      </w:tabs>
    </w:pPr>
  </w:style>
  <w:style w:type="character" w:customStyle="1" w:styleId="HeaderChar">
    <w:name w:val="Header Char"/>
    <w:basedOn w:val="DefaultParagraphFont"/>
    <w:link w:val="Header"/>
    <w:uiPriority w:val="99"/>
    <w:semiHidden/>
    <w:rsid w:val="004469D4"/>
    <w:rPr>
      <w:rFonts w:ascii="Arial" w:hAnsi="Arial" w:cs="Arial"/>
    </w:rPr>
  </w:style>
  <w:style w:type="paragraph" w:styleId="Footer">
    <w:name w:val="footer"/>
    <w:basedOn w:val="Normal"/>
    <w:link w:val="FooterChar"/>
    <w:uiPriority w:val="99"/>
    <w:semiHidden/>
    <w:rsid w:val="0038215E"/>
    <w:pPr>
      <w:spacing w:line="200" w:lineRule="atLeast"/>
    </w:pPr>
    <w:rPr>
      <w:sz w:val="14"/>
      <w:szCs w:val="14"/>
    </w:rPr>
  </w:style>
  <w:style w:type="character" w:customStyle="1" w:styleId="FooterChar">
    <w:name w:val="Footer Char"/>
    <w:basedOn w:val="DefaultParagraphFont"/>
    <w:link w:val="Footer"/>
    <w:uiPriority w:val="99"/>
    <w:semiHidden/>
    <w:rsid w:val="004469D4"/>
    <w:rPr>
      <w:rFonts w:ascii="Arial" w:hAnsi="Arial" w:cs="Arial"/>
    </w:rPr>
  </w:style>
  <w:style w:type="paragraph" w:styleId="TOC1">
    <w:name w:val="toc 1"/>
    <w:basedOn w:val="Normal"/>
    <w:autoRedefine/>
    <w:uiPriority w:val="99"/>
    <w:semiHidden/>
    <w:rsid w:val="0038215E"/>
    <w:pPr>
      <w:tabs>
        <w:tab w:val="clear" w:pos="1304"/>
        <w:tab w:val="clear" w:pos="2608"/>
        <w:tab w:val="clear" w:pos="3912"/>
        <w:tab w:val="left" w:pos="340"/>
        <w:tab w:val="left" w:pos="680"/>
        <w:tab w:val="left" w:pos="1021"/>
        <w:tab w:val="right" w:leader="dot" w:pos="9072"/>
      </w:tabs>
      <w:spacing w:line="360" w:lineRule="auto"/>
    </w:pPr>
    <w:rPr>
      <w:noProof/>
    </w:rPr>
  </w:style>
  <w:style w:type="paragraph" w:styleId="ListNumber">
    <w:name w:val="List Number"/>
    <w:basedOn w:val="BodyText"/>
    <w:uiPriority w:val="99"/>
    <w:semiHidden/>
    <w:rsid w:val="0038215E"/>
    <w:pPr>
      <w:tabs>
        <w:tab w:val="clear" w:pos="1247"/>
        <w:tab w:val="clear" w:pos="2495"/>
        <w:tab w:val="clear" w:pos="3742"/>
        <w:tab w:val="clear" w:pos="4990"/>
        <w:tab w:val="left" w:pos="340"/>
        <w:tab w:val="left" w:pos="680"/>
        <w:tab w:val="left" w:pos="1021"/>
        <w:tab w:val="left" w:pos="1361"/>
        <w:tab w:val="left" w:pos="1701"/>
        <w:tab w:val="left" w:pos="2325"/>
        <w:tab w:val="left" w:pos="2665"/>
        <w:tab w:val="left" w:pos="3005"/>
        <w:tab w:val="left" w:pos="3345"/>
        <w:tab w:val="left" w:pos="3686"/>
      </w:tabs>
      <w:ind w:left="340" w:hanging="340"/>
    </w:pPr>
  </w:style>
  <w:style w:type="paragraph" w:styleId="ListBullet">
    <w:name w:val="List Bullet"/>
    <w:basedOn w:val="BodyText"/>
    <w:autoRedefine/>
    <w:uiPriority w:val="99"/>
    <w:semiHidden/>
    <w:rsid w:val="0038215E"/>
    <w:pPr>
      <w:tabs>
        <w:tab w:val="clear" w:pos="1247"/>
        <w:tab w:val="clear" w:pos="2495"/>
        <w:tab w:val="clear" w:pos="3742"/>
        <w:tab w:val="clear" w:pos="4990"/>
        <w:tab w:val="left" w:pos="340"/>
        <w:tab w:val="left" w:pos="680"/>
        <w:tab w:val="left" w:pos="1021"/>
        <w:tab w:val="left" w:pos="1361"/>
        <w:tab w:val="left" w:pos="1701"/>
        <w:tab w:val="left" w:pos="1985"/>
        <w:tab w:val="left" w:pos="2325"/>
        <w:tab w:val="left" w:pos="2665"/>
        <w:tab w:val="left" w:pos="3005"/>
        <w:tab w:val="left" w:pos="3345"/>
        <w:tab w:val="left" w:pos="3686"/>
      </w:tabs>
      <w:ind w:left="340" w:hanging="340"/>
    </w:pPr>
  </w:style>
  <w:style w:type="paragraph" w:styleId="BodyText">
    <w:name w:val="Body Text"/>
    <w:basedOn w:val="Normal"/>
    <w:link w:val="BodyTextChar"/>
    <w:uiPriority w:val="99"/>
    <w:semiHidden/>
    <w:rsid w:val="0038215E"/>
    <w:pPr>
      <w:tabs>
        <w:tab w:val="clear" w:pos="1304"/>
        <w:tab w:val="clear" w:pos="2608"/>
        <w:tab w:val="clear" w:pos="3912"/>
        <w:tab w:val="left" w:pos="1247"/>
        <w:tab w:val="left" w:pos="2495"/>
        <w:tab w:val="left" w:pos="3742"/>
        <w:tab w:val="left" w:pos="4990"/>
      </w:tabs>
      <w:spacing w:line="360" w:lineRule="auto"/>
    </w:pPr>
  </w:style>
  <w:style w:type="character" w:customStyle="1" w:styleId="BodyTextChar">
    <w:name w:val="Body Text Char"/>
    <w:basedOn w:val="DefaultParagraphFont"/>
    <w:link w:val="BodyText"/>
    <w:uiPriority w:val="99"/>
    <w:semiHidden/>
    <w:rsid w:val="004469D4"/>
    <w:rPr>
      <w:rFonts w:ascii="Arial" w:hAnsi="Arial" w:cs="Arial"/>
    </w:rPr>
  </w:style>
  <w:style w:type="paragraph" w:styleId="Title">
    <w:name w:val="Title"/>
    <w:basedOn w:val="Normal"/>
    <w:next w:val="BodyText"/>
    <w:link w:val="TitleChar"/>
    <w:uiPriority w:val="99"/>
    <w:qFormat/>
    <w:rsid w:val="0038215E"/>
    <w:pPr>
      <w:tabs>
        <w:tab w:val="clear" w:pos="2608"/>
        <w:tab w:val="clear" w:pos="3912"/>
      </w:tabs>
      <w:spacing w:before="240" w:after="240"/>
      <w:outlineLvl w:val="0"/>
    </w:pPr>
    <w:rPr>
      <w:b/>
      <w:bCs/>
      <w:kern w:val="28"/>
      <w:sz w:val="28"/>
      <w:szCs w:val="28"/>
    </w:rPr>
  </w:style>
  <w:style w:type="character" w:customStyle="1" w:styleId="TitleChar">
    <w:name w:val="Title Char"/>
    <w:basedOn w:val="DefaultParagraphFont"/>
    <w:link w:val="Title"/>
    <w:uiPriority w:val="10"/>
    <w:rsid w:val="004469D4"/>
    <w:rPr>
      <w:rFonts w:asciiTheme="majorHAnsi" w:eastAsiaTheme="majorEastAsia" w:hAnsiTheme="majorHAnsi" w:cstheme="majorBidi"/>
      <w:b/>
      <w:bCs/>
      <w:kern w:val="28"/>
      <w:sz w:val="32"/>
      <w:szCs w:val="32"/>
    </w:rPr>
  </w:style>
  <w:style w:type="paragraph" w:styleId="ListNumber2">
    <w:name w:val="List Number 2"/>
    <w:basedOn w:val="ListBullet"/>
    <w:uiPriority w:val="99"/>
    <w:semiHidden/>
    <w:rsid w:val="0038215E"/>
    <w:pPr>
      <w:tabs>
        <w:tab w:val="clear" w:pos="1985"/>
        <w:tab w:val="clear" w:pos="2325"/>
        <w:tab w:val="num" w:pos="643"/>
      </w:tabs>
      <w:ind w:left="680" w:hanging="360"/>
    </w:pPr>
  </w:style>
  <w:style w:type="paragraph" w:styleId="ListNumber3">
    <w:name w:val="List Number 3"/>
    <w:basedOn w:val="ListBullet"/>
    <w:uiPriority w:val="99"/>
    <w:semiHidden/>
    <w:rsid w:val="0038215E"/>
    <w:pPr>
      <w:tabs>
        <w:tab w:val="clear" w:pos="1985"/>
        <w:tab w:val="clear" w:pos="2325"/>
        <w:tab w:val="clear" w:pos="2665"/>
        <w:tab w:val="num" w:pos="926"/>
      </w:tabs>
      <w:ind w:left="1020" w:hanging="360"/>
    </w:pPr>
  </w:style>
  <w:style w:type="paragraph" w:styleId="ListBullet3">
    <w:name w:val="List Bullet 3"/>
    <w:basedOn w:val="ListBullet"/>
    <w:autoRedefine/>
    <w:uiPriority w:val="99"/>
    <w:semiHidden/>
    <w:rsid w:val="0038215E"/>
    <w:pPr>
      <w:tabs>
        <w:tab w:val="clear" w:pos="1985"/>
        <w:tab w:val="clear" w:pos="2325"/>
        <w:tab w:val="num" w:pos="926"/>
      </w:tabs>
      <w:ind w:left="1020" w:hanging="360"/>
    </w:pPr>
  </w:style>
  <w:style w:type="paragraph" w:styleId="ListBullet2">
    <w:name w:val="List Bullet 2"/>
    <w:basedOn w:val="ListBullet"/>
    <w:autoRedefine/>
    <w:uiPriority w:val="99"/>
    <w:semiHidden/>
    <w:rsid w:val="0038215E"/>
    <w:pPr>
      <w:tabs>
        <w:tab w:val="clear" w:pos="1985"/>
        <w:tab w:val="num" w:pos="643"/>
      </w:tabs>
      <w:ind w:left="680" w:hanging="360"/>
    </w:pPr>
  </w:style>
  <w:style w:type="paragraph" w:styleId="TOC2">
    <w:name w:val="toc 2"/>
    <w:basedOn w:val="TOC1"/>
    <w:next w:val="BodyTextIndent2"/>
    <w:autoRedefine/>
    <w:uiPriority w:val="99"/>
    <w:semiHidden/>
    <w:rsid w:val="0038215E"/>
    <w:pPr>
      <w:tabs>
        <w:tab w:val="left" w:pos="1361"/>
      </w:tabs>
      <w:ind w:left="340"/>
    </w:pPr>
  </w:style>
  <w:style w:type="paragraph" w:styleId="TOC3">
    <w:name w:val="toc 3"/>
    <w:basedOn w:val="TOC1"/>
    <w:next w:val="BodyTextIndent3"/>
    <w:autoRedefine/>
    <w:uiPriority w:val="99"/>
    <w:semiHidden/>
    <w:rsid w:val="0038215E"/>
    <w:pPr>
      <w:tabs>
        <w:tab w:val="left" w:pos="1361"/>
      </w:tabs>
      <w:ind w:left="680"/>
    </w:pPr>
  </w:style>
  <w:style w:type="paragraph" w:styleId="TOC4">
    <w:name w:val="toc 4"/>
    <w:basedOn w:val="Normal"/>
    <w:next w:val="Normal"/>
    <w:autoRedefine/>
    <w:uiPriority w:val="99"/>
    <w:semiHidden/>
    <w:rsid w:val="0038215E"/>
    <w:pPr>
      <w:tabs>
        <w:tab w:val="clear" w:pos="1304"/>
        <w:tab w:val="clear" w:pos="2608"/>
        <w:tab w:val="clear" w:pos="3912"/>
      </w:tabs>
      <w:ind w:left="660"/>
    </w:pPr>
  </w:style>
  <w:style w:type="paragraph" w:styleId="TOC5">
    <w:name w:val="toc 5"/>
    <w:basedOn w:val="Normal"/>
    <w:next w:val="Normal"/>
    <w:autoRedefine/>
    <w:uiPriority w:val="99"/>
    <w:semiHidden/>
    <w:rsid w:val="0038215E"/>
    <w:pPr>
      <w:tabs>
        <w:tab w:val="clear" w:pos="1304"/>
        <w:tab w:val="clear" w:pos="2608"/>
        <w:tab w:val="clear" w:pos="3912"/>
      </w:tabs>
      <w:ind w:left="880"/>
    </w:pPr>
  </w:style>
  <w:style w:type="paragraph" w:styleId="TOC6">
    <w:name w:val="toc 6"/>
    <w:basedOn w:val="Normal"/>
    <w:next w:val="Normal"/>
    <w:autoRedefine/>
    <w:uiPriority w:val="99"/>
    <w:semiHidden/>
    <w:rsid w:val="0038215E"/>
    <w:pPr>
      <w:tabs>
        <w:tab w:val="clear" w:pos="1304"/>
        <w:tab w:val="clear" w:pos="2608"/>
        <w:tab w:val="clear" w:pos="3912"/>
      </w:tabs>
      <w:ind w:left="1100"/>
    </w:pPr>
  </w:style>
  <w:style w:type="paragraph" w:styleId="TOC7">
    <w:name w:val="toc 7"/>
    <w:basedOn w:val="Normal"/>
    <w:next w:val="Normal"/>
    <w:autoRedefine/>
    <w:uiPriority w:val="99"/>
    <w:semiHidden/>
    <w:rsid w:val="0038215E"/>
    <w:pPr>
      <w:tabs>
        <w:tab w:val="clear" w:pos="1304"/>
        <w:tab w:val="clear" w:pos="2608"/>
        <w:tab w:val="clear" w:pos="3912"/>
      </w:tabs>
      <w:ind w:left="1320"/>
    </w:pPr>
  </w:style>
  <w:style w:type="paragraph" w:styleId="TOC8">
    <w:name w:val="toc 8"/>
    <w:basedOn w:val="Normal"/>
    <w:next w:val="Normal"/>
    <w:autoRedefine/>
    <w:uiPriority w:val="99"/>
    <w:semiHidden/>
    <w:rsid w:val="0038215E"/>
    <w:pPr>
      <w:tabs>
        <w:tab w:val="clear" w:pos="1304"/>
        <w:tab w:val="clear" w:pos="2608"/>
        <w:tab w:val="clear" w:pos="3912"/>
      </w:tabs>
      <w:ind w:left="1540"/>
    </w:pPr>
  </w:style>
  <w:style w:type="paragraph" w:styleId="TOC9">
    <w:name w:val="toc 9"/>
    <w:basedOn w:val="Normal"/>
    <w:next w:val="Normal"/>
    <w:autoRedefine/>
    <w:uiPriority w:val="99"/>
    <w:semiHidden/>
    <w:rsid w:val="0038215E"/>
    <w:pPr>
      <w:tabs>
        <w:tab w:val="clear" w:pos="1304"/>
        <w:tab w:val="clear" w:pos="2608"/>
        <w:tab w:val="clear" w:pos="3912"/>
      </w:tabs>
      <w:ind w:left="1760"/>
    </w:pPr>
  </w:style>
  <w:style w:type="paragraph" w:customStyle="1" w:styleId="LLKappalejako">
    <w:name w:val="LLKappalejako"/>
    <w:basedOn w:val="Normal"/>
    <w:next w:val="Normal"/>
    <w:uiPriority w:val="99"/>
    <w:rsid w:val="0038215E"/>
    <w:pPr>
      <w:tabs>
        <w:tab w:val="clear" w:pos="1304"/>
        <w:tab w:val="clear" w:pos="2608"/>
        <w:tab w:val="clear" w:pos="3912"/>
      </w:tabs>
      <w:autoSpaceDE w:val="0"/>
      <w:autoSpaceDN w:val="0"/>
      <w:adjustRightInd w:val="0"/>
      <w:spacing w:line="240" w:lineRule="auto"/>
    </w:pPr>
    <w:rPr>
      <w:sz w:val="24"/>
      <w:szCs w:val="24"/>
    </w:rPr>
  </w:style>
  <w:style w:type="paragraph" w:styleId="BodyTextIndent2">
    <w:name w:val="Body Text Indent 2"/>
    <w:basedOn w:val="Normal"/>
    <w:link w:val="BodyTextIndent2Char"/>
    <w:uiPriority w:val="99"/>
    <w:semiHidden/>
    <w:rsid w:val="0038215E"/>
    <w:pPr>
      <w:spacing w:line="360" w:lineRule="auto"/>
      <w:ind w:left="284"/>
    </w:pPr>
  </w:style>
  <w:style w:type="character" w:customStyle="1" w:styleId="BodyTextIndent2Char">
    <w:name w:val="Body Text Indent 2 Char"/>
    <w:basedOn w:val="DefaultParagraphFont"/>
    <w:link w:val="BodyTextIndent2"/>
    <w:uiPriority w:val="99"/>
    <w:semiHidden/>
    <w:rsid w:val="004469D4"/>
    <w:rPr>
      <w:rFonts w:ascii="Arial" w:hAnsi="Arial" w:cs="Arial"/>
    </w:rPr>
  </w:style>
  <w:style w:type="paragraph" w:styleId="BodyTextIndent3">
    <w:name w:val="Body Text Indent 3"/>
    <w:basedOn w:val="Normal"/>
    <w:link w:val="BodyTextIndent3Char"/>
    <w:uiPriority w:val="99"/>
    <w:semiHidden/>
    <w:rsid w:val="0038215E"/>
    <w:pPr>
      <w:ind w:left="284"/>
    </w:pPr>
    <w:rPr>
      <w:sz w:val="16"/>
      <w:szCs w:val="16"/>
    </w:rPr>
  </w:style>
  <w:style w:type="character" w:customStyle="1" w:styleId="BodyTextIndent3Char">
    <w:name w:val="Body Text Indent 3 Char"/>
    <w:basedOn w:val="DefaultParagraphFont"/>
    <w:link w:val="BodyTextIndent3"/>
    <w:uiPriority w:val="99"/>
    <w:semiHidden/>
    <w:rsid w:val="004469D4"/>
    <w:rPr>
      <w:rFonts w:ascii="Arial" w:hAnsi="Arial" w:cs="Arial"/>
      <w:sz w:val="16"/>
      <w:szCs w:val="16"/>
    </w:rPr>
  </w:style>
  <w:style w:type="character" w:styleId="PageNumber">
    <w:name w:val="page number"/>
    <w:basedOn w:val="DefaultParagraphFont"/>
    <w:uiPriority w:val="99"/>
    <w:semiHidden/>
    <w:rsid w:val="0038215E"/>
    <w:rPr>
      <w:rFonts w:cs="Times New Roman"/>
    </w:rPr>
  </w:style>
  <w:style w:type="character" w:styleId="Hyperlink">
    <w:name w:val="Hyperlink"/>
    <w:basedOn w:val="DefaultParagraphFont"/>
    <w:uiPriority w:val="99"/>
    <w:semiHidden/>
    <w:rsid w:val="0038215E"/>
    <w:rPr>
      <w:rFonts w:cs="Times New Roman"/>
      <w:color w:val="0000FF"/>
      <w:u w:val="single"/>
    </w:rPr>
  </w:style>
  <w:style w:type="paragraph" w:styleId="FootnoteText">
    <w:name w:val="footnote text"/>
    <w:basedOn w:val="Normal"/>
    <w:link w:val="FootnoteTextChar"/>
    <w:uiPriority w:val="99"/>
    <w:semiHidden/>
    <w:rsid w:val="0038215E"/>
    <w:rPr>
      <w:sz w:val="20"/>
      <w:szCs w:val="20"/>
    </w:rPr>
  </w:style>
  <w:style w:type="character" w:customStyle="1" w:styleId="FootnoteTextChar">
    <w:name w:val="Footnote Text Char"/>
    <w:basedOn w:val="DefaultParagraphFont"/>
    <w:link w:val="FootnoteText"/>
    <w:uiPriority w:val="99"/>
    <w:semiHidden/>
    <w:rsid w:val="004469D4"/>
    <w:rPr>
      <w:rFonts w:ascii="Arial" w:hAnsi="Arial" w:cs="Arial"/>
      <w:sz w:val="20"/>
      <w:szCs w:val="20"/>
    </w:rPr>
  </w:style>
  <w:style w:type="character" w:styleId="FootnoteReference">
    <w:name w:val="footnote reference"/>
    <w:basedOn w:val="DefaultParagraphFont"/>
    <w:uiPriority w:val="99"/>
    <w:semiHidden/>
    <w:rsid w:val="0038215E"/>
    <w:rPr>
      <w:rFonts w:cs="Times New Roman"/>
      <w:vertAlign w:val="superscript"/>
    </w:rPr>
  </w:style>
  <w:style w:type="paragraph" w:styleId="BalloonText">
    <w:name w:val="Balloon Text"/>
    <w:basedOn w:val="Normal"/>
    <w:link w:val="BalloonTextChar"/>
    <w:uiPriority w:val="99"/>
    <w:semiHidden/>
    <w:rsid w:val="00395D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keusministerio@om.f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882</Words>
  <Characters>7149</Characters>
  <Application>Microsoft Office Outlook</Application>
  <DocSecurity>0</DocSecurity>
  <Lines>0</Lines>
  <Paragraphs>0</Paragraphs>
  <ScaleCrop>false</ScaleCrop>
  <Company>Teosto 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Oy Yritys Ab</dc:title>
  <dc:subject/>
  <dc:creator>PixelPress Oy</dc:creator>
  <cp:keywords/>
  <dc:description/>
  <cp:lastModifiedBy>Irene Luomala</cp:lastModifiedBy>
  <cp:revision>2</cp:revision>
  <cp:lastPrinted>2010-05-11T12:40:00Z</cp:lastPrinted>
  <dcterms:created xsi:type="dcterms:W3CDTF">2010-05-11T12:41:00Z</dcterms:created>
  <dcterms:modified xsi:type="dcterms:W3CDTF">2010-05-11T12:41:00Z</dcterms:modified>
</cp:coreProperties>
</file>