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72" w:rsidRDefault="00E63E72" w:rsidP="00E373F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30.10.2009</w:t>
      </w:r>
    </w:p>
    <w:p w:rsidR="00E63E72" w:rsidRDefault="00E63E72" w:rsidP="00E373F2">
      <w:pPr>
        <w:rPr>
          <w:rFonts w:ascii="Arial" w:hAnsi="Arial" w:cs="Arial"/>
        </w:rPr>
      </w:pPr>
    </w:p>
    <w:p w:rsidR="00E373F2" w:rsidRDefault="00E373F2" w:rsidP="00E373F2">
      <w:pPr>
        <w:rPr>
          <w:rFonts w:ascii="Arial" w:hAnsi="Arial" w:cs="Arial"/>
        </w:rPr>
      </w:pPr>
      <w:r>
        <w:rPr>
          <w:rFonts w:ascii="Arial" w:hAnsi="Arial" w:cs="Arial"/>
        </w:rPr>
        <w:t>Oikeusministeriön IPR-riita-asioiden keskittämistä käsittelevä työryhmä</w:t>
      </w:r>
      <w:r>
        <w:rPr>
          <w:rFonts w:ascii="Arial" w:hAnsi="Arial" w:cs="Arial"/>
        </w:rPr>
        <w:tab/>
      </w:r>
      <w:r>
        <w:rPr>
          <w:rFonts w:ascii="Arial" w:hAnsi="Arial" w:cs="Arial"/>
        </w:rPr>
        <w:tab/>
      </w:r>
    </w:p>
    <w:p w:rsidR="00E373F2" w:rsidRDefault="00E373F2" w:rsidP="00E373F2">
      <w:pPr>
        <w:rPr>
          <w:rFonts w:ascii="Arial" w:hAnsi="Arial" w:cs="Arial"/>
        </w:rPr>
      </w:pPr>
    </w:p>
    <w:p w:rsidR="00E373F2" w:rsidRPr="00194EC5" w:rsidRDefault="00E373F2" w:rsidP="00E373F2">
      <w:pPr>
        <w:rPr>
          <w:rFonts w:ascii="Arial" w:hAnsi="Arial" w:cs="Arial"/>
        </w:rPr>
      </w:pPr>
      <w:r w:rsidRPr="00194EC5">
        <w:rPr>
          <w:rFonts w:ascii="Arial" w:hAnsi="Arial" w:cs="Arial"/>
        </w:rPr>
        <w:t>Asia: Muutoksenhaku markkinaoikeuden päätöksiin immateriaalioikeudellisten riita-asioiden osalta</w:t>
      </w:r>
    </w:p>
    <w:p w:rsidR="00E373F2" w:rsidRDefault="00E373F2" w:rsidP="00E373F2">
      <w:pPr>
        <w:rPr>
          <w:rFonts w:ascii="Arial" w:hAnsi="Arial" w:cs="Arial"/>
        </w:rPr>
      </w:pPr>
    </w:p>
    <w:p w:rsidR="00E373F2" w:rsidRDefault="00E373F2" w:rsidP="00E373F2">
      <w:pPr>
        <w:rPr>
          <w:rFonts w:ascii="Arial" w:hAnsi="Arial" w:cs="Arial"/>
        </w:rPr>
      </w:pPr>
      <w:r>
        <w:rPr>
          <w:rFonts w:ascii="Arial" w:hAnsi="Arial" w:cs="Arial"/>
        </w:rPr>
        <w:t>Keskuskauppakamari lausuu muutoksenhakuasioiden osalta seuraavan:</w:t>
      </w:r>
    </w:p>
    <w:p w:rsidR="00E373F2" w:rsidRPr="001E45E2" w:rsidRDefault="00E373F2" w:rsidP="00E373F2">
      <w:pPr>
        <w:rPr>
          <w:rFonts w:ascii="Arial" w:hAnsi="Arial" w:cs="Arial"/>
        </w:rPr>
      </w:pPr>
      <w:r w:rsidRPr="001E45E2">
        <w:rPr>
          <w:rFonts w:ascii="Arial" w:hAnsi="Arial" w:cs="Arial"/>
        </w:rPr>
        <w:t xml:space="preserve">Muutoksenhaku markkinaoikeuden päätöksiin immateriaalioikeudellisissa riita-asioissa on järjestettävä siten, että </w:t>
      </w:r>
      <w:r w:rsidRPr="00D728EA">
        <w:rPr>
          <w:rFonts w:ascii="Arial" w:hAnsi="Arial" w:cs="Arial"/>
          <w:i/>
        </w:rPr>
        <w:t>markkinaoikeuden päätöksestä voi valittaa korkeimpaan oikeuteen</w:t>
      </w:r>
      <w:r>
        <w:rPr>
          <w:rFonts w:ascii="Arial" w:hAnsi="Arial" w:cs="Arial"/>
          <w:i/>
        </w:rPr>
        <w:t>,</w:t>
      </w:r>
      <w:r w:rsidRPr="00D728EA">
        <w:rPr>
          <w:rFonts w:ascii="Arial" w:hAnsi="Arial" w:cs="Arial"/>
          <w:i/>
        </w:rPr>
        <w:t xml:space="preserve"> jos korkein oikeus myöntää valitusluvan.</w:t>
      </w:r>
    </w:p>
    <w:p w:rsidR="00E373F2" w:rsidRDefault="00E373F2" w:rsidP="00E373F2">
      <w:pPr>
        <w:rPr>
          <w:rFonts w:ascii="Arial" w:hAnsi="Arial" w:cs="Arial"/>
        </w:rPr>
      </w:pPr>
      <w:r w:rsidRPr="001E45E2">
        <w:rPr>
          <w:rFonts w:ascii="Arial" w:hAnsi="Arial" w:cs="Arial"/>
        </w:rPr>
        <w:t xml:space="preserve">Tällöin muutoksenhakumenettely olisi sama kuin muutoksenhaku markkinaoikeudellisissa asioissa, laki eräiden markkinaoikeudellisten asioiden käsittelystä 28.12.2001 /1528. </w:t>
      </w:r>
      <w:r>
        <w:rPr>
          <w:rFonts w:ascii="Arial" w:hAnsi="Arial" w:cs="Arial"/>
        </w:rPr>
        <w:t xml:space="preserve">Käsityksemme mukaan tämä </w:t>
      </w:r>
      <w:r w:rsidRPr="00E5624F">
        <w:rPr>
          <w:rFonts w:ascii="Arial" w:hAnsi="Arial" w:cs="Arial"/>
        </w:rPr>
        <w:t xml:space="preserve">muutoksenhakumenettely on toiminut hyvin. </w:t>
      </w:r>
    </w:p>
    <w:p w:rsidR="00D15267" w:rsidRPr="00E5624F" w:rsidRDefault="00D15267" w:rsidP="00E373F2">
      <w:pPr>
        <w:rPr>
          <w:rFonts w:ascii="Arial" w:hAnsi="Arial" w:cs="Arial"/>
        </w:rPr>
      </w:pPr>
    </w:p>
    <w:p w:rsidR="00E373F2" w:rsidRPr="00E5624F" w:rsidRDefault="00E373F2" w:rsidP="00E373F2">
      <w:pPr>
        <w:shd w:val="clear" w:color="auto" w:fill="FFFFFF"/>
        <w:outlineLvl w:val="3"/>
        <w:rPr>
          <w:rFonts w:ascii="Arial" w:eastAsia="Times New Roman" w:hAnsi="Arial" w:cs="Arial"/>
          <w:bCs/>
          <w:color w:val="000000" w:themeColor="text1"/>
          <w:lang w:eastAsia="fi-FI"/>
        </w:rPr>
      </w:pPr>
      <w:r w:rsidRPr="00E5624F">
        <w:rPr>
          <w:rFonts w:ascii="Arial" w:hAnsi="Arial" w:cs="Arial"/>
        </w:rPr>
        <w:tab/>
      </w:r>
      <w:bookmarkStart w:id="0" w:name="P21"/>
      <w:r w:rsidR="00D267CA" w:rsidRPr="00E5624F">
        <w:rPr>
          <w:rFonts w:ascii="Arial" w:eastAsia="Times New Roman" w:hAnsi="Arial" w:cs="Arial"/>
          <w:bCs/>
          <w:color w:val="000000" w:themeColor="text1"/>
          <w:lang w:eastAsia="fi-FI"/>
        </w:rPr>
        <w:fldChar w:fldCharType="begin"/>
      </w:r>
      <w:r w:rsidRPr="00E5624F">
        <w:rPr>
          <w:rFonts w:ascii="Arial" w:eastAsia="Times New Roman" w:hAnsi="Arial" w:cs="Arial"/>
          <w:bCs/>
          <w:color w:val="000000" w:themeColor="text1"/>
          <w:lang w:eastAsia="fi-FI"/>
        </w:rPr>
        <w:instrText xml:space="preserve"> HYPERLINK "http://www.edilex.fi/content/saadokset/lainsaadanto/20011528/P21/" \l "L4" \o "Voimaantulosäännös" </w:instrText>
      </w:r>
      <w:r w:rsidR="00D267CA" w:rsidRPr="00E5624F">
        <w:rPr>
          <w:rFonts w:ascii="Arial" w:eastAsia="Times New Roman" w:hAnsi="Arial" w:cs="Arial"/>
          <w:bCs/>
          <w:color w:val="000000" w:themeColor="text1"/>
          <w:lang w:eastAsia="fi-FI"/>
        </w:rPr>
        <w:fldChar w:fldCharType="separate"/>
      </w:r>
      <w:r w:rsidRPr="00E5624F">
        <w:rPr>
          <w:rFonts w:ascii="Arial" w:eastAsia="Times New Roman" w:hAnsi="Arial" w:cs="Arial"/>
          <w:bCs/>
          <w:color w:val="000000" w:themeColor="text1"/>
          <w:lang w:eastAsia="fi-FI"/>
        </w:rPr>
        <w:t>21 §</w:t>
      </w:r>
      <w:r w:rsidR="00D267CA" w:rsidRPr="00E5624F">
        <w:rPr>
          <w:rFonts w:ascii="Arial" w:eastAsia="Times New Roman" w:hAnsi="Arial" w:cs="Arial"/>
          <w:bCs/>
          <w:color w:val="000000" w:themeColor="text1"/>
          <w:lang w:eastAsia="fi-FI"/>
        </w:rPr>
        <w:fldChar w:fldCharType="end"/>
      </w:r>
      <w:bookmarkEnd w:id="0"/>
    </w:p>
    <w:p w:rsidR="00E373F2" w:rsidRPr="00E5624F" w:rsidRDefault="00E373F2" w:rsidP="00E373F2">
      <w:pPr>
        <w:shd w:val="clear" w:color="auto" w:fill="FFFFFF"/>
        <w:spacing w:before="100" w:beforeAutospacing="1" w:after="100" w:afterAutospacing="1" w:line="240" w:lineRule="auto"/>
        <w:ind w:left="1304"/>
        <w:outlineLvl w:val="3"/>
        <w:rPr>
          <w:rFonts w:ascii="Arial" w:eastAsia="Times New Roman" w:hAnsi="Arial" w:cs="Arial"/>
          <w:bCs/>
          <w:color w:val="000000" w:themeColor="text1"/>
          <w:lang w:eastAsia="fi-FI"/>
        </w:rPr>
      </w:pPr>
      <w:r w:rsidRPr="00E5624F">
        <w:rPr>
          <w:rFonts w:ascii="Arial" w:eastAsia="Times New Roman" w:hAnsi="Arial" w:cs="Arial"/>
          <w:bCs/>
          <w:color w:val="000000" w:themeColor="text1"/>
          <w:lang w:eastAsia="fi-FI"/>
        </w:rPr>
        <w:t>Muutoksenhaku</w:t>
      </w:r>
    </w:p>
    <w:p w:rsidR="00E373F2" w:rsidRPr="001E45E2" w:rsidRDefault="00E373F2" w:rsidP="00E373F2">
      <w:pPr>
        <w:shd w:val="clear" w:color="auto" w:fill="FFFFFF"/>
        <w:spacing w:before="100" w:beforeAutospacing="1" w:after="100" w:afterAutospacing="1" w:line="240" w:lineRule="auto"/>
        <w:ind w:left="1304"/>
        <w:rPr>
          <w:rFonts w:ascii="Arial" w:eastAsia="Times New Roman" w:hAnsi="Arial" w:cs="Arial"/>
          <w:color w:val="000000" w:themeColor="text1"/>
          <w:lang w:eastAsia="fi-FI"/>
        </w:rPr>
      </w:pPr>
      <w:r w:rsidRPr="001E45E2">
        <w:rPr>
          <w:rFonts w:ascii="Arial" w:eastAsia="Times New Roman" w:hAnsi="Arial" w:cs="Arial"/>
          <w:color w:val="000000" w:themeColor="text1"/>
          <w:lang w:eastAsia="fi-FI"/>
        </w:rPr>
        <w:t xml:space="preserve">Markkinaoikeuden päätökseen saa hakea muutosta valittamalla korkeimpaan oikeuteen, jos korkein oikeus </w:t>
      </w:r>
      <w:hyperlink r:id="rId7" w:tgtFrame="_top" w:tooltip="Ajantasainen säädös" w:history="1">
        <w:r w:rsidRPr="001E45E2">
          <w:rPr>
            <w:rFonts w:ascii="Arial" w:eastAsia="Times New Roman" w:hAnsi="Arial" w:cs="Arial"/>
            <w:color w:val="000000" w:themeColor="text1"/>
            <w:lang w:eastAsia="fi-FI"/>
          </w:rPr>
          <w:t>oikeudenkäymiskaaren 30 luvun 3 §:n</w:t>
        </w:r>
      </w:hyperlink>
      <w:r w:rsidRPr="001E45E2">
        <w:rPr>
          <w:rFonts w:ascii="Arial" w:eastAsia="Times New Roman" w:hAnsi="Arial" w:cs="Arial"/>
          <w:color w:val="000000" w:themeColor="text1"/>
          <w:lang w:eastAsia="fi-FI"/>
        </w:rPr>
        <w:t xml:space="preserve"> nojalla myöntää valitusluvan.</w:t>
      </w:r>
    </w:p>
    <w:p w:rsidR="00E373F2" w:rsidRPr="001E45E2" w:rsidRDefault="00E373F2" w:rsidP="00E373F2">
      <w:pPr>
        <w:shd w:val="clear" w:color="auto" w:fill="FFFFFF"/>
        <w:spacing w:before="100" w:beforeAutospacing="1" w:after="100" w:afterAutospacing="1" w:line="240" w:lineRule="auto"/>
        <w:ind w:left="1304"/>
        <w:rPr>
          <w:rFonts w:ascii="Arial" w:eastAsia="Times New Roman" w:hAnsi="Arial" w:cs="Arial"/>
          <w:color w:val="000000" w:themeColor="text1"/>
          <w:lang w:eastAsia="fi-FI"/>
        </w:rPr>
      </w:pPr>
      <w:r w:rsidRPr="001E45E2">
        <w:rPr>
          <w:rFonts w:ascii="Arial" w:eastAsia="Times New Roman" w:hAnsi="Arial" w:cs="Arial"/>
          <w:color w:val="000000" w:themeColor="text1"/>
          <w:lang w:eastAsia="fi-FI"/>
        </w:rPr>
        <w:t xml:space="preserve">Muutoksenhakukirjelmä, johon on sisällytettävä lupahakemus ja valitus, on yhdessä markkinaoikeuden päätöksen kanssa toimitettava markkinaoikeuden kirjaamoon. Menettelyyn valituslupaa haettaessa ja asiaa käsiteltäessä sovelletaan muutoin </w:t>
      </w:r>
      <w:hyperlink r:id="rId8" w:tgtFrame="_top" w:tooltip="Ajantasainen säädös" w:history="1">
        <w:r w:rsidRPr="001E45E2">
          <w:rPr>
            <w:rFonts w:ascii="Arial" w:eastAsia="Times New Roman" w:hAnsi="Arial" w:cs="Arial"/>
            <w:color w:val="000000" w:themeColor="text1"/>
            <w:lang w:eastAsia="fi-FI"/>
          </w:rPr>
          <w:t>oikeudenkäymiskaaren 30 luvun</w:t>
        </w:r>
      </w:hyperlink>
      <w:r w:rsidRPr="001E45E2">
        <w:rPr>
          <w:rFonts w:ascii="Arial" w:eastAsia="Times New Roman" w:hAnsi="Arial" w:cs="Arial"/>
          <w:color w:val="000000" w:themeColor="text1"/>
          <w:lang w:eastAsia="fi-FI"/>
        </w:rPr>
        <w:t xml:space="preserve"> säännöksiä muutoksenhausta hovioikeuden toisena oikeusasteena käsittelemissä asioissa.</w:t>
      </w:r>
    </w:p>
    <w:p w:rsidR="00E373F2" w:rsidRPr="001E45E2" w:rsidRDefault="00E373F2" w:rsidP="00E373F2">
      <w:pPr>
        <w:shd w:val="clear" w:color="auto" w:fill="FFFFFF"/>
        <w:spacing w:before="100" w:beforeAutospacing="1" w:after="100" w:afterAutospacing="1" w:line="240" w:lineRule="auto"/>
        <w:ind w:left="1304"/>
        <w:rPr>
          <w:rFonts w:ascii="Arial" w:eastAsia="Times New Roman" w:hAnsi="Arial" w:cs="Arial"/>
          <w:color w:val="000000" w:themeColor="text1"/>
          <w:lang w:eastAsia="fi-FI"/>
        </w:rPr>
      </w:pPr>
      <w:r w:rsidRPr="001E45E2">
        <w:rPr>
          <w:rFonts w:ascii="Arial" w:eastAsia="Times New Roman" w:hAnsi="Arial" w:cs="Arial"/>
          <w:color w:val="000000" w:themeColor="text1"/>
          <w:lang w:eastAsia="fi-FI"/>
        </w:rPr>
        <w:t>Markkinaoikeuden päätös pannaan täytäntöön niin kuin lainvoimaisen tuomion täytäntöönpanosta säädetään. Korkein oikeus voi kuitenkin päättää, ettei päätöstä toistaiseksi saa panna täytäntöön tai ettei aloitettua täytäntöönpanoa saa jatkaa.</w:t>
      </w:r>
    </w:p>
    <w:p w:rsidR="00E373F2" w:rsidRDefault="00E373F2" w:rsidP="00E373F2">
      <w:pPr>
        <w:shd w:val="clear" w:color="auto" w:fill="FFFFFF"/>
        <w:spacing w:before="100" w:beforeAutospacing="1" w:after="100" w:afterAutospacing="1" w:line="240" w:lineRule="auto"/>
        <w:ind w:left="1304"/>
        <w:rPr>
          <w:rFonts w:ascii="Arial" w:eastAsia="Times New Roman" w:hAnsi="Arial" w:cs="Arial"/>
          <w:color w:val="000000" w:themeColor="text1"/>
          <w:lang w:eastAsia="fi-FI"/>
        </w:rPr>
      </w:pPr>
      <w:r w:rsidRPr="001E45E2">
        <w:rPr>
          <w:rFonts w:ascii="Arial" w:eastAsia="Times New Roman" w:hAnsi="Arial" w:cs="Arial"/>
          <w:color w:val="000000" w:themeColor="text1"/>
          <w:lang w:eastAsia="fi-FI"/>
        </w:rPr>
        <w:t xml:space="preserve">Ylimääräisessä muutoksenhaussa noudatetaan soveltuvin osin riita-asioita koskevia </w:t>
      </w:r>
      <w:hyperlink r:id="rId9" w:tgtFrame="_top" w:tooltip="Ajantasainen säädös" w:history="1">
        <w:r w:rsidRPr="001E45E2">
          <w:rPr>
            <w:rFonts w:ascii="Arial" w:eastAsia="Times New Roman" w:hAnsi="Arial" w:cs="Arial"/>
            <w:color w:val="000000" w:themeColor="text1"/>
            <w:lang w:eastAsia="fi-FI"/>
          </w:rPr>
          <w:t>oikeudenkäymiskaaren 31 luvun</w:t>
        </w:r>
      </w:hyperlink>
      <w:r w:rsidRPr="001E45E2">
        <w:rPr>
          <w:rFonts w:ascii="Arial" w:eastAsia="Times New Roman" w:hAnsi="Arial" w:cs="Arial"/>
          <w:color w:val="000000" w:themeColor="text1"/>
          <w:lang w:eastAsia="fi-FI"/>
        </w:rPr>
        <w:t xml:space="preserve"> säännöksiä kuitenkin niin, että myös kantelu on tehtävä korkeimpaan oikeuteen.</w:t>
      </w:r>
    </w:p>
    <w:p w:rsidR="00D15267" w:rsidRPr="001E45E2" w:rsidRDefault="00D15267" w:rsidP="00E373F2">
      <w:pPr>
        <w:shd w:val="clear" w:color="auto" w:fill="FFFFFF"/>
        <w:spacing w:before="100" w:beforeAutospacing="1" w:after="100" w:afterAutospacing="1" w:line="240" w:lineRule="auto"/>
        <w:ind w:left="1304"/>
        <w:rPr>
          <w:rFonts w:ascii="Arial" w:eastAsia="Times New Roman" w:hAnsi="Arial" w:cs="Arial"/>
          <w:color w:val="000000" w:themeColor="text1"/>
          <w:lang w:eastAsia="fi-FI"/>
        </w:rPr>
      </w:pPr>
    </w:p>
    <w:p w:rsidR="00E373F2" w:rsidRPr="001E45E2" w:rsidRDefault="00E373F2" w:rsidP="00E373F2">
      <w:pPr>
        <w:rPr>
          <w:rFonts w:ascii="Arial" w:hAnsi="Arial" w:cs="Arial"/>
        </w:rPr>
      </w:pPr>
      <w:r>
        <w:rPr>
          <w:rFonts w:ascii="Arial" w:hAnsi="Arial" w:cs="Arial"/>
        </w:rPr>
        <w:t>Eduskunnan l</w:t>
      </w:r>
      <w:r w:rsidRPr="001E45E2">
        <w:rPr>
          <w:rFonts w:ascii="Arial" w:hAnsi="Arial" w:cs="Arial"/>
        </w:rPr>
        <w:t>akivaliokunnalla tai perustuslakivaliokunnalla ei ole ollut huomautettavaa tältä osin (LaVM 23/2001 vp ja PeVL 35/2001 vp).</w:t>
      </w:r>
    </w:p>
    <w:p w:rsidR="00E373F2" w:rsidRPr="004A4122" w:rsidRDefault="00E373F2" w:rsidP="00E373F2">
      <w:pPr>
        <w:jc w:val="both"/>
        <w:rPr>
          <w:rFonts w:ascii="Arial" w:hAnsi="Arial" w:cs="Arial"/>
        </w:rPr>
      </w:pPr>
      <w:r>
        <w:rPr>
          <w:rFonts w:ascii="Arial" w:hAnsi="Arial" w:cs="Arial"/>
        </w:rPr>
        <w:lastRenderedPageBreak/>
        <w:t>T</w:t>
      </w:r>
      <w:r w:rsidRPr="001E45E2">
        <w:rPr>
          <w:rFonts w:ascii="Arial" w:hAnsi="Arial" w:cs="Arial"/>
        </w:rPr>
        <w:t>RIPS-sopimuksen 41</w:t>
      </w:r>
      <w:r>
        <w:rPr>
          <w:rFonts w:ascii="Arial" w:hAnsi="Arial" w:cs="Arial"/>
        </w:rPr>
        <w:t xml:space="preserve"> artiklan 4 kohdan sanamuoto ei </w:t>
      </w:r>
      <w:r w:rsidRPr="001E45E2">
        <w:rPr>
          <w:rFonts w:ascii="Arial" w:hAnsi="Arial" w:cs="Arial"/>
        </w:rPr>
        <w:t xml:space="preserve">edellytä, että ensimmäisen asteen ratkaisu (initial judicial decision on the merits of the case) olisi edes oikeuskysymysten osalta voitava saattaa sellaisen muutoksenhaun kohteeksi, jossa ylempi oikeus tutkii asian uudelleen ja antaa siinä uuden asiaratkaisun. Määräys edellyttää ainoastaan, että käytettävissä on “opportunity for review by a judicial authority”. Yleisen kielenkäytön mukaan termi “review” ei viittaa ns. suoraan valitukseen, joka johtaa asian uudelleen tutkimiseen ja ratkaisemiseen, vaan erilaiset </w:t>
      </w:r>
      <w:r w:rsidRPr="004A4122">
        <w:rPr>
          <w:rFonts w:ascii="Arial" w:hAnsi="Arial" w:cs="Arial"/>
        </w:rPr>
        <w:t xml:space="preserve">valituslupajärjestelmät täyttävät asetetun vaatimuksen. Tämä asia on todettu myös korkeimman oikeuden lausunnossa OH2008/33, joka on annettu 19.8.2008. </w:t>
      </w:r>
    </w:p>
    <w:p w:rsidR="00E373F2" w:rsidRPr="004A4122" w:rsidRDefault="00E373F2" w:rsidP="00E373F2">
      <w:pPr>
        <w:jc w:val="both"/>
        <w:rPr>
          <w:rFonts w:ascii="Arial" w:hAnsi="Arial" w:cs="Arial"/>
        </w:rPr>
      </w:pPr>
      <w:r w:rsidRPr="004A4122">
        <w:rPr>
          <w:rFonts w:ascii="Arial" w:hAnsi="Arial" w:cs="Arial"/>
        </w:rPr>
        <w:t xml:space="preserve">Muutoksenhakumenettely, jossa markkinaoikeuden päätökseen haetaan muutosta korkeimmasta oikeudesta, jos korkein oikeus myöntää valitusluvan, toisi IPR-asioihin yritysten haluamaa nopeutta ja kustannustehokkuutta. Todettakoon myös, ettei tällainen muutoksenhakumenettely ole perustuslain 21 §:n vastainen, vaikka esimerkiksi Asianajajaliitto on tällaisen käsityksen tuonut esille lausunnossaan IPR-asioiden tuomioistuinkäsittelystä 11.4.2008. </w:t>
      </w:r>
    </w:p>
    <w:p w:rsidR="00E373F2" w:rsidRDefault="00E373F2" w:rsidP="00E373F2">
      <w:pPr>
        <w:jc w:val="both"/>
        <w:rPr>
          <w:rFonts w:ascii="Arial" w:hAnsi="Arial" w:cs="Arial"/>
        </w:rPr>
      </w:pPr>
      <w:r>
        <w:rPr>
          <w:rFonts w:ascii="Arial" w:hAnsi="Arial" w:cs="Arial"/>
        </w:rPr>
        <w:t>Valittaminen markkinaoikeuden päätöksestä hovioikeuteen ei ole kannatettava vaihtoehto</w:t>
      </w:r>
      <w:r w:rsidR="00796514">
        <w:rPr>
          <w:rFonts w:ascii="Arial" w:hAnsi="Arial" w:cs="Arial"/>
        </w:rPr>
        <w:t xml:space="preserve"> jo siitä syystä, että ensimmäisenä asteena IPR-riidan ratkaisee erityistuomioistuin eli markkinaoikeus, ei siis yleinen alioikeus</w:t>
      </w:r>
      <w:r>
        <w:rPr>
          <w:rFonts w:ascii="Arial" w:hAnsi="Arial" w:cs="Arial"/>
        </w:rPr>
        <w:t xml:space="preserve">. </w:t>
      </w:r>
      <w:r w:rsidR="00796514">
        <w:rPr>
          <w:rFonts w:ascii="Arial" w:hAnsi="Arial" w:cs="Arial"/>
        </w:rPr>
        <w:t xml:space="preserve">Muutoksenhaku hovioikeuteen </w:t>
      </w:r>
      <w:r>
        <w:rPr>
          <w:rFonts w:ascii="Arial" w:hAnsi="Arial" w:cs="Arial"/>
        </w:rPr>
        <w:t>johtaisi muun muassa yhä kasvaviin oikeudenkäyntikuihin. Lisäksi asioiden kokonaiskäsittelyaika ei lyhenisi nykyiseen verrattuna.</w:t>
      </w:r>
    </w:p>
    <w:p w:rsidR="00E373F2" w:rsidRDefault="00E373F2" w:rsidP="00E373F2">
      <w:pPr>
        <w:jc w:val="both"/>
        <w:rPr>
          <w:rFonts w:ascii="Arial" w:hAnsi="Arial" w:cs="Arial"/>
        </w:rPr>
      </w:pPr>
      <w:r>
        <w:rPr>
          <w:rFonts w:ascii="Arial" w:hAnsi="Arial" w:cs="Arial"/>
        </w:rPr>
        <w:t>Muutoksenhaun järjestäminen korkeimpaan oikeuteen muokkaamalla valituslupaperusteita nykyiseen nähden ei ole kannatettava eikä realistinen vaihtoehto.</w:t>
      </w:r>
    </w:p>
    <w:p w:rsidR="00E373F2" w:rsidRDefault="00E373F2" w:rsidP="00E373F2">
      <w:pPr>
        <w:jc w:val="both"/>
        <w:rPr>
          <w:rFonts w:ascii="Arial" w:hAnsi="Arial" w:cs="Arial"/>
        </w:rPr>
      </w:pPr>
      <w:r>
        <w:rPr>
          <w:rFonts w:ascii="Arial" w:hAnsi="Arial" w:cs="Arial"/>
        </w:rPr>
        <w:t>Yrityksille aiheutuvat oikeudenkäyntikustannukset eivät saa uudistuksen myötä nousta siitä, mitä ne nykyisellään ovat. Vaikka oikeudenkäyntiprosessia kehitetään, ei tule lähteä siitä, että tämä vääjäämättä tarkoittaisi kustannusten nousua.</w:t>
      </w:r>
    </w:p>
    <w:p w:rsidR="00E373F2" w:rsidRDefault="00E373F2" w:rsidP="00E373F2">
      <w:pPr>
        <w:jc w:val="both"/>
        <w:rPr>
          <w:rFonts w:ascii="Arial" w:hAnsi="Arial" w:cs="Arial"/>
        </w:rPr>
      </w:pPr>
      <w:r>
        <w:rPr>
          <w:rFonts w:ascii="Arial" w:hAnsi="Arial" w:cs="Arial"/>
        </w:rPr>
        <w:t>Muutoksenhakujärjestelmiä pohdittaessa on olennaista kiinnittää huomiota kysymyksessä olevien oikeussuhteiden laatua ja oikeussuojatarpeita koskeviin näkökohtiin. Tämä tulisi ottaa huomioon erityisesti silloin, kun mietitään teollisoikeuksien rekisteröintiin liittyviä väite- ja rekisteröinnin mitätöintimenettelyitä, jotka koskevat yrityksen yksityisoikeudellista oikeusasemaa suhteessa toiseen yritykseen. Näin ollen muutoksenhaku hallintopäätöksestä voidaan ohjata markkinaoikeuteen ja muutoksenhaku korkeimpaan oikeuteen.</w:t>
      </w:r>
    </w:p>
    <w:p w:rsidR="00E373F2" w:rsidRDefault="00E373F2" w:rsidP="00E373F2">
      <w:pPr>
        <w:jc w:val="both"/>
        <w:rPr>
          <w:rFonts w:ascii="Arial" w:hAnsi="Arial" w:cs="Arial"/>
        </w:rPr>
      </w:pPr>
    </w:p>
    <w:p w:rsidR="00E373F2" w:rsidRDefault="00E373F2" w:rsidP="00E373F2">
      <w:pPr>
        <w:jc w:val="both"/>
        <w:rPr>
          <w:rFonts w:ascii="Arial" w:hAnsi="Arial" w:cs="Arial"/>
        </w:rPr>
      </w:pPr>
    </w:p>
    <w:p w:rsidR="00E373F2" w:rsidRDefault="00E373F2" w:rsidP="00E373F2">
      <w:pPr>
        <w:jc w:val="both"/>
        <w:rPr>
          <w:rFonts w:ascii="Arial" w:hAnsi="Arial" w:cs="Arial"/>
        </w:rPr>
      </w:pPr>
      <w:r>
        <w:rPr>
          <w:rFonts w:ascii="Arial" w:hAnsi="Arial" w:cs="Arial"/>
        </w:rPr>
        <w:t>Paula Paloranta</w:t>
      </w:r>
    </w:p>
    <w:p w:rsidR="00E373F2" w:rsidRDefault="00E373F2" w:rsidP="00E373F2">
      <w:pPr>
        <w:jc w:val="both"/>
        <w:rPr>
          <w:rFonts w:ascii="Arial" w:hAnsi="Arial" w:cs="Arial"/>
        </w:rPr>
      </w:pPr>
      <w:r>
        <w:rPr>
          <w:rFonts w:ascii="Arial" w:hAnsi="Arial" w:cs="Arial"/>
        </w:rPr>
        <w:t>Keskuskauppakamari</w:t>
      </w:r>
    </w:p>
    <w:p w:rsidR="00E373F2" w:rsidRPr="001E45E2" w:rsidRDefault="00E373F2" w:rsidP="00E373F2">
      <w:pPr>
        <w:jc w:val="both"/>
        <w:rPr>
          <w:rFonts w:ascii="Arial" w:hAnsi="Arial" w:cs="Arial"/>
        </w:rPr>
      </w:pPr>
    </w:p>
    <w:p w:rsidR="00E373F2" w:rsidRDefault="00E373F2" w:rsidP="00E373F2">
      <w:pPr>
        <w:rPr>
          <w:rFonts w:ascii="Arial" w:hAnsi="Arial" w:cs="Arial"/>
        </w:rPr>
      </w:pPr>
    </w:p>
    <w:p w:rsidR="00E373F2" w:rsidRPr="007D4D48" w:rsidRDefault="00E373F2" w:rsidP="00E373F2">
      <w:pPr>
        <w:rPr>
          <w:rFonts w:ascii="Arial" w:hAnsi="Arial" w:cs="Arial"/>
        </w:rPr>
      </w:pPr>
    </w:p>
    <w:p w:rsidR="00581E91" w:rsidRPr="00EF64C9" w:rsidRDefault="00581E91" w:rsidP="00EF64C9">
      <w:pPr>
        <w:tabs>
          <w:tab w:val="left" w:pos="1350"/>
        </w:tabs>
        <w:ind w:left="1350"/>
        <w:rPr>
          <w:rFonts w:ascii="Arial" w:hAnsi="Arial" w:cs="Arial"/>
        </w:rPr>
      </w:pPr>
    </w:p>
    <w:sectPr w:rsidR="00581E91" w:rsidRPr="00EF64C9" w:rsidSect="00EF64C9">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134" w:left="1134" w:header="284" w:footer="50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6D0" w:rsidRDefault="002176D0">
      <w:r>
        <w:separator/>
      </w:r>
    </w:p>
  </w:endnote>
  <w:endnote w:type="continuationSeparator" w:id="0">
    <w:p w:rsidR="002176D0" w:rsidRDefault="00217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G Times (PCL6)">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C9" w:rsidRDefault="00EF64C9">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C9" w:rsidRDefault="00EF64C9">
    <w:pPr>
      <w:pStyle w:val="Alatunnist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C9" w:rsidRPr="004279A0" w:rsidRDefault="00EF64C9" w:rsidP="00EF64C9">
    <w:pPr>
      <w:pStyle w:val="Alatunniste"/>
      <w:spacing w:line="260" w:lineRule="exact"/>
      <w:jc w:val="center"/>
      <w:rPr>
        <w:rFonts w:ascii="Arial" w:hAnsi="Arial"/>
        <w:sz w:val="17"/>
      </w:rPr>
    </w:pPr>
  </w:p>
  <w:p w:rsidR="00EF64C9" w:rsidRPr="00EF64C9" w:rsidRDefault="00EF64C9" w:rsidP="00EF64C9">
    <w:pPr>
      <w:pStyle w:val="Alatunniste"/>
      <w:spacing w:line="260" w:lineRule="exact"/>
      <w:jc w:val="center"/>
      <w:rPr>
        <w:rFonts w:ascii="Arial" w:hAnsi="Arial"/>
        <w:sz w:val="17"/>
        <w:lang w:val="fi-FI"/>
      </w:rPr>
    </w:pPr>
    <w:r w:rsidRPr="00EF64C9">
      <w:rPr>
        <w:rFonts w:ascii="Arial" w:hAnsi="Arial"/>
        <w:sz w:val="17"/>
        <w:lang w:val="fi-FI"/>
      </w:rPr>
      <w:t>Aleksanterinkatu 17, PL 1000, 00101 Helsinki, Puhelin (09) 4242 6200, Faksi (09) 650 303, Y-tunnus: 0201469-2</w:t>
    </w:r>
  </w:p>
  <w:p w:rsidR="00EF64C9" w:rsidRPr="00EF64C9" w:rsidRDefault="00EF64C9" w:rsidP="00EF64C9">
    <w:pPr>
      <w:pStyle w:val="Alatunniste"/>
      <w:spacing w:line="260" w:lineRule="exact"/>
      <w:jc w:val="center"/>
      <w:rPr>
        <w:rFonts w:ascii="Arial" w:hAnsi="Arial"/>
        <w:sz w:val="17"/>
        <w:lang w:val="fi-FI"/>
      </w:rPr>
    </w:pPr>
    <w:r w:rsidRPr="00EF64C9">
      <w:rPr>
        <w:rFonts w:ascii="Arial" w:hAnsi="Arial"/>
        <w:sz w:val="17"/>
        <w:lang w:val="fi-FI"/>
      </w:rPr>
      <w:t>Nordea 200138-467796, Okopankki 580013-20097883, Sampo 800011-176701</w:t>
    </w:r>
  </w:p>
  <w:p w:rsidR="00EF64C9" w:rsidRPr="00EF64C9" w:rsidRDefault="00EF64C9" w:rsidP="00EF64C9">
    <w:pPr>
      <w:pStyle w:val="Alatunniste"/>
      <w:spacing w:line="220" w:lineRule="exact"/>
      <w:rPr>
        <w:rFonts w:ascii="Arial" w:hAnsi="Arial"/>
        <w:sz w:val="17"/>
        <w:lang w:val="fi-FI"/>
      </w:rPr>
    </w:pPr>
  </w:p>
  <w:p w:rsidR="00EF64C9" w:rsidRPr="00EF64C9" w:rsidRDefault="00EF64C9" w:rsidP="00EF64C9">
    <w:pPr>
      <w:pStyle w:val="Alatunniste"/>
      <w:spacing w:line="300" w:lineRule="exact"/>
      <w:jc w:val="center"/>
      <w:rPr>
        <w:rFonts w:ascii="Arial" w:hAnsi="Arial"/>
        <w:color w:val="FFFFFF"/>
        <w:sz w:val="17"/>
        <w:lang w:val="fi-FI"/>
      </w:rPr>
    </w:pPr>
    <w:r w:rsidRPr="00EF64C9">
      <w:rPr>
        <w:rFonts w:ascii="Arial" w:hAnsi="Arial"/>
        <w:color w:val="FFFFFF"/>
        <w:sz w:val="17"/>
        <w:lang w:val="fi-FI"/>
      </w:rPr>
      <w:t>www.chamber.fi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6D0" w:rsidRDefault="002176D0">
      <w:r>
        <w:separator/>
      </w:r>
    </w:p>
  </w:footnote>
  <w:footnote w:type="continuationSeparator" w:id="0">
    <w:p w:rsidR="002176D0" w:rsidRDefault="00217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C9" w:rsidRDefault="00EF64C9">
    <w:pPr>
      <w:pStyle w:val="Yltunnis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C9" w:rsidRDefault="00EF64C9">
    <w:pPr>
      <w:pStyle w:val="Yltunniste"/>
    </w:pPr>
  </w:p>
  <w:p w:rsidR="00EF64C9" w:rsidRDefault="007751ED">
    <w:pPr>
      <w:pStyle w:val="Yltunniste"/>
    </w:pPr>
    <w:r>
      <w:rPr>
        <w:rFonts w:ascii="Verdana" w:hAnsi="Verdana"/>
        <w:noProof/>
        <w:sz w:val="20"/>
        <w:szCs w:val="20"/>
        <w:lang w:val="fi-FI" w:eastAsia="fi-FI"/>
      </w:rPr>
      <w:drawing>
        <wp:anchor distT="0" distB="0" distL="114300" distR="114300" simplePos="0" relativeHeight="251658240" behindDoc="1" locked="0" layoutInCell="1" allowOverlap="1">
          <wp:simplePos x="0" y="0"/>
          <wp:positionH relativeFrom="page">
            <wp:posOffset>351790</wp:posOffset>
          </wp:positionH>
          <wp:positionV relativeFrom="page">
            <wp:posOffset>360045</wp:posOffset>
          </wp:positionV>
          <wp:extent cx="2603500" cy="546100"/>
          <wp:effectExtent l="19050" t="0" r="6350" b="0"/>
          <wp:wrapNone/>
          <wp:docPr id="27" name="Kuva 27" descr="logo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logorgb"/>
                  <pic:cNvPicPr>
                    <a:picLocks noChangeArrowheads="1"/>
                  </pic:cNvPicPr>
                </pic:nvPicPr>
                <pic:blipFill>
                  <a:blip r:embed="rId1"/>
                  <a:srcRect/>
                  <a:stretch>
                    <a:fillRect/>
                  </a:stretch>
                </pic:blipFill>
                <pic:spPr bwMode="auto">
                  <a:xfrm>
                    <a:off x="0" y="0"/>
                    <a:ext cx="2603500" cy="546100"/>
                  </a:xfrm>
                  <a:prstGeom prst="rect">
                    <a:avLst/>
                  </a:prstGeom>
                  <a:noFill/>
                  <a:ln w="9525">
                    <a:noFill/>
                    <a:miter lim="800000"/>
                    <a:headEnd/>
                    <a:tailEnd/>
                  </a:ln>
                </pic:spPr>
              </pic:pic>
            </a:graphicData>
          </a:graphic>
        </wp:anchor>
      </w:drawing>
    </w:r>
  </w:p>
  <w:p w:rsidR="00EF64C9" w:rsidRPr="00B32D3F" w:rsidRDefault="00EF64C9">
    <w:pPr>
      <w:pStyle w:val="FIN"/>
      <w:rPr>
        <w:rFonts w:ascii="Arial" w:hAnsi="Arial"/>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B32D3F">
      <w:rPr>
        <w:rFonts w:ascii="Arial" w:hAnsi="Arial"/>
        <w:sz w:val="20"/>
      </w:rPr>
      <w:t xml:space="preserve">Sivu </w:t>
    </w:r>
    <w:r w:rsidR="00D267CA" w:rsidRPr="00B32D3F">
      <w:rPr>
        <w:rStyle w:val="Sivunumero"/>
        <w:rFonts w:ascii="Verdana" w:hAnsi="Verdana"/>
        <w:sz w:val="20"/>
        <w:lang w:val="en-GB"/>
      </w:rPr>
      <w:fldChar w:fldCharType="begin"/>
    </w:r>
    <w:r w:rsidRPr="00B32D3F">
      <w:rPr>
        <w:rStyle w:val="Sivunumero"/>
        <w:rFonts w:ascii="Arial" w:hAnsi="Arial"/>
        <w:sz w:val="20"/>
        <w:lang w:val="en-GB"/>
      </w:rPr>
      <w:instrText xml:space="preserve"> PAGE </w:instrText>
    </w:r>
    <w:r w:rsidR="00D267CA" w:rsidRPr="00B32D3F">
      <w:rPr>
        <w:rStyle w:val="Sivunumero"/>
        <w:rFonts w:ascii="Verdana" w:hAnsi="Verdana"/>
        <w:sz w:val="20"/>
        <w:lang w:val="en-GB"/>
      </w:rPr>
      <w:fldChar w:fldCharType="separate"/>
    </w:r>
    <w:r w:rsidR="00E63E72">
      <w:rPr>
        <w:rStyle w:val="Sivunumero"/>
        <w:rFonts w:ascii="Arial" w:hAnsi="Arial"/>
        <w:noProof/>
        <w:sz w:val="20"/>
        <w:lang w:val="en-GB"/>
      </w:rPr>
      <w:t>2</w:t>
    </w:r>
    <w:r w:rsidR="00D267CA" w:rsidRPr="00B32D3F">
      <w:rPr>
        <w:rStyle w:val="Sivunumero"/>
        <w:rFonts w:ascii="Verdana" w:hAnsi="Verdana"/>
        <w:sz w:val="20"/>
        <w:lang w:val="en-GB"/>
      </w:rPr>
      <w:fldChar w:fldCharType="end"/>
    </w:r>
    <w:r w:rsidRPr="00B32D3F">
      <w:rPr>
        <w:rFonts w:ascii="Arial" w:hAnsi="Arial"/>
        <w:sz w:val="20"/>
      </w:rPr>
      <w:tab/>
    </w:r>
  </w:p>
  <w:p w:rsidR="00EF64C9" w:rsidRDefault="00EF64C9">
    <w:pPr>
      <w:pStyle w:val="FIN"/>
      <w:rPr>
        <w:rFonts w:ascii="Verdana" w:hAnsi="Verdana"/>
        <w:sz w:val="20"/>
      </w:rPr>
    </w:pPr>
  </w:p>
  <w:p w:rsidR="00EF64C9" w:rsidRDefault="00EF64C9">
    <w:pPr>
      <w:pStyle w:val="FIN"/>
      <w:rPr>
        <w:rFonts w:ascii="Verdana" w:hAnsi="Verdana"/>
        <w:sz w:val="20"/>
      </w:rPr>
    </w:pPr>
  </w:p>
  <w:p w:rsidR="00EF64C9" w:rsidRDefault="00EF64C9">
    <w:pPr>
      <w:pStyle w:val="Yltunniste"/>
      <w:rPr>
        <w:rFonts w:ascii="Verdana" w:hAnsi="Verdana"/>
        <w:sz w:val="20"/>
        <w:lang w:val="fi-FI"/>
      </w:rPr>
    </w:pPr>
  </w:p>
  <w:p w:rsidR="00EF64C9" w:rsidRDefault="00EF64C9">
    <w:pPr>
      <w:pStyle w:val="Yltunniste"/>
      <w:rPr>
        <w:rFonts w:ascii="Verdana" w:hAnsi="Verdana"/>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C9" w:rsidRDefault="007751ED">
    <w:pPr>
      <w:pStyle w:val="FIN"/>
      <w:rPr>
        <w:rFonts w:ascii="Verdana" w:hAnsi="Verdana"/>
        <w:sz w:val="20"/>
      </w:rPr>
    </w:pPr>
    <w:r>
      <w:rPr>
        <w:rFonts w:ascii="Verdana" w:hAnsi="Verdana"/>
        <w:noProof/>
        <w:sz w:val="20"/>
        <w:szCs w:val="20"/>
        <w:lang w:eastAsia="fi-F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0693400"/>
          <wp:effectExtent l="19050" t="0" r="6350" b="0"/>
          <wp:wrapNone/>
          <wp:docPr id="25" name="Kuva 25" descr="kkk_lomaketa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kk_lomaketausta"/>
                  <pic:cNvPicPr>
                    <a:picLocks noChangeAspect="1" noChangeArrowheads="1"/>
                  </pic:cNvPicPr>
                </pic:nvPicPr>
                <pic:blipFill>
                  <a:blip r:embed="rId1"/>
                  <a:srcRect/>
                  <a:stretch>
                    <a:fillRect/>
                  </a:stretch>
                </pic:blipFill>
                <pic:spPr bwMode="auto">
                  <a:xfrm>
                    <a:off x="0" y="0"/>
                    <a:ext cx="7556500" cy="10693400"/>
                  </a:xfrm>
                  <a:prstGeom prst="rect">
                    <a:avLst/>
                  </a:prstGeom>
                  <a:noFill/>
                  <a:ln w="9525">
                    <a:noFill/>
                    <a:miter lim="800000"/>
                    <a:headEnd/>
                    <a:tailEnd/>
                  </a:ln>
                </pic:spPr>
              </pic:pic>
            </a:graphicData>
          </a:graphic>
        </wp:anchor>
      </w:drawing>
    </w:r>
    <w:r w:rsidR="00EF64C9">
      <w:rPr>
        <w:rFonts w:ascii="Verdana" w:hAnsi="Verdana"/>
        <w:sz w:val="20"/>
      </w:rPr>
      <w:tab/>
    </w:r>
    <w:r w:rsidR="00EF64C9">
      <w:rPr>
        <w:rFonts w:ascii="Verdana" w:hAnsi="Verdana"/>
        <w:sz w:val="20"/>
      </w:rPr>
      <w:tab/>
    </w:r>
    <w:r w:rsidR="00EF64C9">
      <w:rPr>
        <w:rFonts w:ascii="Verdana" w:hAnsi="Verdana"/>
        <w:sz w:val="20"/>
      </w:rPr>
      <w:tab/>
    </w:r>
    <w:r w:rsidR="00EF64C9">
      <w:rPr>
        <w:rFonts w:ascii="Verdana" w:hAnsi="Verdana"/>
        <w:sz w:val="20"/>
      </w:rPr>
      <w:tab/>
    </w:r>
  </w:p>
  <w:p w:rsidR="00EF64C9" w:rsidRDefault="00EF64C9">
    <w:pPr>
      <w:pStyle w:val="FIN"/>
      <w:rPr>
        <w:rFonts w:ascii="Verdana" w:hAnsi="Verdana"/>
        <w:sz w:val="20"/>
      </w:rPr>
    </w:pPr>
  </w:p>
  <w:p w:rsidR="00EF64C9" w:rsidRDefault="00EF64C9">
    <w:pPr>
      <w:pStyle w:val="FIN"/>
      <w:rPr>
        <w:rFonts w:ascii="Verdana" w:hAnsi="Verdana"/>
        <w:sz w:val="20"/>
      </w:rPr>
    </w:pPr>
  </w:p>
  <w:p w:rsidR="00EF64C9" w:rsidRDefault="00EF64C9" w:rsidP="00EF64C9">
    <w:pPr>
      <w:pStyle w:val="FIN"/>
      <w:tabs>
        <w:tab w:val="clear" w:pos="2591"/>
        <w:tab w:val="clear" w:pos="3907"/>
        <w:tab w:val="clear" w:pos="5182"/>
        <w:tab w:val="clear" w:pos="6481"/>
        <w:tab w:val="clear" w:pos="7779"/>
        <w:tab w:val="clear" w:pos="9072"/>
        <w:tab w:val="clear" w:pos="10370"/>
      </w:tabs>
      <w:rPr>
        <w:rFonts w:ascii="Verdana" w:hAnsi="Verdana"/>
        <w:sz w:val="20"/>
      </w:rPr>
    </w:pPr>
    <w:r>
      <w:rPr>
        <w:rFonts w:ascii="Verdana" w:hAnsi="Verdana"/>
        <w:sz w:val="20"/>
      </w:rPr>
      <w:tab/>
    </w:r>
  </w:p>
  <w:p w:rsidR="00EF64C9" w:rsidRDefault="00EF64C9">
    <w:pPr>
      <w:pStyle w:val="FIN"/>
      <w:rPr>
        <w:rFonts w:ascii="Verdana" w:hAnsi="Verdana"/>
        <w:sz w:val="20"/>
      </w:rPr>
    </w:pPr>
  </w:p>
  <w:p w:rsidR="00EF64C9" w:rsidRDefault="00EF64C9">
    <w:pPr>
      <w:pStyle w:val="Yltunniste"/>
      <w:rPr>
        <w:rFonts w:ascii="Verdana" w:hAnsi="Verdana"/>
        <w:sz w:val="20"/>
        <w:lang w:val="fi-FI"/>
      </w:rPr>
    </w:pPr>
  </w:p>
  <w:p w:rsidR="00EF64C9" w:rsidRDefault="00EF64C9">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5E5"/>
    <w:multiLevelType w:val="singleLevel"/>
    <w:tmpl w:val="2E42E9FC"/>
    <w:lvl w:ilvl="0">
      <w:start w:val="1"/>
      <w:numFmt w:val="decimal"/>
      <w:lvlText w:val="%1)"/>
      <w:lvlJc w:val="left"/>
      <w:pPr>
        <w:tabs>
          <w:tab w:val="num" w:pos="2609"/>
        </w:tabs>
        <w:ind w:left="2609" w:hanging="130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D139FE"/>
    <w:rsid w:val="001005D5"/>
    <w:rsid w:val="00215114"/>
    <w:rsid w:val="002176D0"/>
    <w:rsid w:val="00581E91"/>
    <w:rsid w:val="007751ED"/>
    <w:rsid w:val="00796514"/>
    <w:rsid w:val="00AA6F1B"/>
    <w:rsid w:val="00D139FE"/>
    <w:rsid w:val="00D15267"/>
    <w:rsid w:val="00D267CA"/>
    <w:rsid w:val="00D766DA"/>
    <w:rsid w:val="00DF6293"/>
    <w:rsid w:val="00E373F2"/>
    <w:rsid w:val="00E504E7"/>
    <w:rsid w:val="00E63E72"/>
    <w:rsid w:val="00EF64C9"/>
    <w:rsid w:val="00F31FB7"/>
    <w:rsid w:val="00F4545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373F2"/>
    <w:pPr>
      <w:spacing w:after="200" w:line="276" w:lineRule="auto"/>
    </w:pPr>
    <w:rPr>
      <w:rFonts w:asciiTheme="minorHAnsi" w:eastAsiaTheme="minorHAnsi" w:hAnsiTheme="minorHAnsi" w:cstheme="minorBidi"/>
      <w:sz w:val="22"/>
      <w:szCs w:val="22"/>
      <w:lang w:eastAsia="en-US"/>
    </w:rPr>
  </w:style>
  <w:style w:type="paragraph" w:styleId="Otsikko1">
    <w:name w:val="heading 1"/>
    <w:basedOn w:val="Normaali"/>
    <w:next w:val="Normaali"/>
    <w:qFormat/>
    <w:rsid w:val="0032770A"/>
    <w:pPr>
      <w:keepNext/>
      <w:spacing w:after="0" w:line="240" w:lineRule="auto"/>
      <w:ind w:left="1276" w:hanging="1276"/>
      <w:jc w:val="both"/>
      <w:outlineLvl w:val="0"/>
    </w:pPr>
    <w:rPr>
      <w:rFonts w:ascii="CG Times (PCL6)" w:eastAsia="Times New Roman" w:hAnsi="CG Times (PCL6)" w:cs="Times New Roman"/>
      <w:b/>
      <w:bCs/>
      <w:spacing w:val="-3"/>
      <w:sz w:val="24"/>
      <w:szCs w:val="20"/>
      <w:lang w:val="sv-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D139FE"/>
    <w:pPr>
      <w:tabs>
        <w:tab w:val="center" w:pos="4819"/>
        <w:tab w:val="right" w:pos="9638"/>
      </w:tabs>
      <w:spacing w:after="0" w:line="240" w:lineRule="auto"/>
    </w:pPr>
    <w:rPr>
      <w:rFonts w:ascii="Times New Roman" w:eastAsia="Times New Roman" w:hAnsi="Times New Roman" w:cs="Times New Roman"/>
      <w:sz w:val="24"/>
      <w:szCs w:val="24"/>
      <w:lang w:val="en-GB"/>
    </w:rPr>
  </w:style>
  <w:style w:type="paragraph" w:customStyle="1" w:styleId="FIN">
    <w:name w:val="FIN"/>
    <w:basedOn w:val="Normaali"/>
    <w:rsid w:val="00D139FE"/>
    <w:pPr>
      <w:tabs>
        <w:tab w:val="left" w:pos="1298"/>
        <w:tab w:val="left" w:pos="2591"/>
        <w:tab w:val="left" w:pos="3907"/>
        <w:tab w:val="left" w:pos="5182"/>
        <w:tab w:val="left" w:pos="6481"/>
        <w:tab w:val="left" w:pos="7779"/>
        <w:tab w:val="left" w:pos="9072"/>
        <w:tab w:val="left" w:pos="10370"/>
      </w:tabs>
      <w:spacing w:after="0" w:line="240" w:lineRule="auto"/>
      <w:ind w:left="2591" w:hanging="2591"/>
    </w:pPr>
    <w:rPr>
      <w:rFonts w:ascii="Garamond" w:eastAsia="Times New Roman" w:hAnsi="Garamond" w:cs="Times New Roman"/>
      <w:sz w:val="24"/>
      <w:szCs w:val="24"/>
    </w:rPr>
  </w:style>
  <w:style w:type="character" w:styleId="Sivunumero">
    <w:name w:val="page number"/>
    <w:basedOn w:val="Kappaleenoletusfontti"/>
    <w:rsid w:val="00D139FE"/>
  </w:style>
  <w:style w:type="paragraph" w:styleId="Alatunniste">
    <w:name w:val="footer"/>
    <w:basedOn w:val="Normaali"/>
    <w:rsid w:val="00D139FE"/>
    <w:pPr>
      <w:tabs>
        <w:tab w:val="center" w:pos="4819"/>
        <w:tab w:val="right" w:pos="9638"/>
      </w:tabs>
      <w:spacing w:after="0" w:line="240" w:lineRule="auto"/>
    </w:pPr>
    <w:rPr>
      <w:rFonts w:ascii="Times New Roman" w:eastAsia="Times New Roman" w:hAnsi="Times New Roman" w:cs="Times New Roman"/>
      <w:sz w:val="24"/>
      <w:szCs w:val="24"/>
      <w:lang w:val="en-GB"/>
    </w:rPr>
  </w:style>
  <w:style w:type="paragraph" w:styleId="Sisennettyleipteksti">
    <w:name w:val="Body Text Indent"/>
    <w:basedOn w:val="Normaali"/>
    <w:rsid w:val="0032770A"/>
    <w:pPr>
      <w:spacing w:after="0" w:line="240" w:lineRule="auto"/>
      <w:ind w:left="1304"/>
      <w:jc w:val="both"/>
    </w:pPr>
    <w:rPr>
      <w:rFonts w:ascii="CG Times" w:eastAsia="Times New Roman" w:hAnsi="CG Times" w:cs="Times New Roman"/>
      <w:spacing w:val="-3"/>
      <w:sz w:val="24"/>
      <w:szCs w:val="20"/>
    </w:rPr>
  </w:style>
  <w:style w:type="paragraph" w:styleId="Sisennettyleipteksti2">
    <w:name w:val="Body Text Indent 2"/>
    <w:basedOn w:val="Normaali"/>
    <w:rsid w:val="0032770A"/>
    <w:pPr>
      <w:spacing w:after="0" w:line="240" w:lineRule="auto"/>
      <w:ind w:left="2608" w:hanging="1304"/>
      <w:jc w:val="both"/>
    </w:pPr>
    <w:rPr>
      <w:rFonts w:ascii="CG Times" w:eastAsia="Times New Roman" w:hAnsi="CG Times" w:cs="Times New Roman"/>
      <w:spacing w:val="-3"/>
      <w:sz w:val="24"/>
      <w:szCs w:val="20"/>
    </w:rPr>
  </w:style>
  <w:style w:type="paragraph" w:styleId="Sisennettyleipteksti3">
    <w:name w:val="Body Text Indent 3"/>
    <w:basedOn w:val="Normaali"/>
    <w:rsid w:val="0032770A"/>
    <w:pPr>
      <w:spacing w:after="0" w:line="240" w:lineRule="auto"/>
      <w:ind w:left="1276"/>
    </w:pPr>
    <w:rPr>
      <w:rFonts w:ascii="CG Times" w:eastAsia="Times New Roman" w:hAnsi="CG Times" w:cs="Times New Roman"/>
      <w:spacing w:val="-3"/>
      <w:sz w:val="24"/>
      <w:szCs w:val="20"/>
      <w:lang w:val="sv-FI"/>
    </w:rPr>
  </w:style>
  <w:style w:type="paragraph" w:styleId="Leipteksti2">
    <w:name w:val="Body Text 2"/>
    <w:basedOn w:val="Normaali"/>
    <w:rsid w:val="0032770A"/>
    <w:pPr>
      <w:spacing w:after="0" w:line="240" w:lineRule="auto"/>
      <w:ind w:left="720"/>
      <w:jc w:val="both"/>
    </w:pPr>
    <w:rPr>
      <w:rFonts w:ascii="Times New Roman" w:eastAsia="Times New Roman" w:hAnsi="Times New Roman" w:cs="Times New Roman"/>
      <w:sz w:val="24"/>
      <w:szCs w:val="20"/>
      <w:lang w:val="sv-SE"/>
    </w:rPr>
  </w:style>
  <w:style w:type="character" w:styleId="Hyperlinkki">
    <w:name w:val="Hyperlink"/>
    <w:basedOn w:val="Kappaleenoletusfontti"/>
    <w:rsid w:val="003277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lex.fi/saadokset/lainsaadanto/17340004000/L3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dilex.fi/saadokset/lainsaadanto/17340004000/L30P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ilex.fi/saadokset/lainsaadanto/17340004000/L3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Graafinen%20ilme%202005\S&#228;hk&#246;iset%20lomakepohjat\kkk_lomakepohja_f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kkk_lomakepohja_fi</Template>
  <TotalTime>20</TotalTime>
  <Pages>2</Pages>
  <Words>524</Words>
  <Characters>4249</Characters>
  <Application>Microsoft Office Word</Application>
  <DocSecurity>0</DocSecurity>
  <Lines>35</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Vastaanottaja</vt:lpstr>
      <vt:lpstr>Vastaanottaja</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creator>elina kylkilahti</dc:creator>
  <cp:lastModifiedBy>paula paloranta</cp:lastModifiedBy>
  <cp:revision>9</cp:revision>
  <cp:lastPrinted>2009-10-30T14:47:00Z</cp:lastPrinted>
  <dcterms:created xsi:type="dcterms:W3CDTF">2009-10-30T14:35:00Z</dcterms:created>
  <dcterms:modified xsi:type="dcterms:W3CDTF">2009-10-30T14:57:00Z</dcterms:modified>
</cp:coreProperties>
</file>