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3AA2F" w14:textId="77777777" w:rsidR="00DE1939" w:rsidRPr="00C80156" w:rsidRDefault="00585043" w:rsidP="00DE193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Kokousmuistio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 xml:space="preserve">                </w:t>
      </w:r>
      <w:r w:rsidR="00C80156" w:rsidRPr="00C80156">
        <w:rPr>
          <w:rFonts w:cstheme="minorHAnsi"/>
          <w:b/>
          <w:sz w:val="28"/>
          <w:szCs w:val="28"/>
        </w:rPr>
        <w:t>Yhteistyö</w:t>
      </w:r>
      <w:r w:rsidR="00DE1939" w:rsidRPr="00C80156">
        <w:rPr>
          <w:rFonts w:cstheme="minorHAnsi"/>
          <w:b/>
          <w:sz w:val="28"/>
          <w:szCs w:val="28"/>
        </w:rPr>
        <w:t>ryhmä</w:t>
      </w:r>
      <w:r w:rsidR="00C80156" w:rsidRPr="00C80156">
        <w:rPr>
          <w:rFonts w:cstheme="minorHAnsi"/>
          <w:b/>
          <w:sz w:val="28"/>
          <w:szCs w:val="28"/>
        </w:rPr>
        <w:t>n</w:t>
      </w:r>
      <w:r w:rsidR="00DE1939" w:rsidRPr="00C80156">
        <w:rPr>
          <w:rFonts w:cstheme="minorHAnsi"/>
          <w:b/>
          <w:sz w:val="28"/>
          <w:szCs w:val="28"/>
        </w:rPr>
        <w:t xml:space="preserve"> 1. kokous </w:t>
      </w:r>
    </w:p>
    <w:p w14:paraId="1A949528" w14:textId="64461265" w:rsidR="00DE1939" w:rsidRDefault="00C80156" w:rsidP="00DE1939">
      <w:pPr>
        <w:spacing w:after="0" w:line="240" w:lineRule="auto"/>
        <w:rPr>
          <w:rFonts w:cstheme="minorHAnsi"/>
        </w:rPr>
      </w:pPr>
      <w:r w:rsidRPr="00C80156">
        <w:rPr>
          <w:rFonts w:cstheme="minorHAnsi"/>
        </w:rPr>
        <w:t>Torstai</w:t>
      </w:r>
      <w:r w:rsidR="00DE1939" w:rsidRPr="00C80156">
        <w:rPr>
          <w:rFonts w:cstheme="minorHAnsi"/>
        </w:rPr>
        <w:t xml:space="preserve"> </w:t>
      </w:r>
      <w:r w:rsidRPr="00C80156">
        <w:rPr>
          <w:rFonts w:cstheme="minorHAnsi"/>
        </w:rPr>
        <w:t>16.9.2021</w:t>
      </w:r>
      <w:r w:rsidR="00DE1939" w:rsidRPr="00C80156">
        <w:rPr>
          <w:rFonts w:cstheme="minorHAnsi"/>
        </w:rPr>
        <w:t xml:space="preserve"> klo </w:t>
      </w:r>
      <w:r w:rsidRPr="00C80156">
        <w:rPr>
          <w:rFonts w:cstheme="minorHAnsi"/>
        </w:rPr>
        <w:t>8</w:t>
      </w:r>
      <w:r w:rsidR="00DE1939" w:rsidRPr="00C80156">
        <w:rPr>
          <w:rFonts w:cstheme="minorHAnsi"/>
        </w:rPr>
        <w:t>.</w:t>
      </w:r>
      <w:r w:rsidRPr="00C80156">
        <w:rPr>
          <w:rFonts w:cstheme="minorHAnsi"/>
        </w:rPr>
        <w:t>3</w:t>
      </w:r>
      <w:r w:rsidR="00DE1939" w:rsidRPr="00C80156">
        <w:rPr>
          <w:rFonts w:cstheme="minorHAnsi"/>
        </w:rPr>
        <w:t>0-</w:t>
      </w:r>
      <w:r w:rsidRPr="00C80156">
        <w:rPr>
          <w:rFonts w:cstheme="minorHAnsi"/>
        </w:rPr>
        <w:t>10.30</w:t>
      </w:r>
      <w:r w:rsidR="005575B1">
        <w:rPr>
          <w:rFonts w:cstheme="minorHAnsi"/>
        </w:rPr>
        <w:br/>
      </w:r>
    </w:p>
    <w:p w14:paraId="512AEF54" w14:textId="77777777" w:rsidR="007B60EF" w:rsidRDefault="007B60EF" w:rsidP="00DE1939">
      <w:pPr>
        <w:spacing w:after="0" w:line="240" w:lineRule="auto"/>
        <w:rPr>
          <w:rFonts w:cstheme="minorHAnsi"/>
        </w:rPr>
      </w:pPr>
      <w:r>
        <w:rPr>
          <w:rFonts w:cstheme="minorHAnsi"/>
        </w:rPr>
        <w:t>Osallistujat:</w:t>
      </w:r>
      <w:r w:rsidRPr="007B60EF">
        <w:rPr>
          <w:rFonts w:cstheme="minorHAnsi"/>
        </w:rPr>
        <w:t xml:space="preserve"> </w:t>
      </w:r>
      <w:r w:rsidRPr="00BB5E23">
        <w:rPr>
          <w:rFonts w:cstheme="minorHAnsi"/>
        </w:rPr>
        <w:t>Juha Haataja, opetusneuvos, OKM</w:t>
      </w:r>
      <w:r w:rsidRPr="007B60EF">
        <w:rPr>
          <w:rFonts w:cstheme="minorHAnsi"/>
        </w:rPr>
        <w:t xml:space="preserve">, </w:t>
      </w:r>
      <w:r w:rsidRPr="00BB5E23">
        <w:rPr>
          <w:rFonts w:cstheme="minorHAnsi"/>
        </w:rPr>
        <w:t>Minna-Mari Kaila, kansliapäällikkö, MMM</w:t>
      </w:r>
      <w:r w:rsidRPr="007B60EF">
        <w:rPr>
          <w:rFonts w:cstheme="minorHAnsi"/>
        </w:rPr>
        <w:t xml:space="preserve">, </w:t>
      </w:r>
      <w:r w:rsidRPr="00BB5E23">
        <w:rPr>
          <w:rFonts w:cstheme="minorHAnsi"/>
        </w:rPr>
        <w:t>Anu Kerkkänen,</w:t>
      </w:r>
      <w:r w:rsidRPr="007B60EF">
        <w:rPr>
          <w:rFonts w:cstheme="minorHAnsi"/>
        </w:rPr>
        <w:t xml:space="preserve"> erityisasiantuntija, YM</w:t>
      </w:r>
      <w:r w:rsidRPr="00BB5E23">
        <w:rPr>
          <w:rFonts w:cstheme="minorHAnsi"/>
        </w:rPr>
        <w:t>, Sampsa Nissinen, TEM, Jenni Oksanen, neuvotteleva virkamies,</w:t>
      </w:r>
      <w:r w:rsidRPr="007B60EF">
        <w:rPr>
          <w:rFonts w:cstheme="minorHAnsi"/>
        </w:rPr>
        <w:t xml:space="preserve"> VM</w:t>
      </w:r>
      <w:r w:rsidRPr="00BB5E23">
        <w:rPr>
          <w:rFonts w:cstheme="minorHAnsi"/>
        </w:rPr>
        <w:t>, Anna-Maija Pajukallio</w:t>
      </w:r>
      <w:r w:rsidRPr="007B60EF">
        <w:rPr>
          <w:rFonts w:cstheme="minorHAnsi"/>
        </w:rPr>
        <w:t>, ympäristöneuvos, YM</w:t>
      </w:r>
      <w:r w:rsidRPr="00BB5E23">
        <w:rPr>
          <w:rFonts w:cstheme="minorHAnsi"/>
        </w:rPr>
        <w:t>, Isa-Maria Bergman</w:t>
      </w:r>
      <w:r w:rsidRPr="007B60EF">
        <w:rPr>
          <w:rFonts w:cstheme="minorHAnsi"/>
        </w:rPr>
        <w:t xml:space="preserve">, johtaja, Motiva Oy, </w:t>
      </w:r>
      <w:r w:rsidRPr="00BB5E23">
        <w:rPr>
          <w:rFonts w:cstheme="minorHAnsi"/>
        </w:rPr>
        <w:t>Johanna Kohl, ohjelmajohtaja,</w:t>
      </w:r>
      <w:r w:rsidRPr="007B60EF">
        <w:rPr>
          <w:rFonts w:cstheme="minorHAnsi"/>
        </w:rPr>
        <w:t xml:space="preserve"> Luke, Tarja Laitinen, Vice President, VTT Oy</w:t>
      </w:r>
      <w:r w:rsidR="00820292">
        <w:rPr>
          <w:rFonts w:cstheme="minorHAnsi"/>
        </w:rPr>
        <w:t xml:space="preserve">, </w:t>
      </w:r>
      <w:r w:rsidRPr="00A477B6">
        <w:rPr>
          <w:rFonts w:cstheme="minorHAnsi"/>
        </w:rPr>
        <w:t>Kimmo Tiilikainen, pääjohtaja, G</w:t>
      </w:r>
      <w:r w:rsidRPr="007B60EF">
        <w:rPr>
          <w:rFonts w:cstheme="minorHAnsi"/>
        </w:rPr>
        <w:t>TK</w:t>
      </w:r>
      <w:r w:rsidRPr="00A477B6">
        <w:rPr>
          <w:rFonts w:cstheme="minorHAnsi"/>
        </w:rPr>
        <w:t>, Jarmo Heinonen, Senior</w:t>
      </w:r>
      <w:r w:rsidRPr="007B60EF">
        <w:rPr>
          <w:rFonts w:cstheme="minorHAnsi"/>
        </w:rPr>
        <w:t xml:space="preserve"> Director, Business Finland, </w:t>
      </w:r>
      <w:r w:rsidRPr="00A477B6">
        <w:rPr>
          <w:rFonts w:cstheme="minorHAnsi"/>
        </w:rPr>
        <w:t>Kari Herlevi, projektijohtaja,</w:t>
      </w:r>
      <w:r w:rsidRPr="007B60EF">
        <w:rPr>
          <w:rFonts w:cstheme="minorHAnsi"/>
        </w:rPr>
        <w:t xml:space="preserve"> Sitra, </w:t>
      </w:r>
      <w:r w:rsidRPr="00A477B6">
        <w:rPr>
          <w:rFonts w:cstheme="minorHAnsi"/>
        </w:rPr>
        <w:t>Paula Laine, toimitusjohtaja</w:t>
      </w:r>
      <w:r w:rsidRPr="007B60EF">
        <w:rPr>
          <w:rFonts w:cstheme="minorHAnsi"/>
        </w:rPr>
        <w:t>, Ilmastorahasto Oy</w:t>
      </w:r>
      <w:r w:rsidRPr="00585043">
        <w:rPr>
          <w:rFonts w:cstheme="minorHAnsi"/>
        </w:rPr>
        <w:t>, Riku Eksymä, toimitusjohtaja, Suomen Kiertovoima ry, Juha Laurila, johtaja</w:t>
      </w:r>
      <w:r w:rsidRPr="007B60EF">
        <w:rPr>
          <w:rFonts w:cstheme="minorHAnsi"/>
        </w:rPr>
        <w:t>, Kira-foorumi / Rakennusteollisuus ry</w:t>
      </w:r>
      <w:r w:rsidRPr="00585043">
        <w:rPr>
          <w:rFonts w:cstheme="minorHAnsi"/>
        </w:rPr>
        <w:t>, Otto Lehtipuu, toimitusjohtaja</w:t>
      </w:r>
      <w:r w:rsidRPr="007B60EF">
        <w:rPr>
          <w:rFonts w:cstheme="minorHAnsi"/>
        </w:rPr>
        <w:t xml:space="preserve">, YTP ry, </w:t>
      </w:r>
      <w:r w:rsidRPr="00585043">
        <w:rPr>
          <w:rFonts w:cstheme="minorHAnsi"/>
        </w:rPr>
        <w:t>Tuovi Kurttio, Suomen</w:t>
      </w:r>
      <w:r w:rsidRPr="007B60EF">
        <w:rPr>
          <w:rFonts w:cstheme="minorHAnsi"/>
        </w:rPr>
        <w:t xml:space="preserve"> kierrätyskeskusten yhdistys ry , Jussi Nikula, suojelun neuvonantaja, WWF Suomi</w:t>
      </w:r>
      <w:r w:rsidRPr="00DC11E0">
        <w:rPr>
          <w:rFonts w:cstheme="minorHAnsi"/>
        </w:rPr>
        <w:t>, Minna Ojanperä, lakimies, MTK ry, Marja Ola, johtava asiantuntija, Kaupan</w:t>
      </w:r>
      <w:r w:rsidRPr="007B60EF">
        <w:rPr>
          <w:rFonts w:cstheme="minorHAnsi"/>
        </w:rPr>
        <w:t xml:space="preserve"> liitto ry, </w:t>
      </w:r>
      <w:r w:rsidRPr="00DC11E0">
        <w:rPr>
          <w:rFonts w:cstheme="minorHAnsi"/>
        </w:rPr>
        <w:t>Miira Riipinen,</w:t>
      </w:r>
      <w:r w:rsidRPr="007B60EF">
        <w:rPr>
          <w:rFonts w:cstheme="minorHAnsi"/>
        </w:rPr>
        <w:t xml:space="preserve"> johtaja, Suomen Kuntaliitto </w:t>
      </w:r>
      <w:r w:rsidRPr="00DC11E0">
        <w:rPr>
          <w:rFonts w:cstheme="minorHAnsi"/>
        </w:rPr>
        <w:t>ry, Helena Soimakallio, johtaja, T</w:t>
      </w:r>
      <w:r w:rsidRPr="007B60EF">
        <w:rPr>
          <w:rFonts w:cstheme="minorHAnsi"/>
        </w:rPr>
        <w:t xml:space="preserve">eknologiateollisuus ry, </w:t>
      </w:r>
      <w:r w:rsidRPr="00820292">
        <w:rPr>
          <w:rFonts w:cstheme="minorHAnsi"/>
        </w:rPr>
        <w:t>Pia Vilenius, johtava</w:t>
      </w:r>
      <w:r w:rsidRPr="007B60EF">
        <w:rPr>
          <w:rFonts w:cstheme="minorHAnsi"/>
        </w:rPr>
        <w:t xml:space="preserve"> asiantuntija, Kemianteollisuus ry</w:t>
      </w:r>
      <w:r w:rsidRPr="00820292">
        <w:rPr>
          <w:rFonts w:cstheme="minorHAnsi"/>
        </w:rPr>
        <w:t>, Aaron Vuola,</w:t>
      </w:r>
      <w:r w:rsidRPr="007B60EF">
        <w:rPr>
          <w:rFonts w:cstheme="minorHAnsi"/>
        </w:rPr>
        <w:t xml:space="preserve"> ympäristöasiantuntija, Metsäteollisuus ry, </w:t>
      </w:r>
      <w:r w:rsidRPr="00820292">
        <w:rPr>
          <w:rFonts w:cstheme="minorHAnsi"/>
        </w:rPr>
        <w:t>Tiina Vyyryläinen, vaikuttamistyön</w:t>
      </w:r>
      <w:r w:rsidRPr="007B60EF">
        <w:rPr>
          <w:rFonts w:cstheme="minorHAnsi"/>
        </w:rPr>
        <w:t xml:space="preserve"> päällikkö, Kuluttajaliitto ry</w:t>
      </w:r>
    </w:p>
    <w:p w14:paraId="772C5483" w14:textId="77777777" w:rsidR="004B6394" w:rsidRDefault="004B6394" w:rsidP="00DE193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Myöhemmin liittynyt: Hannu Savolainen, LUKE, </w:t>
      </w:r>
      <w:r w:rsidRPr="00585043">
        <w:rPr>
          <w:rFonts w:cstheme="minorHAnsi"/>
        </w:rPr>
        <w:t>Jyri Seppälä, johtaja, professori, SYKE</w:t>
      </w:r>
      <w:r w:rsidR="00662211">
        <w:rPr>
          <w:rFonts w:cstheme="minorHAnsi"/>
        </w:rPr>
        <w:t xml:space="preserve">. Usea osallistuja joutui poistumaan klo 10 seuraaviin kokouksiin. </w:t>
      </w:r>
    </w:p>
    <w:p w14:paraId="7AB30E1D" w14:textId="77777777" w:rsidR="00585043" w:rsidRPr="00585043" w:rsidRDefault="00585043" w:rsidP="00585043">
      <w:pPr>
        <w:spacing w:after="0" w:line="240" w:lineRule="auto"/>
        <w:rPr>
          <w:rFonts w:cstheme="minorHAnsi"/>
        </w:rPr>
      </w:pPr>
      <w:r w:rsidRPr="00585043">
        <w:rPr>
          <w:rFonts w:cstheme="minorHAnsi"/>
          <w:iCs/>
        </w:rPr>
        <w:t>Sihteeristö</w:t>
      </w:r>
      <w:r>
        <w:rPr>
          <w:rFonts w:cstheme="minorHAnsi"/>
          <w:i/>
          <w:iCs/>
        </w:rPr>
        <w:t xml:space="preserve">: </w:t>
      </w:r>
      <w:r w:rsidRPr="00585043">
        <w:rPr>
          <w:rFonts w:cstheme="minorHAnsi"/>
          <w:iCs/>
        </w:rPr>
        <w:t>Taina Nikula</w:t>
      </w:r>
      <w:r w:rsidRPr="00585043">
        <w:rPr>
          <w:rFonts w:cstheme="minorHAnsi"/>
        </w:rPr>
        <w:t xml:space="preserve">, YM, </w:t>
      </w:r>
      <w:r w:rsidRPr="00585043">
        <w:rPr>
          <w:rFonts w:cstheme="minorHAnsi"/>
          <w:iCs/>
        </w:rPr>
        <w:t>Heikki Sorasahi</w:t>
      </w:r>
      <w:r w:rsidRPr="00585043">
        <w:rPr>
          <w:rFonts w:cstheme="minorHAnsi"/>
        </w:rPr>
        <w:t xml:space="preserve">, YM, </w:t>
      </w:r>
      <w:r w:rsidRPr="00585043">
        <w:rPr>
          <w:rFonts w:cstheme="minorHAnsi"/>
          <w:iCs/>
        </w:rPr>
        <w:t>Sari Tasa</w:t>
      </w:r>
      <w:r w:rsidRPr="00585043">
        <w:rPr>
          <w:rFonts w:cstheme="minorHAnsi"/>
        </w:rPr>
        <w:t>, TEM,</w:t>
      </w:r>
      <w:r>
        <w:rPr>
          <w:rFonts w:cstheme="minorHAnsi"/>
        </w:rPr>
        <w:t xml:space="preserve"> kokouksen pöytäkirja</w:t>
      </w:r>
    </w:p>
    <w:p w14:paraId="4231575C" w14:textId="77777777" w:rsidR="00585043" w:rsidRDefault="00585043" w:rsidP="00DE1939">
      <w:pPr>
        <w:spacing w:after="0" w:line="240" w:lineRule="auto"/>
        <w:rPr>
          <w:rFonts w:cstheme="minorHAnsi"/>
        </w:rPr>
      </w:pPr>
    </w:p>
    <w:p w14:paraId="79F142C1" w14:textId="77777777" w:rsidR="00585043" w:rsidRPr="00585043" w:rsidRDefault="00585043" w:rsidP="00DE1939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</w:rPr>
        <w:t xml:space="preserve">Poissa: </w:t>
      </w:r>
      <w:r w:rsidRPr="00585043">
        <w:rPr>
          <w:rFonts w:cstheme="minorHAnsi"/>
        </w:rPr>
        <w:t>Päivi Antikainen, yksikön johtaja, LVM</w:t>
      </w:r>
      <w:r w:rsidR="004B6394">
        <w:rPr>
          <w:rFonts w:cstheme="minorHAnsi"/>
        </w:rPr>
        <w:t>,</w:t>
      </w:r>
      <w:r w:rsidRPr="00585043">
        <w:rPr>
          <w:rFonts w:cstheme="minorHAnsi"/>
          <w:color w:val="000000" w:themeColor="text1"/>
        </w:rPr>
        <w:t xml:space="preserve"> Tiina Haapasalo, johtava asiantuntija, Elinkeinoelämän keskusliitto</w:t>
      </w:r>
    </w:p>
    <w:p w14:paraId="379ADA41" w14:textId="77777777" w:rsidR="00C80156" w:rsidRPr="00C80156" w:rsidRDefault="00C80156" w:rsidP="00DE1939">
      <w:pPr>
        <w:spacing w:after="0" w:line="240" w:lineRule="auto"/>
        <w:rPr>
          <w:rFonts w:cstheme="minorHAnsi"/>
        </w:rPr>
      </w:pPr>
    </w:p>
    <w:p w14:paraId="4AB3B812" w14:textId="77777777" w:rsidR="00C80156" w:rsidRPr="002600CF" w:rsidRDefault="00C80156" w:rsidP="005E16F4">
      <w:pPr>
        <w:spacing w:after="0" w:line="240" w:lineRule="auto"/>
        <w:ind w:left="360"/>
        <w:rPr>
          <w:rFonts w:eastAsia="Times New Roman" w:cstheme="minorHAnsi"/>
          <w:b/>
        </w:rPr>
      </w:pPr>
      <w:r w:rsidRPr="002600CF">
        <w:rPr>
          <w:rFonts w:eastAsia="Times New Roman" w:cstheme="minorHAnsi"/>
          <w:b/>
        </w:rPr>
        <w:t>Tervetuloa ja avaus</w:t>
      </w:r>
    </w:p>
    <w:p w14:paraId="6BA956D0" w14:textId="70AE789B" w:rsidR="00C80156" w:rsidRPr="00BB5E23" w:rsidRDefault="004B6394" w:rsidP="005E16F4">
      <w:pPr>
        <w:spacing w:after="0" w:line="24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Puheenjohtaja </w:t>
      </w:r>
      <w:r w:rsidR="00C80156" w:rsidRPr="00BB5E23">
        <w:rPr>
          <w:rFonts w:eastAsia="Times New Roman" w:cstheme="minorHAnsi"/>
        </w:rPr>
        <w:t>Juhani Damski</w:t>
      </w:r>
      <w:r w:rsidR="00BB5E23">
        <w:rPr>
          <w:rFonts w:eastAsia="Times New Roman" w:cstheme="minorHAnsi"/>
        </w:rPr>
        <w:t xml:space="preserve"> avasi kokouksen klo 8:30. Hän kiitti ohjelman valmistelusta</w:t>
      </w:r>
      <w:r w:rsidR="005575B1">
        <w:rPr>
          <w:rFonts w:eastAsia="Times New Roman" w:cstheme="minorHAnsi"/>
        </w:rPr>
        <w:t xml:space="preserve"> sekä ennen tätä ohjelmatyötä Suomessa kiertotalouden eteen tehdystä työstä</w:t>
      </w:r>
      <w:r w:rsidR="00BB5E23">
        <w:rPr>
          <w:rFonts w:eastAsia="Times New Roman" w:cstheme="minorHAnsi"/>
        </w:rPr>
        <w:t xml:space="preserve">. </w:t>
      </w:r>
      <w:r w:rsidR="00585043">
        <w:rPr>
          <w:rFonts w:eastAsia="Times New Roman" w:cstheme="minorHAnsi"/>
        </w:rPr>
        <w:t xml:space="preserve">Puheenjohtaja </w:t>
      </w:r>
      <w:r w:rsidR="00BB5E23">
        <w:rPr>
          <w:rFonts w:eastAsia="Times New Roman" w:cstheme="minorHAnsi"/>
        </w:rPr>
        <w:t xml:space="preserve">Damski myös muistutti, että olemme ison uuden äärellä. </w:t>
      </w:r>
    </w:p>
    <w:p w14:paraId="5A746651" w14:textId="77777777" w:rsidR="00C80156" w:rsidRPr="00C80156" w:rsidRDefault="00C80156" w:rsidP="005E16F4">
      <w:pPr>
        <w:spacing w:after="0" w:line="240" w:lineRule="auto"/>
        <w:ind w:left="720"/>
        <w:rPr>
          <w:rFonts w:eastAsia="Times New Roman" w:cstheme="minorHAnsi"/>
        </w:rPr>
      </w:pPr>
    </w:p>
    <w:p w14:paraId="3E861BE6" w14:textId="77777777" w:rsidR="00C80156" w:rsidRPr="002600CF" w:rsidRDefault="00C80156" w:rsidP="005E16F4">
      <w:pPr>
        <w:spacing w:after="0" w:line="240" w:lineRule="auto"/>
        <w:ind w:left="360"/>
        <w:rPr>
          <w:rFonts w:eastAsia="Times New Roman" w:cstheme="minorHAnsi"/>
          <w:b/>
        </w:rPr>
      </w:pPr>
      <w:r w:rsidRPr="002600CF">
        <w:rPr>
          <w:rFonts w:eastAsia="Times New Roman" w:cstheme="minorHAnsi"/>
          <w:b/>
        </w:rPr>
        <w:t xml:space="preserve">Round table: Mitä odotan ohjelman toimeenpanolta ja </w:t>
      </w:r>
      <w:r w:rsidRPr="002600CF">
        <w:rPr>
          <w:rFonts w:eastAsia="Times New Roman" w:cstheme="minorHAnsi"/>
          <w:b/>
        </w:rPr>
        <w:br/>
        <w:t xml:space="preserve">miten sitoudun siihen? </w:t>
      </w:r>
    </w:p>
    <w:p w14:paraId="39E924AA" w14:textId="431A4607" w:rsidR="00C80156" w:rsidRDefault="00C80156" w:rsidP="005E16F4">
      <w:pPr>
        <w:spacing w:after="0" w:line="240" w:lineRule="auto"/>
        <w:ind w:left="360"/>
        <w:rPr>
          <w:rFonts w:eastAsia="Times New Roman" w:cstheme="minorHAnsi"/>
        </w:rPr>
      </w:pPr>
      <w:r w:rsidRPr="005E16F4">
        <w:rPr>
          <w:rFonts w:eastAsia="Times New Roman" w:cstheme="minorHAnsi"/>
        </w:rPr>
        <w:t>Yhtei</w:t>
      </w:r>
      <w:r w:rsidR="007B60EF">
        <w:rPr>
          <w:rFonts w:eastAsia="Times New Roman" w:cstheme="minorHAnsi"/>
        </w:rPr>
        <w:t xml:space="preserve">styöryhmän jäsenet esittäytyivät </w:t>
      </w:r>
      <w:r w:rsidR="00BB5E23">
        <w:rPr>
          <w:rFonts w:eastAsia="Times New Roman" w:cstheme="minorHAnsi"/>
        </w:rPr>
        <w:t xml:space="preserve">ja kertoivat omat odotuksensa. Paikalla olleet listattuna yllä. </w:t>
      </w:r>
      <w:r w:rsidR="00A477B6">
        <w:rPr>
          <w:rFonts w:eastAsia="Times New Roman" w:cstheme="minorHAnsi"/>
        </w:rPr>
        <w:t>Osallistujat ovat vahvasti sitoutuneet ohjelman toteuttamiseen ja toivovat yhteistyötä ja tilannekuvan jakamista. Menossa on jo laaja kirjo erilaisia toimenpiteitä</w:t>
      </w:r>
      <w:r w:rsidR="00585043">
        <w:rPr>
          <w:rFonts w:eastAsia="Times New Roman" w:cstheme="minorHAnsi"/>
        </w:rPr>
        <w:t xml:space="preserve"> tutkimuksesta käytäntöön</w:t>
      </w:r>
      <w:r w:rsidR="00A477B6">
        <w:rPr>
          <w:rFonts w:eastAsia="Times New Roman" w:cstheme="minorHAnsi"/>
        </w:rPr>
        <w:t xml:space="preserve">. </w:t>
      </w:r>
      <w:r w:rsidR="00585043">
        <w:rPr>
          <w:rFonts w:eastAsia="Times New Roman" w:cstheme="minorHAnsi"/>
        </w:rPr>
        <w:t>Toiveena on, että tunnistamme yhdessä rooleja ja keinovalikoimaa, jotta vältytään päällekkäisyyksiltä. Konkreettisia toimenpiteitä ja tutkitun tiedon hyödyntämistä nostettiin es</w:t>
      </w:r>
      <w:r w:rsidR="00820292">
        <w:rPr>
          <w:rFonts w:eastAsia="Times New Roman" w:cstheme="minorHAnsi"/>
        </w:rPr>
        <w:t>iin us</w:t>
      </w:r>
      <w:r w:rsidR="00402C55">
        <w:rPr>
          <w:rFonts w:eastAsia="Times New Roman" w:cstheme="minorHAnsi"/>
        </w:rPr>
        <w:t>e</w:t>
      </w:r>
      <w:r w:rsidR="00820292">
        <w:rPr>
          <w:rFonts w:eastAsia="Times New Roman" w:cstheme="minorHAnsi"/>
        </w:rPr>
        <w:t>immissa</w:t>
      </w:r>
      <w:r w:rsidR="00585043">
        <w:rPr>
          <w:rFonts w:eastAsia="Times New Roman" w:cstheme="minorHAnsi"/>
        </w:rPr>
        <w:t xml:space="preserve"> puheenvuorossa, jotta ei tehtäisi ”tietämättä”. </w:t>
      </w:r>
    </w:p>
    <w:p w14:paraId="40306CFE" w14:textId="77777777" w:rsidR="00402C55" w:rsidRDefault="00402C55" w:rsidP="005E16F4">
      <w:pPr>
        <w:spacing w:after="0" w:line="240" w:lineRule="auto"/>
        <w:ind w:left="360"/>
        <w:rPr>
          <w:rFonts w:eastAsia="Times New Roman" w:cstheme="minorHAnsi"/>
        </w:rPr>
      </w:pPr>
    </w:p>
    <w:p w14:paraId="1CD220F2" w14:textId="2265794A" w:rsidR="00585043" w:rsidRDefault="00585043" w:rsidP="005E16F4">
      <w:pPr>
        <w:spacing w:after="0" w:line="24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Myös pienet toimijat ja uudelleenkäyttö huomioitu ryhmässä, nähtiin uutena asiana. </w:t>
      </w:r>
    </w:p>
    <w:p w14:paraId="4446A121" w14:textId="77777777" w:rsidR="00585043" w:rsidRDefault="00585043" w:rsidP="005E16F4">
      <w:pPr>
        <w:spacing w:after="0" w:line="24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Tavoiteasetannasta WWF totesi, että ohjelma jatkaa edelleen ylikulutusta. Siksi eivät s</w:t>
      </w:r>
      <w:r w:rsidR="00DC11E0">
        <w:rPr>
          <w:rFonts w:eastAsia="Times New Roman" w:cstheme="minorHAnsi"/>
        </w:rPr>
        <w:t xml:space="preserve">itoudu ohjelmaan, vaan haastavat yhteistyön hengessä ja tulevat kirittämään tavoitetta kohti ylikulutuksen hillinnästä sen katkaisuun.  </w:t>
      </w:r>
    </w:p>
    <w:p w14:paraId="64A05830" w14:textId="77777777" w:rsidR="00402C55" w:rsidRDefault="00402C55" w:rsidP="005E16F4">
      <w:pPr>
        <w:spacing w:after="0" w:line="240" w:lineRule="auto"/>
        <w:ind w:left="360"/>
        <w:rPr>
          <w:rFonts w:eastAsia="Times New Roman" w:cstheme="minorHAnsi"/>
        </w:rPr>
      </w:pPr>
    </w:p>
    <w:p w14:paraId="7664042C" w14:textId="6EA0BB57" w:rsidR="00DC11E0" w:rsidRDefault="00DC11E0" w:rsidP="005E16F4">
      <w:pPr>
        <w:spacing w:after="0" w:line="24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Kysyttiin, voisiko ryhmä toimia myös seurantaryhmänä </w:t>
      </w:r>
      <w:r w:rsidR="005575B1">
        <w:rPr>
          <w:rFonts w:eastAsia="Times New Roman" w:cstheme="minorHAnsi"/>
        </w:rPr>
        <w:t xml:space="preserve">kiertotalouden </w:t>
      </w:r>
      <w:r>
        <w:rPr>
          <w:rFonts w:eastAsia="Times New Roman" w:cstheme="minorHAnsi"/>
        </w:rPr>
        <w:t>EU-asioissakin?</w:t>
      </w:r>
    </w:p>
    <w:p w14:paraId="76010AE9" w14:textId="77777777" w:rsidR="00402C55" w:rsidRDefault="00402C55" w:rsidP="005E16F4">
      <w:pPr>
        <w:spacing w:after="0" w:line="240" w:lineRule="auto"/>
        <w:ind w:left="360"/>
        <w:rPr>
          <w:rFonts w:eastAsia="Times New Roman" w:cstheme="minorHAnsi"/>
        </w:rPr>
      </w:pPr>
    </w:p>
    <w:p w14:paraId="210C8176" w14:textId="77777777" w:rsidR="00DC11E0" w:rsidRDefault="00DC11E0" w:rsidP="005E16F4">
      <w:pPr>
        <w:spacing w:after="0" w:line="24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Ohjelmassa ja periaatepäätöksessä on tehty jo paljon ajattelua.</w:t>
      </w:r>
      <w:r w:rsidR="00820292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Nyt on tekojen </w:t>
      </w:r>
      <w:r w:rsidR="00820292">
        <w:rPr>
          <w:rFonts w:eastAsia="Times New Roman" w:cstheme="minorHAnsi"/>
        </w:rPr>
        <w:t xml:space="preserve">ja </w:t>
      </w:r>
      <w:proofErr w:type="spellStart"/>
      <w:r w:rsidR="00820292">
        <w:rPr>
          <w:rFonts w:eastAsia="Times New Roman" w:cstheme="minorHAnsi"/>
        </w:rPr>
        <w:t>konkretian</w:t>
      </w:r>
      <w:proofErr w:type="spellEnd"/>
      <w:r w:rsidR="00820292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aika. </w:t>
      </w:r>
    </w:p>
    <w:p w14:paraId="65C658BE" w14:textId="77777777" w:rsidR="00820292" w:rsidRDefault="00820292" w:rsidP="00820292">
      <w:pPr>
        <w:spacing w:after="0" w:line="240" w:lineRule="auto"/>
        <w:ind w:left="360"/>
        <w:rPr>
          <w:rFonts w:eastAsia="Times New Roman" w:cstheme="minorHAnsi"/>
        </w:rPr>
      </w:pPr>
    </w:p>
    <w:p w14:paraId="05474F10" w14:textId="77777777" w:rsidR="00820292" w:rsidRDefault="00820292" w:rsidP="00820292">
      <w:pPr>
        <w:spacing w:after="0" w:line="24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Puheenjohtaja kiitti sitoutumisesta. Yhteisenä asiana todettiin </w:t>
      </w:r>
      <w:proofErr w:type="spellStart"/>
      <w:r>
        <w:rPr>
          <w:rFonts w:eastAsia="Times New Roman" w:cstheme="minorHAnsi"/>
        </w:rPr>
        <w:t>konkretian</w:t>
      </w:r>
      <w:proofErr w:type="spellEnd"/>
      <w:r>
        <w:rPr>
          <w:rFonts w:eastAsia="Times New Roman" w:cstheme="minorHAnsi"/>
        </w:rPr>
        <w:t xml:space="preserve"> kaipuu. Odotukset ovat korkeat ja myös rima, totesi sihteeristö. </w:t>
      </w:r>
    </w:p>
    <w:p w14:paraId="1BB0CAB8" w14:textId="77777777" w:rsidR="00820292" w:rsidRPr="00820292" w:rsidRDefault="00820292" w:rsidP="00820292">
      <w:pPr>
        <w:spacing w:after="0" w:line="240" w:lineRule="auto"/>
        <w:ind w:left="360"/>
        <w:rPr>
          <w:rFonts w:eastAsia="Times New Roman" w:cstheme="minorHAnsi"/>
        </w:rPr>
      </w:pPr>
    </w:p>
    <w:p w14:paraId="685DA745" w14:textId="77777777" w:rsidR="00C80156" w:rsidRPr="002600CF" w:rsidRDefault="00C80156" w:rsidP="005E16F4">
      <w:pPr>
        <w:spacing w:after="0" w:line="240" w:lineRule="auto"/>
        <w:ind w:left="360"/>
        <w:rPr>
          <w:rFonts w:eastAsia="Times New Roman" w:cstheme="minorHAnsi"/>
          <w:b/>
        </w:rPr>
      </w:pPr>
      <w:r w:rsidRPr="002600CF">
        <w:rPr>
          <w:rFonts w:eastAsia="Times New Roman" w:cstheme="minorHAnsi"/>
          <w:b/>
        </w:rPr>
        <w:t>Yhteistyöryhmän rooli ja ’pelisäännöt’</w:t>
      </w:r>
    </w:p>
    <w:p w14:paraId="6BE6E545" w14:textId="77777777" w:rsidR="00C80156" w:rsidRDefault="00C80156" w:rsidP="005E16F4">
      <w:pPr>
        <w:spacing w:after="0" w:line="240" w:lineRule="auto"/>
        <w:ind w:left="360"/>
        <w:rPr>
          <w:rFonts w:eastAsia="Times New Roman" w:cstheme="minorHAnsi"/>
        </w:rPr>
      </w:pPr>
      <w:r w:rsidRPr="00A477B6">
        <w:rPr>
          <w:rFonts w:eastAsia="Times New Roman" w:cstheme="minorHAnsi"/>
        </w:rPr>
        <w:t>Taina Nikula</w:t>
      </w:r>
      <w:r w:rsidR="00A477B6">
        <w:rPr>
          <w:rFonts w:eastAsia="Times New Roman" w:cstheme="minorHAnsi"/>
        </w:rPr>
        <w:t xml:space="preserve"> esitteli</w:t>
      </w:r>
      <w:r w:rsidR="00820292">
        <w:rPr>
          <w:rFonts w:eastAsia="Times New Roman" w:cstheme="minorHAnsi"/>
        </w:rPr>
        <w:t xml:space="preserve"> yhteistyöryhmän tehtäviä ja rooleja kiertotalouden </w:t>
      </w:r>
      <w:proofErr w:type="spellStart"/>
      <w:r w:rsidR="00820292">
        <w:rPr>
          <w:rFonts w:eastAsia="Times New Roman" w:cstheme="minorHAnsi"/>
        </w:rPr>
        <w:t>valtavirtaistamisessa</w:t>
      </w:r>
      <w:proofErr w:type="spellEnd"/>
      <w:r w:rsidR="00820292">
        <w:rPr>
          <w:rFonts w:eastAsia="Times New Roman" w:cstheme="minorHAnsi"/>
        </w:rPr>
        <w:t xml:space="preserve">. </w:t>
      </w:r>
    </w:p>
    <w:p w14:paraId="13F674CA" w14:textId="38FA9227" w:rsidR="006C76B2" w:rsidRDefault="006C76B2" w:rsidP="005E16F4">
      <w:pPr>
        <w:spacing w:after="0" w:line="24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Kokousmateriaali on Tiimerissä. Ryhmäläisiä pyydetään ottamaan yhteyttä sihteeristöön, jos haasteita päästä sisään</w:t>
      </w:r>
      <w:r w:rsidR="005575B1">
        <w:rPr>
          <w:rFonts w:eastAsia="Times New Roman" w:cstheme="minorHAnsi"/>
        </w:rPr>
        <w:t xml:space="preserve"> Tiimeriin</w:t>
      </w:r>
      <w:r>
        <w:rPr>
          <w:rFonts w:eastAsia="Times New Roman" w:cstheme="minorHAnsi"/>
        </w:rPr>
        <w:t xml:space="preserve">. Myös tämän kokouksen materiaali löytyy sieltä. </w:t>
      </w:r>
    </w:p>
    <w:p w14:paraId="70EB326F" w14:textId="6581A096" w:rsidR="006C76B2" w:rsidRDefault="006C76B2" w:rsidP="005E16F4">
      <w:pPr>
        <w:spacing w:after="0" w:line="24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Kokouspäivämäär</w:t>
      </w:r>
      <w:r w:rsidR="00402C55">
        <w:rPr>
          <w:rFonts w:eastAsia="Times New Roman" w:cstheme="minorHAnsi"/>
        </w:rPr>
        <w:t>ät</w:t>
      </w:r>
      <w:r>
        <w:rPr>
          <w:rFonts w:eastAsia="Times New Roman" w:cstheme="minorHAnsi"/>
        </w:rPr>
        <w:t xml:space="preserve"> allakoi</w:t>
      </w:r>
      <w:r w:rsidR="00402C55">
        <w:rPr>
          <w:rFonts w:eastAsia="Times New Roman" w:cstheme="minorHAnsi"/>
        </w:rPr>
        <w:t>daan</w:t>
      </w:r>
      <w:r>
        <w:rPr>
          <w:rFonts w:eastAsia="Times New Roman" w:cstheme="minorHAnsi"/>
        </w:rPr>
        <w:t xml:space="preserve"> mahdollisimman pian. </w:t>
      </w:r>
    </w:p>
    <w:p w14:paraId="09FAD05A" w14:textId="77777777" w:rsidR="004B6394" w:rsidRDefault="004B6394" w:rsidP="005E16F4">
      <w:pPr>
        <w:spacing w:after="0" w:line="240" w:lineRule="auto"/>
        <w:ind w:left="360"/>
        <w:rPr>
          <w:rFonts w:eastAsia="Times New Roman" w:cstheme="minorHAnsi"/>
        </w:rPr>
      </w:pPr>
    </w:p>
    <w:p w14:paraId="0884A60A" w14:textId="51E9735C" w:rsidR="00C80156" w:rsidRPr="006C76B2" w:rsidRDefault="00C80156" w:rsidP="006C76B2">
      <w:pPr>
        <w:spacing w:after="0"/>
        <w:rPr>
          <w:rFonts w:eastAsia="Times New Roman" w:cstheme="minorHAnsi"/>
        </w:rPr>
      </w:pPr>
    </w:p>
    <w:p w14:paraId="63E28082" w14:textId="77777777" w:rsidR="00C80156" w:rsidRPr="002600CF" w:rsidRDefault="00C80156" w:rsidP="005E16F4">
      <w:pPr>
        <w:spacing w:after="0" w:line="240" w:lineRule="auto"/>
        <w:ind w:left="360"/>
        <w:rPr>
          <w:rFonts w:eastAsia="Times New Roman" w:cstheme="minorHAnsi"/>
          <w:b/>
        </w:rPr>
      </w:pPr>
      <w:r w:rsidRPr="002600CF">
        <w:rPr>
          <w:rFonts w:eastAsia="Times New Roman" w:cstheme="minorHAnsi"/>
          <w:b/>
        </w:rPr>
        <w:t>Kiertotalousohjelman esittely</w:t>
      </w:r>
    </w:p>
    <w:p w14:paraId="0368E1E2" w14:textId="05E5C667" w:rsidR="00C80156" w:rsidRDefault="00C80156" w:rsidP="005E16F4">
      <w:pPr>
        <w:spacing w:after="0" w:line="240" w:lineRule="auto"/>
        <w:ind w:left="360"/>
        <w:rPr>
          <w:rFonts w:eastAsia="Times New Roman" w:cstheme="minorHAnsi"/>
        </w:rPr>
      </w:pPr>
      <w:r w:rsidRPr="004B6394">
        <w:rPr>
          <w:rFonts w:eastAsia="Times New Roman" w:cstheme="minorHAnsi"/>
        </w:rPr>
        <w:t>Taina Nikula ja Sari Tasa</w:t>
      </w:r>
      <w:r w:rsidR="00585043" w:rsidRPr="004B6394">
        <w:rPr>
          <w:rFonts w:eastAsia="Times New Roman" w:cstheme="minorHAnsi"/>
        </w:rPr>
        <w:t xml:space="preserve"> esitteli</w:t>
      </w:r>
      <w:r w:rsidRPr="004B6394">
        <w:rPr>
          <w:rFonts w:eastAsia="Times New Roman" w:cstheme="minorHAnsi"/>
        </w:rPr>
        <w:t>vät</w:t>
      </w:r>
      <w:r w:rsidR="006C76B2" w:rsidRPr="004B6394">
        <w:rPr>
          <w:rFonts w:eastAsia="Times New Roman" w:cstheme="minorHAnsi"/>
        </w:rPr>
        <w:t xml:space="preserve"> ohjelman keskeisiä tavoitteita ja toimenpiteitä. </w:t>
      </w:r>
      <w:r w:rsidR="004B6394" w:rsidRPr="004B6394">
        <w:rPr>
          <w:rFonts w:eastAsia="Times New Roman" w:cstheme="minorHAnsi"/>
        </w:rPr>
        <w:t xml:space="preserve">Tiimeristä löytyy </w:t>
      </w:r>
      <w:hyperlink r:id="rId10" w:history="1">
        <w:r w:rsidR="005575B1" w:rsidRPr="005575B1">
          <w:rPr>
            <w:rStyle w:val="Hyperlinkki"/>
            <w:rFonts w:eastAsia="Times New Roman" w:cstheme="minorHAnsi"/>
          </w:rPr>
          <w:t>ohjelman toimenpiteiden h</w:t>
        </w:r>
        <w:r w:rsidR="004B6394" w:rsidRPr="005575B1">
          <w:rPr>
            <w:rStyle w:val="Hyperlinkki"/>
            <w:rFonts w:eastAsia="Times New Roman" w:cstheme="minorHAnsi"/>
          </w:rPr>
          <w:t>ankekortit</w:t>
        </w:r>
      </w:hyperlink>
      <w:r w:rsidR="004B6394" w:rsidRPr="004B6394">
        <w:rPr>
          <w:rFonts w:eastAsia="Times New Roman" w:cstheme="minorHAnsi"/>
        </w:rPr>
        <w:t xml:space="preserve">, joissa on tarkemmat tiedot ja tilannekatsaus missä mennään. </w:t>
      </w:r>
    </w:p>
    <w:p w14:paraId="69AE48BB" w14:textId="77777777" w:rsidR="00402C55" w:rsidRPr="004B6394" w:rsidRDefault="00402C55" w:rsidP="005E16F4">
      <w:pPr>
        <w:spacing w:after="0" w:line="240" w:lineRule="auto"/>
        <w:ind w:left="360"/>
        <w:rPr>
          <w:rFonts w:eastAsia="Times New Roman" w:cstheme="minorHAnsi"/>
        </w:rPr>
      </w:pPr>
    </w:p>
    <w:p w14:paraId="5E291F86" w14:textId="77777777" w:rsidR="00402C55" w:rsidRDefault="004B6394" w:rsidP="004B6394">
      <w:pPr>
        <w:spacing w:after="0" w:line="240" w:lineRule="auto"/>
        <w:ind w:left="360"/>
        <w:rPr>
          <w:rFonts w:eastAsia="Times New Roman" w:cstheme="minorHAnsi"/>
        </w:rPr>
      </w:pPr>
      <w:r w:rsidRPr="004B6394">
        <w:rPr>
          <w:rFonts w:eastAsia="Times New Roman" w:cstheme="minorHAnsi"/>
        </w:rPr>
        <w:t>Keskustelu</w:t>
      </w:r>
      <w:r w:rsidR="00402C55">
        <w:rPr>
          <w:rFonts w:eastAsia="Times New Roman" w:cstheme="minorHAnsi"/>
        </w:rPr>
        <w:t>:</w:t>
      </w:r>
    </w:p>
    <w:p w14:paraId="6AAB3F9A" w14:textId="0A3DF4D2" w:rsidR="00C80156" w:rsidRDefault="00402C55" w:rsidP="00402C55">
      <w:pPr>
        <w:pStyle w:val="Luettelokappale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eastAsia="Times New Roman" w:cstheme="minorHAnsi"/>
        </w:rPr>
        <w:t>O</w:t>
      </w:r>
      <w:r w:rsidR="004B6394" w:rsidRPr="00402C55">
        <w:rPr>
          <w:rFonts w:eastAsia="Times New Roman" w:cstheme="minorHAnsi"/>
        </w:rPr>
        <w:t>lisiko indikaattoreihin mahdollista lisätä jotain "politiikkaindikaattoreita", esim</w:t>
      </w:r>
      <w:r w:rsidR="007535DC" w:rsidRPr="00402C55">
        <w:rPr>
          <w:rFonts w:eastAsia="Times New Roman" w:cstheme="minorHAnsi"/>
        </w:rPr>
        <w:t>.</w:t>
      </w:r>
      <w:r w:rsidR="004B6394" w:rsidRPr="00402C55">
        <w:rPr>
          <w:rFonts w:eastAsia="Times New Roman" w:cstheme="minorHAnsi"/>
        </w:rPr>
        <w:t xml:space="preserve"> haitallisten tukien määrä sekä luonnonvaraverojen määrä? </w:t>
      </w:r>
      <w:r w:rsidR="004B6394" w:rsidRPr="00402C55">
        <w:rPr>
          <w:rFonts w:cstheme="minorHAnsi"/>
        </w:rPr>
        <w:t>Perinteisesti uudelleenkäyttöä ei ole laskettu mukaan kiertotalouden työpaikkoja laskettaessa. Toivottavasti tulee sinnekin mukaan, ja mukaan myös muihin indikaattoreihin, esim</w:t>
      </w:r>
      <w:r w:rsidR="00662211" w:rsidRPr="00402C55">
        <w:rPr>
          <w:rFonts w:cstheme="minorHAnsi"/>
        </w:rPr>
        <w:t>.</w:t>
      </w:r>
      <w:r w:rsidR="004B6394" w:rsidRPr="00402C55">
        <w:rPr>
          <w:rFonts w:cstheme="minorHAnsi"/>
        </w:rPr>
        <w:t xml:space="preserve"> yritysten määrää laskettaessa. </w:t>
      </w:r>
    </w:p>
    <w:p w14:paraId="46B3F4AD" w14:textId="77777777" w:rsidR="00402C55" w:rsidRPr="001251A2" w:rsidRDefault="00402C55" w:rsidP="001251A2">
      <w:pPr>
        <w:pStyle w:val="Luettelokappale"/>
        <w:numPr>
          <w:ilvl w:val="0"/>
          <w:numId w:val="14"/>
        </w:numPr>
        <w:spacing w:after="0" w:line="240" w:lineRule="auto"/>
        <w:ind w:left="1077" w:hanging="357"/>
        <w:rPr>
          <w:rFonts w:cstheme="minorHAnsi"/>
        </w:rPr>
      </w:pPr>
      <w:r>
        <w:rPr>
          <w:rFonts w:cstheme="minorHAnsi"/>
        </w:rPr>
        <w:t>Keskustelussa pohdittiin, o</w:t>
      </w:r>
      <w:r w:rsidRPr="00402C55">
        <w:rPr>
          <w:rFonts w:cstheme="minorHAnsi"/>
        </w:rPr>
        <w:t xml:space="preserve">nko kotimaan loppukäyttöä (RMC) mahdollista uskottavasti selvittää. </w:t>
      </w:r>
      <w:r w:rsidRPr="00402C55">
        <w:rPr>
          <w:rFonts w:ascii="Segoe UI" w:hAnsi="Segoe UI" w:cs="Segoe UI"/>
          <w:sz w:val="21"/>
          <w:szCs w:val="21"/>
        </w:rPr>
        <w:t xml:space="preserve">RMC:n laskentaan on vakiintunut metodologia: </w:t>
      </w:r>
      <w:hyperlink r:id="rId11" w:tgtFrame="_blank" w:tooltip="https://ec.europa.eu/eurostat/web/products-manuals-and-guidelines/-/ks-gq-18-006" w:history="1">
        <w:r w:rsidRPr="001251A2">
          <w:rPr>
            <w:rStyle w:val="Hyperlinkki"/>
            <w:rFonts w:cstheme="minorHAnsi"/>
          </w:rPr>
          <w:t>https://ec.europa.eu/eurostat/web/products-manuals-and-guidelines/-/ks-gq-18-006</w:t>
        </w:r>
      </w:hyperlink>
    </w:p>
    <w:p w14:paraId="1A1969C1" w14:textId="086C1147" w:rsidR="005A5FC4" w:rsidRDefault="005A5FC4" w:rsidP="001251A2">
      <w:pPr>
        <w:pStyle w:val="Luettelokappale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Re-mining eli rikastushiekkojen ja sivukivien jalostami</w:t>
      </w:r>
      <w:r w:rsidR="004C7E39">
        <w:rPr>
          <w:rFonts w:cstheme="minorHAnsi"/>
        </w:rPr>
        <w:t xml:space="preserve">sessa on paljon potentiaalia, jota GTK tutkii ja </w:t>
      </w:r>
      <w:r>
        <w:rPr>
          <w:rFonts w:cstheme="minorHAnsi"/>
        </w:rPr>
        <w:t>voisi globaaleill</w:t>
      </w:r>
      <w:r w:rsidR="004C7E39">
        <w:rPr>
          <w:rFonts w:cstheme="minorHAnsi"/>
        </w:rPr>
        <w:t>e</w:t>
      </w:r>
      <w:r>
        <w:rPr>
          <w:rFonts w:cstheme="minorHAnsi"/>
        </w:rPr>
        <w:t xml:space="preserve"> markkinoill</w:t>
      </w:r>
      <w:r w:rsidR="004C7E39">
        <w:rPr>
          <w:rFonts w:cstheme="minorHAnsi"/>
        </w:rPr>
        <w:t>e olla ratkaisu.</w:t>
      </w:r>
    </w:p>
    <w:p w14:paraId="00BE62C0" w14:textId="633C4469" w:rsidR="00842970" w:rsidRPr="001251A2" w:rsidRDefault="00662211" w:rsidP="001251A2">
      <w:pPr>
        <w:pStyle w:val="Luettelokappale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1251A2">
        <w:rPr>
          <w:rFonts w:cstheme="minorHAnsi"/>
        </w:rPr>
        <w:t xml:space="preserve">Markkinaehtoisuuteen perustuva </w:t>
      </w:r>
      <w:r w:rsidR="00872EA2">
        <w:rPr>
          <w:rFonts w:cstheme="minorHAnsi"/>
        </w:rPr>
        <w:t xml:space="preserve">kierrätysraaka-aineen </w:t>
      </w:r>
      <w:r w:rsidRPr="001251A2">
        <w:rPr>
          <w:rFonts w:cstheme="minorHAnsi"/>
        </w:rPr>
        <w:t>käyttö</w:t>
      </w:r>
      <w:r w:rsidR="00872EA2">
        <w:rPr>
          <w:rFonts w:cstheme="minorHAnsi"/>
        </w:rPr>
        <w:t>- tai sekoite</w:t>
      </w:r>
      <w:r w:rsidRPr="001251A2">
        <w:rPr>
          <w:rFonts w:cstheme="minorHAnsi"/>
        </w:rPr>
        <w:t xml:space="preserve">velvoite nostettiin esiin. </w:t>
      </w:r>
    </w:p>
    <w:p w14:paraId="70520556" w14:textId="1CBE0BFC" w:rsidR="004C7E39" w:rsidRPr="004C7E39" w:rsidRDefault="00662211" w:rsidP="004C7E39">
      <w:pPr>
        <w:pStyle w:val="Luettelokappale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4C7E39">
        <w:rPr>
          <w:rFonts w:cstheme="minorHAnsi"/>
        </w:rPr>
        <w:t xml:space="preserve">Pääomien seuranta voisi olla yksi seurattavista indikaattoreista </w:t>
      </w:r>
      <w:r w:rsidR="004C7E39" w:rsidRPr="004C7E39">
        <w:rPr>
          <w:rFonts w:cstheme="minorHAnsi"/>
        </w:rPr>
        <w:t>ja investoinnit ja rahoitus voisi olla yksi teema tulevissa kokouksissa. Taksonomia tulee ohjaamaan kiertotaloustavoitteita. Kestävän rahoituksen (taksonomian) kriteeriluonnoksiss</w:t>
      </w:r>
      <w:r w:rsidR="004C7E39" w:rsidRPr="00023686">
        <w:rPr>
          <w:rFonts w:cstheme="minorHAnsi"/>
        </w:rPr>
        <w:t>a kunnianhimoisia tavoitteita kiertotalouden edistämiselle - myös kierrätetyn</w:t>
      </w:r>
      <w:r w:rsidR="004C7E39" w:rsidRPr="00B10FE8">
        <w:rPr>
          <w:rFonts w:cstheme="minorHAnsi"/>
        </w:rPr>
        <w:t xml:space="preserve"> materiaalin osuudelle tuotannossa </w:t>
      </w:r>
      <w:hyperlink r:id="rId12" w:history="1">
        <w:r w:rsidR="004C7E39" w:rsidRPr="004C7E39">
          <w:rPr>
            <w:rStyle w:val="Hyperlinkki"/>
            <w:rFonts w:cstheme="minorHAnsi"/>
          </w:rPr>
          <w:t>https://ec.europa.eu/info/publications/210803-sustainable-finance-platform-technical-screening-criteria-taxonomy-report_en</w:t>
        </w:r>
      </w:hyperlink>
    </w:p>
    <w:p w14:paraId="6EB5A70B" w14:textId="251AAE33" w:rsidR="00662211" w:rsidRPr="00540C88" w:rsidRDefault="00662211" w:rsidP="00540C88">
      <w:pPr>
        <w:pStyle w:val="Luettelokappale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540C88">
        <w:rPr>
          <w:rFonts w:cstheme="minorHAnsi"/>
        </w:rPr>
        <w:t>Miten rakennetaan kilpailukykyä – ei vain kotimaisia konsepteja vaan luodaan kokonaisuuksia, joita voidaan viedä.</w:t>
      </w:r>
      <w:r w:rsidR="00540C88" w:rsidRPr="00540C88">
        <w:rPr>
          <w:rFonts w:cstheme="minorHAnsi"/>
        </w:rPr>
        <w:t xml:space="preserve"> </w:t>
      </w:r>
      <w:r w:rsidR="00540C88" w:rsidRPr="00977159">
        <w:rPr>
          <w:rFonts w:cstheme="minorHAnsi"/>
        </w:rPr>
        <w:t xml:space="preserve">Keskustelussa nousi esiin, että </w:t>
      </w:r>
      <w:r w:rsidR="00540C88" w:rsidRPr="00977159">
        <w:rPr>
          <w:rFonts w:eastAsia="Times New Roman" w:cstheme="minorHAnsi"/>
          <w:lang w:eastAsia="fi-FI"/>
        </w:rPr>
        <w:t xml:space="preserve">kasvuyritykset eivät yksin kotimaan pilotoinnin ja markkinoille pääsyn jälkeen pysty ponnistamaan maailman markkinoille. Integraattoritoimintaa tarvitaan avuksi. </w:t>
      </w:r>
      <w:r w:rsidR="00B10FE8" w:rsidRPr="00977159">
        <w:rPr>
          <w:rFonts w:eastAsia="Times New Roman" w:cstheme="minorHAnsi"/>
          <w:lang w:eastAsia="fi-FI"/>
        </w:rPr>
        <w:t>Kiertotalous on paitsi materiaalivirtoja ja ympäristövaikutuksia. Se on myös työpaikkoja ja ihmisten saamia palveluita. Tuntuu, että vienti jyrää suurten kuvioiden ajattelussa.</w:t>
      </w:r>
      <w:r w:rsidR="00B10FE8" w:rsidRPr="00540C88">
        <w:rPr>
          <w:rFonts w:ascii="Segoe UI" w:eastAsia="Times New Roman" w:hAnsi="Segoe UI" w:cs="Segoe UI"/>
          <w:sz w:val="21"/>
          <w:szCs w:val="21"/>
          <w:lang w:eastAsia="fi-FI"/>
        </w:rPr>
        <w:t xml:space="preserve"> </w:t>
      </w:r>
      <w:r w:rsidRPr="00540C88">
        <w:rPr>
          <w:rFonts w:cstheme="minorHAnsi"/>
        </w:rPr>
        <w:t>Vasta-argumenttina yrityksistä 93 prosenttia on alle 10 hengen mikroyrityksiä, jotka työllistävät 23 prosenttia työvoimasta. Reilusti yli puolet liikevaihdosta ja kaikista työpaikoista on mikro- tai pk-yrityksissä (Yrittäjyystilastot 2017, SY</w:t>
      </w:r>
      <w:r w:rsidR="005575B1">
        <w:rPr>
          <w:rFonts w:cstheme="minorHAnsi"/>
        </w:rPr>
        <w:t>).</w:t>
      </w:r>
    </w:p>
    <w:p w14:paraId="3C7D5424" w14:textId="77777777" w:rsidR="004B6394" w:rsidRPr="004B6394" w:rsidRDefault="004B6394" w:rsidP="004B6394">
      <w:pPr>
        <w:spacing w:after="0" w:line="240" w:lineRule="auto"/>
        <w:ind w:left="360"/>
        <w:rPr>
          <w:rFonts w:eastAsia="Times New Roman" w:cstheme="minorHAnsi"/>
        </w:rPr>
      </w:pPr>
    </w:p>
    <w:p w14:paraId="2F11C53E" w14:textId="77777777" w:rsidR="00C80156" w:rsidRPr="002600CF" w:rsidRDefault="00C80156" w:rsidP="005E16F4">
      <w:pPr>
        <w:spacing w:after="0" w:line="240" w:lineRule="auto"/>
        <w:ind w:left="360"/>
        <w:rPr>
          <w:rFonts w:eastAsia="Times New Roman" w:cstheme="minorHAnsi"/>
          <w:b/>
        </w:rPr>
      </w:pPr>
      <w:r w:rsidRPr="002600CF">
        <w:rPr>
          <w:rFonts w:eastAsia="Times New Roman" w:cstheme="minorHAnsi"/>
          <w:b/>
        </w:rPr>
        <w:t>Esittelyssä sopimus vähähiilisestä kiertotaloudesta</w:t>
      </w:r>
    </w:p>
    <w:p w14:paraId="57C89F08" w14:textId="1082350A" w:rsidR="00C80156" w:rsidRPr="00662211" w:rsidRDefault="00C80156" w:rsidP="005E16F4">
      <w:pPr>
        <w:spacing w:after="0" w:line="240" w:lineRule="auto"/>
        <w:ind w:left="360"/>
        <w:rPr>
          <w:rFonts w:eastAsia="Times New Roman" w:cstheme="minorHAnsi"/>
        </w:rPr>
      </w:pPr>
      <w:r w:rsidRPr="00662211">
        <w:rPr>
          <w:rFonts w:eastAsia="Times New Roman" w:cstheme="minorHAnsi"/>
        </w:rPr>
        <w:t>Heikki Sorasahi</w:t>
      </w:r>
      <w:r w:rsidR="00662211" w:rsidRPr="00662211">
        <w:rPr>
          <w:rFonts w:eastAsia="Times New Roman" w:cstheme="minorHAnsi"/>
        </w:rPr>
        <w:t xml:space="preserve"> esitteli </w:t>
      </w:r>
      <w:r w:rsidR="00662211">
        <w:rPr>
          <w:rFonts w:eastAsia="Times New Roman" w:cstheme="minorHAnsi"/>
        </w:rPr>
        <w:t xml:space="preserve">suunnitelmaa. Materiaali </w:t>
      </w:r>
      <w:r w:rsidR="00842970">
        <w:rPr>
          <w:rFonts w:eastAsia="Times New Roman" w:cstheme="minorHAnsi"/>
        </w:rPr>
        <w:t>on Tiimerissä</w:t>
      </w:r>
      <w:r w:rsidR="00662211">
        <w:rPr>
          <w:rFonts w:eastAsia="Times New Roman" w:cstheme="minorHAnsi"/>
        </w:rPr>
        <w:t xml:space="preserve">. </w:t>
      </w:r>
    </w:p>
    <w:p w14:paraId="4689E8FF" w14:textId="77777777" w:rsidR="00402C55" w:rsidRDefault="00402C55" w:rsidP="005E16F4">
      <w:pPr>
        <w:spacing w:after="0" w:line="240" w:lineRule="auto"/>
        <w:ind w:left="360"/>
        <w:rPr>
          <w:rFonts w:eastAsia="Times New Roman" w:cstheme="minorHAnsi"/>
        </w:rPr>
      </w:pPr>
    </w:p>
    <w:p w14:paraId="33BC587A" w14:textId="77777777" w:rsidR="0024073A" w:rsidRDefault="0024073A" w:rsidP="005E16F4">
      <w:pPr>
        <w:spacing w:after="0" w:line="24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Keskustelu:</w:t>
      </w:r>
    </w:p>
    <w:p w14:paraId="5B9B11FE" w14:textId="77777777" w:rsidR="00C80156" w:rsidRPr="00402C55" w:rsidRDefault="0024073A" w:rsidP="00402C55">
      <w:pPr>
        <w:pStyle w:val="Luettelokappale"/>
        <w:numPr>
          <w:ilvl w:val="0"/>
          <w:numId w:val="13"/>
        </w:numPr>
        <w:spacing w:after="0" w:line="240" w:lineRule="auto"/>
        <w:rPr>
          <w:rFonts w:eastAsia="Times New Roman" w:cstheme="minorHAnsi"/>
        </w:rPr>
      </w:pPr>
      <w:r w:rsidRPr="00402C55">
        <w:rPr>
          <w:rFonts w:eastAsia="Times New Roman" w:cstheme="minorHAnsi"/>
        </w:rPr>
        <w:t>Miten kyseinen sopimus täydentää kokonaiskuvaa ja mitä lisäarvoa tämä toisi?</w:t>
      </w:r>
    </w:p>
    <w:p w14:paraId="670E16A9" w14:textId="77777777" w:rsidR="0024073A" w:rsidRPr="00402C55" w:rsidRDefault="007535DC" w:rsidP="00402C55">
      <w:pPr>
        <w:pStyle w:val="Luettelokappale"/>
        <w:numPr>
          <w:ilvl w:val="0"/>
          <w:numId w:val="13"/>
        </w:numPr>
        <w:spacing w:after="0" w:line="240" w:lineRule="auto"/>
        <w:rPr>
          <w:rFonts w:eastAsia="Times New Roman" w:cstheme="minorHAnsi"/>
        </w:rPr>
      </w:pPr>
      <w:r w:rsidRPr="00402C55">
        <w:rPr>
          <w:rFonts w:eastAsia="Times New Roman" w:cstheme="minorHAnsi"/>
        </w:rPr>
        <w:t xml:space="preserve">Esimerkiksi </w:t>
      </w:r>
      <w:r w:rsidR="0024073A" w:rsidRPr="00402C55">
        <w:rPr>
          <w:rFonts w:eastAsia="Times New Roman" w:cstheme="minorHAnsi"/>
        </w:rPr>
        <w:t>Teknologiateollisuu</w:t>
      </w:r>
      <w:r w:rsidRPr="00402C55">
        <w:rPr>
          <w:rFonts w:eastAsia="Times New Roman" w:cstheme="minorHAnsi"/>
        </w:rPr>
        <w:t>s, LUKE, Motiva, Kuntaliitto</w:t>
      </w:r>
      <w:r w:rsidR="0024073A" w:rsidRPr="00402C55">
        <w:rPr>
          <w:rFonts w:eastAsia="Times New Roman" w:cstheme="minorHAnsi"/>
        </w:rPr>
        <w:t xml:space="preserve"> ovat kiinnostuneet osallistumaan jatkovalmisteluun. </w:t>
      </w:r>
    </w:p>
    <w:p w14:paraId="08C32220" w14:textId="77777777" w:rsidR="003B6328" w:rsidRDefault="0024073A" w:rsidP="003B6328">
      <w:pPr>
        <w:pStyle w:val="Luettelokappale"/>
        <w:numPr>
          <w:ilvl w:val="0"/>
          <w:numId w:val="13"/>
        </w:numPr>
        <w:spacing w:after="0" w:line="240" w:lineRule="auto"/>
        <w:rPr>
          <w:rFonts w:eastAsia="Times New Roman" w:cstheme="minorHAnsi"/>
        </w:rPr>
      </w:pPr>
      <w:r w:rsidRPr="00402C55">
        <w:rPr>
          <w:rFonts w:eastAsia="Times New Roman" w:cstheme="minorHAnsi"/>
        </w:rPr>
        <w:t xml:space="preserve">Vauhdinotto näillä sopimuksilla ja regulaatio perälaudaksi. </w:t>
      </w:r>
    </w:p>
    <w:p w14:paraId="60F1A04C" w14:textId="2FD490C8" w:rsidR="0024073A" w:rsidRPr="003B6328" w:rsidRDefault="007535DC" w:rsidP="003B6328">
      <w:pPr>
        <w:pStyle w:val="Luettelokappale"/>
        <w:numPr>
          <w:ilvl w:val="0"/>
          <w:numId w:val="13"/>
        </w:numPr>
        <w:spacing w:after="0" w:line="240" w:lineRule="auto"/>
        <w:rPr>
          <w:rFonts w:eastAsia="Times New Roman" w:cstheme="minorHAnsi"/>
        </w:rPr>
      </w:pPr>
      <w:r w:rsidRPr="003B6328">
        <w:rPr>
          <w:rFonts w:eastAsia="Times New Roman" w:cstheme="minorHAnsi"/>
        </w:rPr>
        <w:t>S</w:t>
      </w:r>
      <w:r w:rsidR="0024073A" w:rsidRPr="003B6328">
        <w:rPr>
          <w:rFonts w:eastAsia="Times New Roman" w:cstheme="minorHAnsi"/>
        </w:rPr>
        <w:t>opimukseen liittyjille on oltava molemmin</w:t>
      </w:r>
      <w:r w:rsidRPr="003B6328">
        <w:rPr>
          <w:rFonts w:eastAsia="Times New Roman" w:cstheme="minorHAnsi"/>
        </w:rPr>
        <w:t xml:space="preserve"> </w:t>
      </w:r>
      <w:r w:rsidR="0024073A" w:rsidRPr="003B6328">
        <w:rPr>
          <w:rFonts w:eastAsia="Times New Roman" w:cstheme="minorHAnsi"/>
        </w:rPr>
        <w:t xml:space="preserve">puoleista hyötyä. </w:t>
      </w:r>
    </w:p>
    <w:p w14:paraId="7A3EE489" w14:textId="35701075" w:rsidR="009E4B7E" w:rsidRPr="00977159" w:rsidRDefault="009E4B7E" w:rsidP="009E4B7E">
      <w:pPr>
        <w:pStyle w:val="Luettelokappale"/>
        <w:numPr>
          <w:ilvl w:val="0"/>
          <w:numId w:val="13"/>
        </w:numPr>
        <w:spacing w:after="0" w:line="240" w:lineRule="auto"/>
        <w:ind w:left="1077" w:hanging="357"/>
        <w:rPr>
          <w:rFonts w:eastAsia="Times New Roman" w:cstheme="minorHAnsi"/>
          <w:lang w:eastAsia="fi-FI"/>
        </w:rPr>
      </w:pPr>
      <w:r w:rsidRPr="00977159">
        <w:rPr>
          <w:rFonts w:eastAsia="Times New Roman" w:cstheme="minorHAnsi"/>
          <w:lang w:eastAsia="fi-FI"/>
        </w:rPr>
        <w:t>Energiatehokkuussopimuksissa on analogiaa ja opittavaa. Niissä sopija-osapuolet saavat jotain, sopimuskehikko on hyvin suunniteltu ja hallinnoitu, seuranta ja siitä viestintä resursoitu. Sopimusmalli jättää toteuttajille vapauksia valita omaan toimintaympäristöönsä parhaiten sopivat kustannustehokkaat ratkaisut.</w:t>
      </w:r>
    </w:p>
    <w:p w14:paraId="309F75F4" w14:textId="77777777" w:rsidR="007535DC" w:rsidRPr="00402C55" w:rsidRDefault="007535DC" w:rsidP="00402C55">
      <w:pPr>
        <w:pStyle w:val="Luettelokappale"/>
        <w:numPr>
          <w:ilvl w:val="0"/>
          <w:numId w:val="13"/>
        </w:numPr>
        <w:spacing w:after="0" w:line="240" w:lineRule="auto"/>
        <w:rPr>
          <w:rFonts w:eastAsia="Times New Roman" w:cstheme="minorHAnsi"/>
        </w:rPr>
      </w:pPr>
      <w:r w:rsidRPr="00402C55">
        <w:rPr>
          <w:rFonts w:eastAsia="Times New Roman" w:cstheme="minorHAnsi"/>
        </w:rPr>
        <w:t xml:space="preserve">Heikki vastasi, että kiritysinstrumenttien tilannekuvaa tehdään, jossa käydään läpi muutkin sopimukset. </w:t>
      </w:r>
    </w:p>
    <w:p w14:paraId="707CCC28" w14:textId="77777777" w:rsidR="007535DC" w:rsidRPr="00402C55" w:rsidRDefault="007535DC" w:rsidP="00402C55">
      <w:pPr>
        <w:pStyle w:val="Luettelokappale"/>
        <w:numPr>
          <w:ilvl w:val="0"/>
          <w:numId w:val="13"/>
        </w:numPr>
        <w:spacing w:after="0" w:line="240" w:lineRule="auto"/>
        <w:rPr>
          <w:rFonts w:eastAsia="Times New Roman" w:cstheme="minorHAnsi"/>
        </w:rPr>
      </w:pPr>
      <w:r w:rsidRPr="00402C55">
        <w:rPr>
          <w:rFonts w:eastAsia="Times New Roman" w:cstheme="minorHAnsi"/>
        </w:rPr>
        <w:lastRenderedPageBreak/>
        <w:t xml:space="preserve">Skenaariotyössä on huomiotava alueelliset ym. erot, joten tuo haasteen räätälöintiin, mutta samalla myös tuo runsaasti mahdollisuuksia. SYKE ja Jyri hankejohtajana skenaariotyön valmistelussa. </w:t>
      </w:r>
    </w:p>
    <w:p w14:paraId="7EB11569" w14:textId="7F51E124" w:rsidR="00C80156" w:rsidRDefault="00F14144" w:rsidP="00402C55">
      <w:pPr>
        <w:pStyle w:val="Luettelokappale"/>
        <w:numPr>
          <w:ilvl w:val="0"/>
          <w:numId w:val="1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Sopimusmalli on kansainvälisestikin mielenkiintoinen avaus. </w:t>
      </w:r>
      <w:r w:rsidR="007535DC" w:rsidRPr="00402C55">
        <w:rPr>
          <w:rFonts w:eastAsia="Times New Roman" w:cstheme="minorHAnsi"/>
        </w:rPr>
        <w:t xml:space="preserve">Mittaaminen on iso osa kokonaiskuvaa. </w:t>
      </w:r>
    </w:p>
    <w:p w14:paraId="0A57C762" w14:textId="55259F43" w:rsidR="00FB348B" w:rsidRPr="00FB348B" w:rsidRDefault="00FB348B" w:rsidP="00FB348B">
      <w:pPr>
        <w:pStyle w:val="Luettelokappale"/>
        <w:numPr>
          <w:ilvl w:val="0"/>
          <w:numId w:val="13"/>
        </w:numPr>
        <w:spacing w:after="0" w:line="240" w:lineRule="auto"/>
        <w:ind w:left="1077" w:hanging="357"/>
        <w:rPr>
          <w:rFonts w:ascii="Calibri" w:eastAsia="Times New Roman" w:hAnsi="Calibri" w:cs="Calibri"/>
          <w:lang w:eastAsia="fi-FI"/>
        </w:rPr>
      </w:pPr>
      <w:r w:rsidRPr="00FB348B">
        <w:rPr>
          <w:rFonts w:ascii="Calibri" w:eastAsia="Times New Roman" w:hAnsi="Calibri" w:cs="Calibri"/>
          <w:lang w:eastAsia="fi-FI"/>
        </w:rPr>
        <w:t>Eri toimialojen vähähiilisyystiekartoissa taidetaan keskittyä puhtaasti oman toiminnan vaikutuksiin, eli vaikutuksiin siitä alkaen, kun tuotteet/raaka-aineet ovat ns. tehtaan portilla. Ne eroavat vs. tämä ohjelma, jossa tarkoituksena on huomioida myös tuontituotteiden valmistukseen käytetyt luonnonvarat.</w:t>
      </w:r>
    </w:p>
    <w:p w14:paraId="6A8F5926" w14:textId="77777777" w:rsidR="007535DC" w:rsidRDefault="007535DC" w:rsidP="00402C55">
      <w:pPr>
        <w:pStyle w:val="Luettelokappale"/>
        <w:numPr>
          <w:ilvl w:val="0"/>
          <w:numId w:val="13"/>
        </w:numPr>
        <w:spacing w:after="0" w:line="240" w:lineRule="auto"/>
        <w:rPr>
          <w:rFonts w:eastAsia="Times New Roman" w:cstheme="minorHAnsi"/>
        </w:rPr>
      </w:pPr>
      <w:r w:rsidRPr="00402C55">
        <w:rPr>
          <w:rFonts w:eastAsia="Times New Roman" w:cstheme="minorHAnsi"/>
        </w:rPr>
        <w:t>Taustama</w:t>
      </w:r>
      <w:r w:rsidR="00202894" w:rsidRPr="00402C55">
        <w:rPr>
          <w:rFonts w:eastAsia="Times New Roman" w:cstheme="minorHAnsi"/>
        </w:rPr>
        <w:t>teriaalia ja luonnossuunnitelmia</w:t>
      </w:r>
      <w:r w:rsidRPr="00402C55">
        <w:rPr>
          <w:rFonts w:eastAsia="Times New Roman" w:cstheme="minorHAnsi"/>
        </w:rPr>
        <w:t xml:space="preserve"> tulevat jakoon Tiimeriin. </w:t>
      </w:r>
    </w:p>
    <w:p w14:paraId="185BF853" w14:textId="6E367B1E" w:rsidR="00402C55" w:rsidRPr="00402C55" w:rsidRDefault="00402C55" w:rsidP="00402C55">
      <w:pPr>
        <w:pStyle w:val="Luettelokappale"/>
        <w:numPr>
          <w:ilvl w:val="0"/>
          <w:numId w:val="1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Järjestetään kiinnostuneiden kanssa palaveri, jossa keskustellaan ja suunnitellaan yhdessä konseptia.</w:t>
      </w:r>
    </w:p>
    <w:p w14:paraId="1B5242C0" w14:textId="77777777" w:rsidR="00202894" w:rsidRPr="007535DC" w:rsidRDefault="00202894" w:rsidP="007535DC">
      <w:pPr>
        <w:spacing w:after="0" w:line="240" w:lineRule="auto"/>
        <w:ind w:left="360"/>
        <w:rPr>
          <w:rFonts w:eastAsia="Times New Roman" w:cstheme="minorHAnsi"/>
        </w:rPr>
      </w:pPr>
    </w:p>
    <w:p w14:paraId="3DD774E0" w14:textId="77777777" w:rsidR="00DE1939" w:rsidRDefault="00C80156" w:rsidP="007535DC">
      <w:pPr>
        <w:spacing w:after="0" w:line="240" w:lineRule="auto"/>
        <w:ind w:left="360"/>
        <w:rPr>
          <w:rFonts w:eastAsia="Times New Roman" w:cstheme="minorHAnsi"/>
          <w:b/>
        </w:rPr>
      </w:pPr>
      <w:r w:rsidRPr="002600CF">
        <w:rPr>
          <w:rFonts w:eastAsia="Times New Roman" w:cstheme="minorHAnsi"/>
          <w:b/>
        </w:rPr>
        <w:t>Muut asiat ja seuraavat askeleet</w:t>
      </w:r>
    </w:p>
    <w:p w14:paraId="0DAB86E6" w14:textId="21923F01" w:rsidR="00202894" w:rsidRPr="00202894" w:rsidRDefault="00202894" w:rsidP="007535DC">
      <w:pPr>
        <w:spacing w:after="0" w:line="240" w:lineRule="auto"/>
        <w:ind w:left="360"/>
        <w:rPr>
          <w:rFonts w:eastAsia="Times New Roman" w:cstheme="minorHAnsi"/>
        </w:rPr>
      </w:pPr>
      <w:r w:rsidRPr="00202894">
        <w:rPr>
          <w:rFonts w:eastAsia="Times New Roman" w:cstheme="minorHAnsi"/>
        </w:rPr>
        <w:t xml:space="preserve">Seuraava kokous </w:t>
      </w:r>
      <w:r w:rsidR="00E22F0D">
        <w:rPr>
          <w:rFonts w:eastAsia="Times New Roman" w:cstheme="minorHAnsi"/>
        </w:rPr>
        <w:t>on 1.12</w:t>
      </w:r>
      <w:bookmarkStart w:id="0" w:name="_GoBack"/>
      <w:bookmarkEnd w:id="0"/>
      <w:r w:rsidRPr="00202894">
        <w:rPr>
          <w:rFonts w:eastAsia="Times New Roman" w:cstheme="minorHAnsi"/>
        </w:rPr>
        <w:t xml:space="preserve">. Muista tilaisuuksista tietoa ja mahdollisesti ennakkovaikuttamismahdollisuudesta sisältään yhteistyöryhmälle tietoa. </w:t>
      </w:r>
    </w:p>
    <w:sectPr w:rsidR="00202894" w:rsidRPr="00202894">
      <w:headerReference w:type="defaul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6C251" w14:textId="77777777" w:rsidR="00DB0392" w:rsidRDefault="00DB0392" w:rsidP="00C80156">
      <w:pPr>
        <w:spacing w:after="0" w:line="240" w:lineRule="auto"/>
      </w:pPr>
      <w:r>
        <w:separator/>
      </w:r>
    </w:p>
  </w:endnote>
  <w:endnote w:type="continuationSeparator" w:id="0">
    <w:p w14:paraId="1395075A" w14:textId="77777777" w:rsidR="00DB0392" w:rsidRDefault="00DB0392" w:rsidP="00C8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21A0E" w14:textId="77777777" w:rsidR="00DB0392" w:rsidRDefault="00DB0392" w:rsidP="00C80156">
      <w:pPr>
        <w:spacing w:after="0" w:line="240" w:lineRule="auto"/>
      </w:pPr>
      <w:r>
        <w:separator/>
      </w:r>
    </w:p>
  </w:footnote>
  <w:footnote w:type="continuationSeparator" w:id="0">
    <w:p w14:paraId="2948E5E4" w14:textId="77777777" w:rsidR="00DB0392" w:rsidRDefault="00DB0392" w:rsidP="00C80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97"/>
      <w:gridCol w:w="9241"/>
    </w:tblGrid>
    <w:tr w:rsidR="00C80156" w14:paraId="121B9BDB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3FD572B1" w14:textId="77777777" w:rsidR="00C80156" w:rsidRDefault="00C80156">
          <w:pPr>
            <w:pStyle w:val="Yltunniste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7A9DC857" w14:textId="77777777" w:rsidR="00C80156" w:rsidRDefault="00C80156" w:rsidP="00C80156">
          <w:pPr>
            <w:pStyle w:val="Yltunniste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Otsikko"/>
              <w:tag w:val=""/>
              <w:id w:val="-773790484"/>
              <w:placeholder>
                <w:docPart w:val="E8152C73617D4DCDB3B1340CEEB5A4A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Kiertotalousohjelman seuranta - yhteistyöryhmä</w:t>
              </w:r>
            </w:sdtContent>
          </w:sdt>
        </w:p>
      </w:tc>
    </w:tr>
  </w:tbl>
  <w:p w14:paraId="4836E9EA" w14:textId="77777777" w:rsidR="00C80156" w:rsidRDefault="00C8015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085B"/>
    <w:multiLevelType w:val="hybridMultilevel"/>
    <w:tmpl w:val="6040FA16"/>
    <w:lvl w:ilvl="0" w:tplc="AEF8F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06AF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9227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56E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4AF1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22A1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4A63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451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62D7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950757"/>
    <w:multiLevelType w:val="hybridMultilevel"/>
    <w:tmpl w:val="489E650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796D68"/>
    <w:multiLevelType w:val="hybridMultilevel"/>
    <w:tmpl w:val="D90AF1D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A50E63"/>
    <w:multiLevelType w:val="hybridMultilevel"/>
    <w:tmpl w:val="808C10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C475F"/>
    <w:multiLevelType w:val="hybridMultilevel"/>
    <w:tmpl w:val="B6BA9F7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2A67E3"/>
    <w:multiLevelType w:val="hybridMultilevel"/>
    <w:tmpl w:val="539E399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B30E1"/>
    <w:multiLevelType w:val="hybridMultilevel"/>
    <w:tmpl w:val="EC6C9D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830AD"/>
    <w:multiLevelType w:val="hybridMultilevel"/>
    <w:tmpl w:val="A4305A7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625FE8"/>
    <w:multiLevelType w:val="hybridMultilevel"/>
    <w:tmpl w:val="3CDAE04E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AE0927"/>
    <w:multiLevelType w:val="hybridMultilevel"/>
    <w:tmpl w:val="81F65C0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6B6A58"/>
    <w:multiLevelType w:val="hybridMultilevel"/>
    <w:tmpl w:val="F87C30E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071005"/>
    <w:multiLevelType w:val="hybridMultilevel"/>
    <w:tmpl w:val="7B4EF5FC"/>
    <w:lvl w:ilvl="0" w:tplc="514C2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3C3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EA1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06D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014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388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0C7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8DD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0E3F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B45487"/>
    <w:multiLevelType w:val="hybridMultilevel"/>
    <w:tmpl w:val="F8D8049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5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39"/>
    <w:rsid w:val="00023686"/>
    <w:rsid w:val="00046955"/>
    <w:rsid w:val="0005322C"/>
    <w:rsid w:val="000B7BF9"/>
    <w:rsid w:val="001251A2"/>
    <w:rsid w:val="00202894"/>
    <w:rsid w:val="0024073A"/>
    <w:rsid w:val="002600CF"/>
    <w:rsid w:val="00277132"/>
    <w:rsid w:val="00337779"/>
    <w:rsid w:val="003B036A"/>
    <w:rsid w:val="003B477C"/>
    <w:rsid w:val="003B6328"/>
    <w:rsid w:val="003D60A2"/>
    <w:rsid w:val="00402C55"/>
    <w:rsid w:val="00430B07"/>
    <w:rsid w:val="004505BD"/>
    <w:rsid w:val="004B6394"/>
    <w:rsid w:val="004C7E39"/>
    <w:rsid w:val="005174FA"/>
    <w:rsid w:val="00540C88"/>
    <w:rsid w:val="005575B1"/>
    <w:rsid w:val="00585043"/>
    <w:rsid w:val="005A5FC4"/>
    <w:rsid w:val="005E16F4"/>
    <w:rsid w:val="005F4D84"/>
    <w:rsid w:val="00662211"/>
    <w:rsid w:val="006C76B2"/>
    <w:rsid w:val="007535DC"/>
    <w:rsid w:val="007B60EF"/>
    <w:rsid w:val="00810757"/>
    <w:rsid w:val="00820292"/>
    <w:rsid w:val="00842970"/>
    <w:rsid w:val="00872EA2"/>
    <w:rsid w:val="00977159"/>
    <w:rsid w:val="009E4B7E"/>
    <w:rsid w:val="00A477B6"/>
    <w:rsid w:val="00A828A8"/>
    <w:rsid w:val="00B10FE8"/>
    <w:rsid w:val="00BB5E23"/>
    <w:rsid w:val="00C80156"/>
    <w:rsid w:val="00D00A3A"/>
    <w:rsid w:val="00D51EB4"/>
    <w:rsid w:val="00DB0392"/>
    <w:rsid w:val="00DC11E0"/>
    <w:rsid w:val="00DE1939"/>
    <w:rsid w:val="00E22F0D"/>
    <w:rsid w:val="00E2387A"/>
    <w:rsid w:val="00E56BB0"/>
    <w:rsid w:val="00E65207"/>
    <w:rsid w:val="00F14144"/>
    <w:rsid w:val="00FB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8A6F"/>
  <w15:chartTrackingRefBased/>
  <w15:docId w15:val="{58329955-FF15-4C7F-9671-0C6086B0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E193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80156"/>
    <w:rPr>
      <w:color w:val="0563C1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C801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80156"/>
  </w:style>
  <w:style w:type="paragraph" w:styleId="Alatunniste">
    <w:name w:val="footer"/>
    <w:basedOn w:val="Normaali"/>
    <w:link w:val="AlatunnisteChar"/>
    <w:uiPriority w:val="99"/>
    <w:unhideWhenUsed/>
    <w:rsid w:val="00C801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80156"/>
  </w:style>
  <w:style w:type="paragraph" w:styleId="NormaaliWWW">
    <w:name w:val="Normal (Web)"/>
    <w:basedOn w:val="Normaali"/>
    <w:uiPriority w:val="99"/>
    <w:semiHidden/>
    <w:unhideWhenUsed/>
    <w:rsid w:val="004B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0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2C55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84297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42970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42970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4297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429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94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30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1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6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33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3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c.europa.eu/info/publications/210803-sustainable-finance-platform-technical-screening-criteria-taxonomy-report_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c.europa.eu/eurostat/web/products-manuals-and-guidelines/-/ks-gq-18-006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tila.tiimeri.fi/sites/vn-kiertotalous/Tiedostot/2021%20Kiertotalousohjelman%20toteutus/Kiertotalousohjelman%20toimenpiteiden%20hankekortit.docx?web=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152C73617D4DCDB3B1340CEEB5A4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749F12-7D04-460D-B57E-81A132043C35}"/>
      </w:docPartPr>
      <w:docPartBody>
        <w:p w:rsidR="00161FB5" w:rsidRDefault="00352EA1" w:rsidP="00352EA1">
          <w:pPr>
            <w:pStyle w:val="E8152C73617D4DCDB3B1340CEEB5A4A0"/>
          </w:pPr>
          <w:r>
            <w:rPr>
              <w:caps/>
              <w:color w:val="FFFFFF" w:themeColor="background1"/>
            </w:rPr>
            <w:t>[Tiedoston 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A1"/>
    <w:rsid w:val="00161FB5"/>
    <w:rsid w:val="00352EA1"/>
    <w:rsid w:val="003D395D"/>
    <w:rsid w:val="00477861"/>
    <w:rsid w:val="00C0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8152C73617D4DCDB3B1340CEEB5A4A0">
    <w:name w:val="E8152C73617D4DCDB3B1340CEEB5A4A0"/>
    <w:rsid w:val="00352E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0DD1E1-7A6D-49F4-8FA3-C9929E244E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A11ADC-96F1-4BD3-85B3-F533C47CA0DE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ebb82943-49da-4504-a2f3-a33fb2eb95f1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2E65AC-FC06-423B-8214-6DBD466CF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886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Kiertotalousohjelman seuranta - yhteistyöryhmä</vt:lpstr>
    </vt:vector>
  </TitlesOfParts>
  <Company>Suomen valtion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Kiertotalousohjelman seuranta - yhteistyöryhmä</dc:title>
  <dc:subject/>
  <dc:creator>Nikula Taina</dc:creator>
  <cp:keywords/>
  <dc:description/>
  <cp:lastModifiedBy>Nikula Taina (YM)</cp:lastModifiedBy>
  <cp:revision>18</cp:revision>
  <dcterms:created xsi:type="dcterms:W3CDTF">2021-09-16T10:26:00Z</dcterms:created>
  <dcterms:modified xsi:type="dcterms:W3CDTF">2021-11-16T13:58:00Z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