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3A2" w:rsidRDefault="000B16B8">
      <w:bookmarkStart w:id="0" w:name="_GoBack"/>
      <w:bookmarkEnd w:id="0"/>
    </w:p>
    <w:p w:rsidR="002A6CD5" w:rsidRDefault="000B16B8"/>
    <w:p w:rsidR="002A6CD5" w:rsidRDefault="00E166D6" w:rsidP="0035265B">
      <w:pPr>
        <w:pStyle w:val="Vastaanottajatiedot"/>
      </w:pPr>
      <w:r>
        <w:t>Oikeusministeriö</w:t>
      </w:r>
    </w:p>
    <w:p w:rsidR="008C5E06" w:rsidRDefault="000B16B8"/>
    <w:p w:rsidR="002A6CD5" w:rsidRDefault="000B16B8"/>
    <w:p w:rsidR="002A6CD5" w:rsidRDefault="00E166D6">
      <w:r>
        <w:br/>
        <w:t>Lausuntopyyntö 20. huhtikuuta 2018</w:t>
      </w:r>
    </w:p>
    <w:p w:rsidR="002A6CD5" w:rsidRDefault="000B16B8"/>
    <w:p w:rsidR="002A6CD5" w:rsidRDefault="000B16B8" w:rsidP="002A6CD5">
      <w:pPr>
        <w:pStyle w:val="Otsikko"/>
      </w:pPr>
      <w:r>
        <w:fldChar w:fldCharType="begin"/>
      </w:r>
      <w:r>
        <w:instrText xml:space="preserve"> DOCPROPERTY  sm_otsikko  \* MERGEFORMAT </w:instrText>
      </w:r>
      <w:r>
        <w:fldChar w:fldCharType="separate"/>
      </w:r>
      <w:r w:rsidR="00E166D6">
        <w:t>Oikeusministeriön lausuntopyyntö komission lainsäädäntöehdotuksista; rajat ylittävä pääsy sähköiseen todistusaineistoon rikosasioissa</w:t>
      </w:r>
      <w:r>
        <w:fldChar w:fldCharType="end"/>
      </w:r>
    </w:p>
    <w:p w:rsidR="00BF6271" w:rsidRPr="00D34192" w:rsidRDefault="00E166D6" w:rsidP="00C81E09">
      <w:pPr>
        <w:ind w:left="1304"/>
        <w:jc w:val="both"/>
      </w:pPr>
      <w:r w:rsidRPr="00D34192">
        <w:t>Oikeusministeriö on pyytänyt sisäministeriöltä lausuntoa Euroopan komission 17. huhtikuuta 2</w:t>
      </w:r>
      <w:r>
        <w:t>018 antamista säädösehdotuksista</w:t>
      </w:r>
      <w:r w:rsidRPr="00D34192">
        <w:t xml:space="preserve"> sähköistä todistusaineistoa rikosasioissa koske</w:t>
      </w:r>
      <w:r>
        <w:t>va</w:t>
      </w:r>
      <w:r w:rsidRPr="00D34192">
        <w:t>sta eurooppalaisesta luovuttamismääräyksestä ja säilyttämismääräyksestä ja direktiiv</w:t>
      </w:r>
      <w:r>
        <w:t>iehdotuksesta</w:t>
      </w:r>
      <w:r w:rsidRPr="00D34192">
        <w:t xml:space="preserve"> yhtenäisistä säännöistä koskien laillisten edustajien nimittämistä sähköisen todistusaineiston keräämiseksi rikosasioissa. </w:t>
      </w:r>
    </w:p>
    <w:p w:rsidR="00BF6271" w:rsidRPr="00D34192" w:rsidRDefault="000B16B8" w:rsidP="00BF6271">
      <w:pPr>
        <w:jc w:val="both"/>
      </w:pPr>
    </w:p>
    <w:p w:rsidR="00BF6271" w:rsidRPr="00BF6271" w:rsidRDefault="00E166D6" w:rsidP="00C81E09">
      <w:pPr>
        <w:ind w:left="1304"/>
        <w:jc w:val="both"/>
        <w:rPr>
          <w:b/>
          <w:sz w:val="22"/>
          <w:szCs w:val="22"/>
        </w:rPr>
      </w:pPr>
      <w:r w:rsidRPr="00BF6271">
        <w:rPr>
          <w:b/>
          <w:sz w:val="22"/>
          <w:szCs w:val="22"/>
        </w:rPr>
        <w:t>Asetusehdotus</w:t>
      </w:r>
    </w:p>
    <w:p w:rsidR="00BF6271" w:rsidRPr="00D34192" w:rsidRDefault="000B16B8" w:rsidP="00BF6271">
      <w:pPr>
        <w:jc w:val="both"/>
      </w:pPr>
    </w:p>
    <w:p w:rsidR="00BF6271" w:rsidRPr="00D34192" w:rsidRDefault="00E166D6" w:rsidP="00C81E09">
      <w:pPr>
        <w:ind w:left="1304"/>
        <w:jc w:val="both"/>
        <w:rPr>
          <w:rFonts w:eastAsia="Times New Roman" w:cs="Times New Roman"/>
          <w:lang w:eastAsia="fi-FI"/>
        </w:rPr>
      </w:pPr>
      <w:r w:rsidRPr="00D34192">
        <w:t xml:space="preserve">Asetusehdotuksella </w:t>
      </w:r>
      <w:r>
        <w:rPr>
          <w:rFonts w:eastAsia="Times New Roman" w:cs="Times New Roman"/>
          <w:bCs/>
          <w:lang w:eastAsia="fi-FI"/>
        </w:rPr>
        <w:t>perustettaisiin</w:t>
      </w:r>
      <w:r w:rsidRPr="00D34192">
        <w:rPr>
          <w:rFonts w:eastAsia="Times New Roman" w:cs="Times New Roman"/>
          <w:bCs/>
          <w:lang w:eastAsia="fi-FI"/>
        </w:rPr>
        <w:t xml:space="preserve"> sähköisen todistusaineiston toimittamista koskeva eurooppalainen luovuttamismääräys. </w:t>
      </w:r>
      <w:r w:rsidRPr="00D34192">
        <w:rPr>
          <w:rFonts w:eastAsia="Times New Roman" w:cs="Times New Roman"/>
          <w:lang w:eastAsia="fi-FI"/>
        </w:rPr>
        <w:t>Tämän ansiosta jäsenvaltion viranomainen voi</w:t>
      </w:r>
      <w:r>
        <w:rPr>
          <w:rFonts w:eastAsia="Times New Roman" w:cs="Times New Roman"/>
          <w:lang w:eastAsia="fi-FI"/>
        </w:rPr>
        <w:t>si</w:t>
      </w:r>
      <w:r w:rsidRPr="00D34192">
        <w:rPr>
          <w:rFonts w:eastAsia="Times New Roman" w:cs="Times New Roman"/>
          <w:lang w:eastAsia="fi-FI"/>
        </w:rPr>
        <w:t xml:space="preserve"> esittää sähköisen todistusaineiston saantia koskevan pyynnön suoraan toisessa jäsenvaltiossa sijaitsevalle tai siellä edustettuna olevalle palveluntarjoajalle tiedon sijaintipaikasta riippumatta. Edellytykse</w:t>
      </w:r>
      <w:r>
        <w:rPr>
          <w:rFonts w:eastAsia="Times New Roman" w:cs="Times New Roman"/>
          <w:lang w:eastAsia="fi-FI"/>
        </w:rPr>
        <w:t>nä olisi</w:t>
      </w:r>
      <w:r w:rsidRPr="00D34192">
        <w:rPr>
          <w:rFonts w:eastAsia="Times New Roman" w:cs="Times New Roman"/>
          <w:lang w:eastAsia="fi-FI"/>
        </w:rPr>
        <w:t>, että palveluntarjoaja tarjoaa palveluja EU:ssa. P</w:t>
      </w:r>
      <w:r>
        <w:rPr>
          <w:rFonts w:eastAsia="Times New Roman" w:cs="Times New Roman"/>
          <w:lang w:eastAsia="fi-FI"/>
        </w:rPr>
        <w:t>alveluntarjoaja olisi</w:t>
      </w:r>
      <w:r w:rsidRPr="00D34192">
        <w:rPr>
          <w:rFonts w:eastAsia="Times New Roman" w:cs="Times New Roman"/>
          <w:lang w:eastAsia="fi-FI"/>
        </w:rPr>
        <w:t xml:space="preserve"> velvoitettu vastaamaan </w:t>
      </w:r>
      <w:r w:rsidRPr="00D34192">
        <w:rPr>
          <w:rFonts w:eastAsia="Times New Roman" w:cs="Times New Roman"/>
          <w:bCs/>
          <w:lang w:eastAsia="fi-FI"/>
        </w:rPr>
        <w:t>10 päivän</w:t>
      </w:r>
      <w:r w:rsidRPr="00D34192">
        <w:rPr>
          <w:rFonts w:eastAsia="Times New Roman" w:cs="Times New Roman"/>
          <w:lang w:eastAsia="fi-FI"/>
        </w:rPr>
        <w:t xml:space="preserve"> kuluessa ja hätätilanteissa </w:t>
      </w:r>
      <w:r w:rsidRPr="00D34192">
        <w:rPr>
          <w:rFonts w:eastAsia="Times New Roman" w:cs="Times New Roman"/>
          <w:bCs/>
          <w:lang w:eastAsia="fi-FI"/>
        </w:rPr>
        <w:t>kuuden tunnin</w:t>
      </w:r>
      <w:r w:rsidRPr="00D34192">
        <w:rPr>
          <w:rFonts w:eastAsia="Times New Roman" w:cs="Times New Roman"/>
          <w:lang w:eastAsia="fi-FI"/>
        </w:rPr>
        <w:t xml:space="preserve"> kuluessa. </w:t>
      </w:r>
    </w:p>
    <w:p w:rsidR="00BF6271" w:rsidRPr="00D34192" w:rsidRDefault="000B16B8" w:rsidP="00BF6271">
      <w:pPr>
        <w:jc w:val="both"/>
        <w:rPr>
          <w:rFonts w:eastAsia="Times New Roman" w:cs="Times New Roman"/>
          <w:lang w:eastAsia="fi-FI"/>
        </w:rPr>
      </w:pPr>
    </w:p>
    <w:p w:rsidR="00BF6271" w:rsidRPr="00D34192" w:rsidRDefault="00E166D6" w:rsidP="00C81E09">
      <w:pPr>
        <w:ind w:left="1304"/>
        <w:jc w:val="both"/>
        <w:rPr>
          <w:rFonts w:eastAsia="Times New Roman" w:cs="Times New Roman"/>
          <w:lang w:eastAsia="fi-FI"/>
        </w:rPr>
      </w:pPr>
      <w:r w:rsidRPr="00D34192">
        <w:rPr>
          <w:rFonts w:eastAsia="Times New Roman" w:cs="Times New Roman"/>
          <w:lang w:eastAsia="fi-FI"/>
        </w:rPr>
        <w:t xml:space="preserve">Lisäksi asetusehdotuksella </w:t>
      </w:r>
      <w:r>
        <w:rPr>
          <w:rFonts w:eastAsia="Times New Roman" w:cs="Times New Roman"/>
          <w:lang w:eastAsia="fi-FI"/>
        </w:rPr>
        <w:t>estettäisiin</w:t>
      </w:r>
      <w:r>
        <w:rPr>
          <w:rFonts w:eastAsia="Times New Roman" w:cs="Times New Roman"/>
          <w:bCs/>
          <w:lang w:eastAsia="fi-FI"/>
        </w:rPr>
        <w:t xml:space="preserve"> </w:t>
      </w:r>
      <w:r w:rsidRPr="00D34192">
        <w:rPr>
          <w:rFonts w:eastAsia="Times New Roman" w:cs="Times New Roman"/>
          <w:bCs/>
          <w:lang w:eastAsia="fi-FI"/>
        </w:rPr>
        <w:t>tietojen poistaminen tai muuttaminen eurooppalaisen turvaamismääräyksen nojalla</w:t>
      </w:r>
      <w:r w:rsidRPr="00D34192">
        <w:rPr>
          <w:rFonts w:eastAsia="Times New Roman" w:cs="Times New Roman"/>
          <w:lang w:eastAsia="fi-FI"/>
        </w:rPr>
        <w:t>. Tämän ansiosta jäsenvaltion viranomainen voi</w:t>
      </w:r>
      <w:r>
        <w:rPr>
          <w:rFonts w:eastAsia="Times New Roman" w:cs="Times New Roman"/>
          <w:lang w:eastAsia="fi-FI"/>
        </w:rPr>
        <w:t>si</w:t>
      </w:r>
      <w:r w:rsidRPr="00D34192">
        <w:rPr>
          <w:rFonts w:eastAsia="Times New Roman" w:cs="Times New Roman"/>
          <w:lang w:eastAsia="fi-FI"/>
        </w:rPr>
        <w:t xml:space="preserve"> velvoittaa toisessa jäsenvaltiossa sijaitsevan tai siellä edustettuna olevan palveluntarjoajan säilyttämään tietyt tiedot, jotta viranomainen voi</w:t>
      </w:r>
      <w:r>
        <w:rPr>
          <w:rFonts w:eastAsia="Times New Roman" w:cs="Times New Roman"/>
          <w:lang w:eastAsia="fi-FI"/>
        </w:rPr>
        <w:t>si</w:t>
      </w:r>
      <w:r w:rsidRPr="00D34192">
        <w:rPr>
          <w:rFonts w:eastAsia="Times New Roman" w:cs="Times New Roman"/>
          <w:lang w:eastAsia="fi-FI"/>
        </w:rPr>
        <w:t xml:space="preserve"> pyytää niitä myöhemmin keskinäisen oikeusapumenettelyn, eurooppalaisen tutkintamääräyksen tai todistusaineiston toimittamista koskevan eurooppalaisen </w:t>
      </w:r>
      <w:r>
        <w:rPr>
          <w:rFonts w:eastAsia="Times New Roman" w:cs="Times New Roman"/>
          <w:lang w:eastAsia="fi-FI"/>
        </w:rPr>
        <w:t>luovuttamis</w:t>
      </w:r>
      <w:r w:rsidRPr="00D34192">
        <w:rPr>
          <w:rFonts w:eastAsia="Times New Roman" w:cs="Times New Roman"/>
          <w:lang w:eastAsia="fi-FI"/>
        </w:rPr>
        <w:t>määräyksen nojalla.</w:t>
      </w:r>
    </w:p>
    <w:p w:rsidR="00BF6271" w:rsidRPr="00D34192" w:rsidRDefault="000B16B8" w:rsidP="00BF6271">
      <w:pPr>
        <w:jc w:val="both"/>
        <w:rPr>
          <w:rFonts w:eastAsia="Times New Roman" w:cs="Times New Roman"/>
          <w:lang w:eastAsia="fi-FI"/>
        </w:rPr>
      </w:pPr>
    </w:p>
    <w:p w:rsidR="00BF6271" w:rsidRPr="00D34192" w:rsidRDefault="00E166D6" w:rsidP="00C81E09">
      <w:pPr>
        <w:ind w:left="1304"/>
        <w:jc w:val="both"/>
        <w:rPr>
          <w:rFonts w:eastAsia="Times New Roman" w:cs="Times New Roman"/>
          <w:iCs/>
          <w:lang w:eastAsia="fi-FI"/>
        </w:rPr>
      </w:pPr>
      <w:r w:rsidRPr="00D34192">
        <w:rPr>
          <w:rFonts w:eastAsia="Times New Roman" w:cs="Times New Roman"/>
          <w:lang w:eastAsia="fi-FI"/>
        </w:rPr>
        <w:t xml:space="preserve">Sähköisen todistusaineiston merkitys rikosoikeudellisissa menettelyissä on erittäin tärkeä ja se on sähköisten toimintojen yleistymisen myötä kasvanut merkittävästi. Komission tavoitteena on, että jäsenvaltion </w:t>
      </w:r>
      <w:r w:rsidRPr="00D34192">
        <w:rPr>
          <w:rFonts w:eastAsia="Times New Roman" w:cs="Times New Roman"/>
          <w:iCs/>
          <w:lang w:eastAsia="fi-FI"/>
        </w:rPr>
        <w:t xml:space="preserve">viranomaiset pystyvät kokoamaan sähköistä todistusaineistoa nopeasti ja tehokkaasti rajojen yli. Sisäministeriö pitää tavoitetta kannatettava ja suhtautuu asetusehdotukseen myönteisesti. </w:t>
      </w:r>
    </w:p>
    <w:p w:rsidR="00BF6271" w:rsidRPr="00D34192" w:rsidRDefault="000B16B8" w:rsidP="00BF6271">
      <w:pPr>
        <w:jc w:val="both"/>
        <w:rPr>
          <w:rFonts w:eastAsia="Times New Roman" w:cs="Times New Roman"/>
          <w:iCs/>
          <w:lang w:eastAsia="fi-FI"/>
        </w:rPr>
      </w:pPr>
    </w:p>
    <w:p w:rsidR="00BF6271" w:rsidRPr="00D34192" w:rsidRDefault="00E166D6" w:rsidP="00C81E09">
      <w:pPr>
        <w:ind w:left="1304"/>
        <w:jc w:val="both"/>
        <w:rPr>
          <w:rFonts w:eastAsia="Times New Roman" w:cs="Times New Roman"/>
          <w:iCs/>
          <w:lang w:eastAsia="fi-FI"/>
        </w:rPr>
      </w:pPr>
      <w:r w:rsidRPr="00D34192">
        <w:rPr>
          <w:rFonts w:eastAsia="Times New Roman" w:cs="Times New Roman"/>
          <w:iCs/>
          <w:lang w:eastAsia="fi-FI"/>
        </w:rPr>
        <w:t>Oikeusapumenettely on käytännössä osoittautunut aivan liian hitaaksi menettelyksi rajat ylittävissä rikostutkimuksissa, kun on tarvetta päästä sähköiseen todistusaineistoon. Komission mukaan keskinäisen oikeusapumenettelyn osalta aika on 10 kuukautta ja eurooppalaisen tutkintamääräyksenkin osalta 120 päivää. Nyt käsittelyssä oleva asetus</w:t>
      </w:r>
      <w:r>
        <w:rPr>
          <w:rFonts w:eastAsia="Times New Roman" w:cs="Times New Roman"/>
          <w:iCs/>
          <w:lang w:eastAsia="fi-FI"/>
        </w:rPr>
        <w:t>ehdotus</w:t>
      </w:r>
      <w:r w:rsidRPr="00D34192">
        <w:rPr>
          <w:rFonts w:eastAsia="Times New Roman" w:cs="Times New Roman"/>
          <w:iCs/>
          <w:lang w:eastAsia="fi-FI"/>
        </w:rPr>
        <w:t xml:space="preserve"> ei korvaisi keskinäistä oikeusapua ja eurooppalaista tutkintamääräys</w:t>
      </w:r>
      <w:r>
        <w:rPr>
          <w:rFonts w:eastAsia="Times New Roman" w:cs="Times New Roman"/>
          <w:iCs/>
          <w:lang w:eastAsia="fi-FI"/>
        </w:rPr>
        <w:t>tä vaan tulisi näiden rinnalle.</w:t>
      </w:r>
    </w:p>
    <w:p w:rsidR="00BF6271" w:rsidRPr="00D34192" w:rsidRDefault="000B16B8" w:rsidP="00BF6271">
      <w:pPr>
        <w:jc w:val="both"/>
        <w:rPr>
          <w:rFonts w:eastAsia="Times New Roman" w:cs="Times New Roman"/>
          <w:iCs/>
          <w:lang w:eastAsia="fi-FI"/>
        </w:rPr>
      </w:pPr>
    </w:p>
    <w:p w:rsidR="00BF6271" w:rsidRPr="00D34192" w:rsidRDefault="00E166D6" w:rsidP="00C81E09">
      <w:pPr>
        <w:ind w:left="1304"/>
        <w:jc w:val="both"/>
        <w:rPr>
          <w:rFonts w:eastAsia="Times New Roman" w:cs="Times New Roman"/>
          <w:lang w:eastAsia="fi-FI"/>
        </w:rPr>
      </w:pPr>
      <w:r w:rsidRPr="00D34192">
        <w:rPr>
          <w:rFonts w:eastAsia="Times New Roman" w:cs="Times New Roman"/>
          <w:lang w:eastAsia="fi-FI"/>
        </w:rPr>
        <w:t>Lisäksi, kuten komissio on tuonut esille, tällä hetkellä lainvalvontaviranomaiset ovat usein riippuvaisia palveluntarjoajien hyvästä tahdosta, kun ne pyytävät tarvitsemaansa todistusaineistoa. Asetuksen hyväksymisen jälkeen sähköisen todistusaineiston saantia ko</w:t>
      </w:r>
      <w:r>
        <w:rPr>
          <w:rFonts w:eastAsia="Times New Roman" w:cs="Times New Roman"/>
          <w:lang w:eastAsia="fi-FI"/>
        </w:rPr>
        <w:t>skeviin määräyksiin sovellettaisiin samoja sääntöjä, mikä parantaisi</w:t>
      </w:r>
      <w:r w:rsidRPr="00D34192">
        <w:rPr>
          <w:rFonts w:eastAsia="Times New Roman" w:cs="Times New Roman"/>
          <w:lang w:eastAsia="fi-FI"/>
        </w:rPr>
        <w:t xml:space="preserve"> viranomaisten ja palveluntarjoajien oikeusvarmuutta.</w:t>
      </w:r>
    </w:p>
    <w:p w:rsidR="00BF6271" w:rsidRPr="00D34192" w:rsidRDefault="000B16B8" w:rsidP="00BF6271">
      <w:pPr>
        <w:jc w:val="both"/>
        <w:rPr>
          <w:rFonts w:eastAsia="Times New Roman" w:cs="Times New Roman"/>
          <w:iCs/>
          <w:lang w:eastAsia="fi-FI"/>
        </w:rPr>
      </w:pPr>
    </w:p>
    <w:p w:rsidR="00BF6271" w:rsidRPr="00D34192" w:rsidRDefault="00E166D6" w:rsidP="00C81E09">
      <w:pPr>
        <w:ind w:left="1304"/>
        <w:jc w:val="both"/>
        <w:rPr>
          <w:rFonts w:eastAsia="Times New Roman" w:cs="Times New Roman"/>
          <w:iCs/>
          <w:lang w:eastAsia="fi-FI"/>
        </w:rPr>
      </w:pPr>
      <w:r w:rsidRPr="00D34192">
        <w:rPr>
          <w:rFonts w:eastAsia="Times New Roman" w:cs="Times New Roman"/>
          <w:iCs/>
          <w:lang w:eastAsia="fi-FI"/>
        </w:rPr>
        <w:t xml:space="preserve">Oikeusministeriö on pyytänyt asetusehdotuksesta lausunnon myös Poliisihallitukselta ja keskusrikospoliisilta. Sisäministeriö yhtyy kyseisiin lausuntoihin mutta nostaa esille vielä seuraavat seikat. </w:t>
      </w:r>
    </w:p>
    <w:p w:rsidR="00BF6271" w:rsidRPr="00D34192" w:rsidRDefault="000B16B8" w:rsidP="00BF6271">
      <w:pPr>
        <w:jc w:val="both"/>
        <w:rPr>
          <w:rFonts w:eastAsia="Times New Roman" w:cs="Times New Roman"/>
          <w:iCs/>
          <w:lang w:eastAsia="fi-FI"/>
        </w:rPr>
      </w:pPr>
    </w:p>
    <w:p w:rsidR="00C81E09" w:rsidRDefault="000B16B8" w:rsidP="00C81E09">
      <w:pPr>
        <w:ind w:left="1304"/>
        <w:jc w:val="both"/>
        <w:rPr>
          <w:rFonts w:eastAsia="Times New Roman" w:cs="Times New Roman"/>
          <w:iCs/>
          <w:u w:val="single"/>
          <w:lang w:eastAsia="fi-FI"/>
        </w:rPr>
      </w:pPr>
    </w:p>
    <w:p w:rsidR="00C81E09" w:rsidRDefault="000B16B8" w:rsidP="00C81E09">
      <w:pPr>
        <w:ind w:left="1304"/>
        <w:jc w:val="both"/>
        <w:rPr>
          <w:rFonts w:eastAsia="Times New Roman" w:cs="Times New Roman"/>
          <w:iCs/>
          <w:u w:val="single"/>
          <w:lang w:eastAsia="fi-FI"/>
        </w:rPr>
      </w:pPr>
    </w:p>
    <w:p w:rsidR="00C81E09" w:rsidRDefault="000B16B8" w:rsidP="00C81E09">
      <w:pPr>
        <w:ind w:left="1304"/>
        <w:jc w:val="both"/>
        <w:rPr>
          <w:rFonts w:eastAsia="Times New Roman" w:cs="Times New Roman"/>
          <w:iCs/>
          <w:u w:val="single"/>
          <w:lang w:eastAsia="fi-FI"/>
        </w:rPr>
      </w:pPr>
    </w:p>
    <w:p w:rsidR="00BF6271" w:rsidRPr="00D34192" w:rsidRDefault="00E166D6" w:rsidP="00C81E09">
      <w:pPr>
        <w:ind w:left="1304"/>
        <w:jc w:val="both"/>
        <w:rPr>
          <w:rFonts w:eastAsia="Times New Roman" w:cs="Times New Roman"/>
          <w:iCs/>
          <w:u w:val="single"/>
          <w:lang w:eastAsia="fi-FI"/>
        </w:rPr>
      </w:pPr>
      <w:r w:rsidRPr="00D34192">
        <w:rPr>
          <w:rFonts w:eastAsia="Times New Roman" w:cs="Times New Roman"/>
          <w:iCs/>
          <w:u w:val="single"/>
          <w:lang w:eastAsia="fi-FI"/>
        </w:rPr>
        <w:t>Oikeusperusta</w:t>
      </w:r>
    </w:p>
    <w:p w:rsidR="00BF6271" w:rsidRPr="00D34192" w:rsidRDefault="000B16B8" w:rsidP="00BF6271">
      <w:pPr>
        <w:jc w:val="both"/>
        <w:rPr>
          <w:rFonts w:eastAsia="Times New Roman" w:cs="Times New Roman"/>
          <w:iCs/>
          <w:u w:val="single"/>
          <w:lang w:eastAsia="fi-FI"/>
        </w:rPr>
      </w:pPr>
    </w:p>
    <w:p w:rsidR="00BF6271" w:rsidRPr="00D34192" w:rsidRDefault="00E166D6" w:rsidP="00C81E09">
      <w:pPr>
        <w:ind w:left="1304"/>
        <w:jc w:val="both"/>
        <w:rPr>
          <w:rFonts w:eastAsia="Times New Roman" w:cs="Times New Roman"/>
          <w:iCs/>
          <w:lang w:eastAsia="fi-FI"/>
        </w:rPr>
      </w:pPr>
      <w:r w:rsidRPr="00D34192">
        <w:rPr>
          <w:rFonts w:eastAsia="Times New Roman" w:cs="Times New Roman"/>
          <w:iCs/>
          <w:lang w:eastAsia="fi-FI"/>
        </w:rPr>
        <w:t xml:space="preserve">Asetusehdotuksen oikeusperustana on sopimus Euroopan unionin toiminnasta tehdyn sopimuksen artikla 82(1). Sen mukaan: </w:t>
      </w:r>
    </w:p>
    <w:p w:rsidR="00BF6271" w:rsidRPr="00D34192" w:rsidRDefault="000B16B8" w:rsidP="00BF6271">
      <w:pPr>
        <w:jc w:val="both"/>
        <w:rPr>
          <w:rFonts w:eastAsia="Times New Roman" w:cs="Times New Roman"/>
          <w:iCs/>
          <w:lang w:eastAsia="fi-FI"/>
        </w:rPr>
      </w:pPr>
    </w:p>
    <w:p w:rsidR="00BF6271" w:rsidRPr="00D34192" w:rsidRDefault="00E166D6" w:rsidP="00C81E09">
      <w:pPr>
        <w:ind w:left="2608"/>
        <w:jc w:val="both"/>
        <w:rPr>
          <w:rFonts w:cs="EUAlbertina-Regu"/>
        </w:rPr>
      </w:pPr>
      <w:r w:rsidRPr="00D34192">
        <w:rPr>
          <w:rFonts w:cs="EUAlbertina-Regu"/>
        </w:rPr>
        <w:t>Oikeudellinen yhteistyö unionissa rikosoikeuden alalla perustuu tuomioistuinten tuomioiden ja</w:t>
      </w:r>
      <w:r w:rsidRPr="00D34192">
        <w:rPr>
          <w:rFonts w:eastAsia="Times New Roman" w:cs="Times New Roman"/>
          <w:iCs/>
          <w:lang w:eastAsia="fi-FI"/>
        </w:rPr>
        <w:t xml:space="preserve"> </w:t>
      </w:r>
      <w:r w:rsidRPr="00D34192">
        <w:rPr>
          <w:rFonts w:cs="EUAlbertina-Regu"/>
        </w:rPr>
        <w:t>oikeusviranomaisten päätösten vastavuoroisen tunnustamisen periaatteeseen, ja siihen kuuluu jäsenvaltioiden</w:t>
      </w:r>
      <w:r w:rsidRPr="00D34192">
        <w:rPr>
          <w:rFonts w:eastAsia="Times New Roman" w:cs="Times New Roman"/>
          <w:iCs/>
          <w:lang w:eastAsia="fi-FI"/>
        </w:rPr>
        <w:t xml:space="preserve"> </w:t>
      </w:r>
      <w:r w:rsidRPr="00D34192">
        <w:rPr>
          <w:rFonts w:cs="EUAlbertina-Regu"/>
        </w:rPr>
        <w:t>lakien ja asetusten lähentäminen 2 kohdassa ja 83 artiklassa tarkoitetuilla aloilla.</w:t>
      </w:r>
    </w:p>
    <w:p w:rsidR="00BF6271" w:rsidRPr="00D34192" w:rsidRDefault="000B16B8" w:rsidP="00BF6271">
      <w:pPr>
        <w:jc w:val="both"/>
        <w:rPr>
          <w:rFonts w:eastAsia="Times New Roman" w:cs="Times New Roman"/>
          <w:iCs/>
          <w:lang w:eastAsia="fi-FI"/>
        </w:rPr>
      </w:pPr>
    </w:p>
    <w:p w:rsidR="00BF6271" w:rsidRPr="00D34192" w:rsidRDefault="00E166D6" w:rsidP="00C81E09">
      <w:pPr>
        <w:autoSpaceDE w:val="0"/>
        <w:autoSpaceDN w:val="0"/>
        <w:adjustRightInd w:val="0"/>
        <w:ind w:left="2608"/>
        <w:rPr>
          <w:rFonts w:cs="EUAlbertina-Regu"/>
        </w:rPr>
      </w:pPr>
      <w:r w:rsidRPr="00D34192">
        <w:rPr>
          <w:rFonts w:cs="EUAlbertina-Regu"/>
        </w:rPr>
        <w:t>Euroopan parlamentti ja neuvosto säätävät tavallista lainsäätämisjärjestystä noudattaen toimenpiteistä, joiden tarkoituksena on:</w:t>
      </w:r>
    </w:p>
    <w:p w:rsidR="00BF6271" w:rsidRPr="00D34192" w:rsidRDefault="00E166D6" w:rsidP="00C81E09">
      <w:pPr>
        <w:autoSpaceDE w:val="0"/>
        <w:autoSpaceDN w:val="0"/>
        <w:adjustRightInd w:val="0"/>
        <w:ind w:left="2608"/>
        <w:rPr>
          <w:rFonts w:cs="EUAlbertina-Regu"/>
        </w:rPr>
      </w:pPr>
      <w:r w:rsidRPr="00D34192">
        <w:rPr>
          <w:rFonts w:cs="EUAlbertina-Regu"/>
        </w:rPr>
        <w:t>a) laatia sääntöjä ja menettelyjä kaikenmuotoisten tuomioiden ja oikeusviranomaisten päätösten</w:t>
      </w:r>
      <w:r>
        <w:rPr>
          <w:rFonts w:cs="EUAlbertina-Regu"/>
        </w:rPr>
        <w:t xml:space="preserve"> </w:t>
      </w:r>
      <w:r w:rsidRPr="00D34192">
        <w:rPr>
          <w:rFonts w:cs="EUAlbertina-Regu"/>
        </w:rPr>
        <w:t>tunnustamisen varmistamiseksi koko unionissa;</w:t>
      </w:r>
    </w:p>
    <w:p w:rsidR="00BF6271" w:rsidRPr="00D34192" w:rsidRDefault="00E166D6" w:rsidP="00C81E09">
      <w:pPr>
        <w:autoSpaceDE w:val="0"/>
        <w:autoSpaceDN w:val="0"/>
        <w:adjustRightInd w:val="0"/>
        <w:ind w:left="2608"/>
        <w:rPr>
          <w:rFonts w:cs="EUAlbertina-Regu"/>
        </w:rPr>
      </w:pPr>
      <w:r w:rsidRPr="00D34192">
        <w:rPr>
          <w:rFonts w:cs="EUAlbertina-Regu"/>
        </w:rPr>
        <w:t>b) ehkäistä ja ratkaista jäsenvaltioiden välisiä tuomioistuimen toimivaltaa koskevia ristiriitoja;</w:t>
      </w:r>
    </w:p>
    <w:p w:rsidR="00BF6271" w:rsidRPr="00D34192" w:rsidRDefault="00E166D6" w:rsidP="00C81E09">
      <w:pPr>
        <w:autoSpaceDE w:val="0"/>
        <w:autoSpaceDN w:val="0"/>
        <w:adjustRightInd w:val="0"/>
        <w:ind w:left="2608"/>
        <w:rPr>
          <w:rFonts w:cs="EUAlbertina-Regu"/>
        </w:rPr>
      </w:pPr>
      <w:r w:rsidRPr="00D34192">
        <w:rPr>
          <w:rFonts w:cs="EUAlbertina-Regu"/>
        </w:rPr>
        <w:t>c) tukea tuomareiden ja oikeuslaitoksen henkilöstön koulutusta;</w:t>
      </w:r>
    </w:p>
    <w:p w:rsidR="00BF6271" w:rsidRPr="00D34192" w:rsidRDefault="00E166D6" w:rsidP="00C81E09">
      <w:pPr>
        <w:autoSpaceDE w:val="0"/>
        <w:autoSpaceDN w:val="0"/>
        <w:adjustRightInd w:val="0"/>
        <w:ind w:left="2608"/>
        <w:rPr>
          <w:rFonts w:cs="EUAlbertina-Regu"/>
        </w:rPr>
      </w:pPr>
      <w:r w:rsidRPr="00D34192">
        <w:rPr>
          <w:rFonts w:cs="EUAlbertina-Regu"/>
        </w:rPr>
        <w:t>d) helpottaa jäsenvaltioiden oikeusviranomaisten tai vastaavien viranomaisten yhteistyötä rikosasioiden käsittelyn ja päätösten täytäntöönpanon yhteydessä.</w:t>
      </w:r>
    </w:p>
    <w:p w:rsidR="00BF6271" w:rsidRPr="00D34192" w:rsidRDefault="000B16B8" w:rsidP="00BF6271">
      <w:pPr>
        <w:jc w:val="both"/>
      </w:pPr>
    </w:p>
    <w:p w:rsidR="00BF6271" w:rsidRPr="00D34192" w:rsidRDefault="00E166D6" w:rsidP="00C81E09">
      <w:pPr>
        <w:ind w:left="1304"/>
        <w:jc w:val="both"/>
      </w:pPr>
      <w:r w:rsidRPr="00D34192">
        <w:t>Komissiolta saadun tiedon mukaan se tulkitse kyseistä oikeusperustaa siten, ettei estettä sen käyttämiselle ole, vaikka asetus velvo</w:t>
      </w:r>
      <w:r>
        <w:t xml:space="preserve">ittaisi </w:t>
      </w:r>
      <w:r w:rsidRPr="00D34192">
        <w:t xml:space="preserve">myös yksityistä tahoa. Sisäministeriö katsoo, että selvyyden vuoksi oikeusperustasta olisi </w:t>
      </w:r>
      <w:r>
        <w:t>kuitenkin hyvä saada</w:t>
      </w:r>
      <w:r w:rsidRPr="00D34192">
        <w:t xml:space="preserve"> neuvoston oikeuspalvelun lausunto. </w:t>
      </w:r>
    </w:p>
    <w:p w:rsidR="00BF6271" w:rsidRPr="00D34192" w:rsidRDefault="000B16B8" w:rsidP="00BF6271">
      <w:pPr>
        <w:jc w:val="both"/>
      </w:pPr>
    </w:p>
    <w:p w:rsidR="00BF6271" w:rsidRPr="00D34192" w:rsidRDefault="00E166D6" w:rsidP="00C81E09">
      <w:pPr>
        <w:ind w:left="1304"/>
        <w:jc w:val="both"/>
      </w:pPr>
      <w:r w:rsidRPr="00D34192">
        <w:t xml:space="preserve">Kysymykseen oikeusperustasta liittyy </w:t>
      </w:r>
      <w:r>
        <w:t>myös asetuksen soveltamisala. Soveltamisala</w:t>
      </w:r>
      <w:r w:rsidRPr="00D34192">
        <w:t xml:space="preserve"> on rajoitettu vain rikosprosessiin. Tällä tarkoitetaan prosessia esitutkinnasta tuomioon saakka. Poliisin operatiivisen toiminnan kannalta olisi hyödyllistä, että asetu</w:t>
      </w:r>
      <w:r>
        <w:t xml:space="preserve">sta voisi soveltaa, </w:t>
      </w:r>
      <w:r w:rsidRPr="00D34192">
        <w:t>ainakin tilaaja- ja pääsytietojen osalta</w:t>
      </w:r>
      <w:r>
        <w:t>,</w:t>
      </w:r>
      <w:r w:rsidRPr="00D34192">
        <w:t xml:space="preserve"> myös ns. tiedusteluvaiheeseen kattaen rikosten estämisen ja paljastamisen. Kuten keskusrikospoliisin lausunnossa todetaan</w:t>
      </w:r>
      <w:r>
        <w:t>,</w:t>
      </w:r>
      <w:r w:rsidRPr="00D34192">
        <w:t xml:space="preserve"> r</w:t>
      </w:r>
      <w:r>
        <w:t xml:space="preserve">ikosten </w:t>
      </w:r>
      <w:r w:rsidRPr="00D34192">
        <w:t>estäminen</w:t>
      </w:r>
      <w:r>
        <w:t xml:space="preserve"> ja paljastaminen</w:t>
      </w:r>
      <w:r w:rsidRPr="00D34192">
        <w:t xml:space="preserve"> on usein käytännössä mahdotonta, elleivät lainvalvontaviranomaiset voi saada käyttöönsä esim. tietyn IP-osoitteen rekisteröintitietoja. Tiedusteluvaiheessa tietojen nopea saaminen lainvalvontaviranomaisten käyttöön voi olla jopa tärkeämpää kuin rikosten selvittämisvaiheessa. Sisäministeriö pitäisi kannatettavana, että neuvottelujen kuluessa selviteltäisiin mahdollisuutta laajentaa asetuksen soveltamisalaa kattamaan myös tämän menettelyn. Nyt ehdotettu oikeusperusta ei tällaista toimintaa mahdollistane. </w:t>
      </w:r>
    </w:p>
    <w:p w:rsidR="00BF6271" w:rsidRPr="00D34192" w:rsidRDefault="000B16B8" w:rsidP="00BF6271">
      <w:pPr>
        <w:jc w:val="both"/>
      </w:pPr>
    </w:p>
    <w:p w:rsidR="00BF6271" w:rsidRPr="00D34192" w:rsidRDefault="00E166D6" w:rsidP="00C81E09">
      <w:pPr>
        <w:ind w:left="1304"/>
        <w:jc w:val="both"/>
        <w:rPr>
          <w:rFonts w:cs="EUAlbertina-Regu"/>
        </w:rPr>
      </w:pPr>
      <w:r w:rsidRPr="00D34192">
        <w:t xml:space="preserve">Sisäministeriö nostaa vielä esille, että oikeusperustan mukaan ehdotuksen lähtökohtana on </w:t>
      </w:r>
      <w:r w:rsidRPr="00D34192">
        <w:rPr>
          <w:rFonts w:cs="EUAlbertina-Regu"/>
        </w:rPr>
        <w:t>tuomioistuinten tuomioiden ja</w:t>
      </w:r>
      <w:r w:rsidRPr="00D34192">
        <w:rPr>
          <w:rFonts w:eastAsia="Times New Roman" w:cs="Times New Roman"/>
          <w:iCs/>
          <w:lang w:eastAsia="fi-FI"/>
        </w:rPr>
        <w:t xml:space="preserve"> </w:t>
      </w:r>
      <w:r w:rsidRPr="00D34192">
        <w:rPr>
          <w:rFonts w:cs="EUAlbertina-Regu"/>
        </w:rPr>
        <w:t>oikeusviranomaisten päätösten vastavuoroinen tunnistaminen, mikä tulee huomioida Suomen kantoja ehdotukseen muodostettaessa.</w:t>
      </w:r>
    </w:p>
    <w:p w:rsidR="00BF6271" w:rsidRPr="00D34192" w:rsidRDefault="000B16B8" w:rsidP="00BF6271">
      <w:pPr>
        <w:jc w:val="both"/>
        <w:rPr>
          <w:rFonts w:cs="EUAlbertina-Regu"/>
        </w:rPr>
      </w:pPr>
    </w:p>
    <w:p w:rsidR="00BF6271" w:rsidRPr="00D34192" w:rsidRDefault="00E166D6" w:rsidP="00C81E09">
      <w:pPr>
        <w:ind w:left="1304"/>
        <w:jc w:val="both"/>
        <w:rPr>
          <w:rFonts w:cs="EUAlbertina-Regu"/>
          <w:u w:val="single"/>
        </w:rPr>
      </w:pPr>
      <w:r w:rsidRPr="00D34192">
        <w:rPr>
          <w:rFonts w:cs="EUAlbertina-Regu"/>
          <w:u w:val="single"/>
        </w:rPr>
        <w:t>Todistusaineiston tietoluokat</w:t>
      </w:r>
    </w:p>
    <w:p w:rsidR="00BF6271" w:rsidRPr="00D34192" w:rsidRDefault="000B16B8" w:rsidP="00BF6271">
      <w:pPr>
        <w:jc w:val="both"/>
      </w:pPr>
    </w:p>
    <w:p w:rsidR="00BF6271" w:rsidRPr="00D34192" w:rsidRDefault="00E166D6" w:rsidP="00C81E09">
      <w:pPr>
        <w:ind w:left="1304"/>
        <w:jc w:val="both"/>
        <w:rPr>
          <w:rFonts w:cs="EUAlbertina-Regu"/>
        </w:rPr>
      </w:pPr>
      <w:r w:rsidRPr="00D34192">
        <w:t xml:space="preserve">Asetusehdotuksessa sähköisen todistusaineiston tietoluokat on jaoteltu neljään osa-alueeseen: tilaajatiedot kirjautumistiedot (access data), liikennetiedot ja viestin sisältötiedot. Nämä tietoluokat on määritelty ehdotuksen </w:t>
      </w:r>
      <w:r>
        <w:t xml:space="preserve">kaksi </w:t>
      </w:r>
      <w:r w:rsidRPr="00D34192">
        <w:t>artiklassa.</w:t>
      </w:r>
    </w:p>
    <w:p w:rsidR="00BF6271" w:rsidRPr="00D34192" w:rsidRDefault="000B16B8" w:rsidP="00BF6271">
      <w:pPr>
        <w:jc w:val="both"/>
      </w:pPr>
    </w:p>
    <w:p w:rsidR="00BF6271" w:rsidRPr="00D34192" w:rsidRDefault="00E166D6" w:rsidP="00C81E09">
      <w:pPr>
        <w:ind w:left="1304"/>
        <w:jc w:val="both"/>
      </w:pPr>
      <w:r w:rsidRPr="00D34192">
        <w:t>Ehdotuksen artiklan 5(3) mukaan sähköisen todistusaineiston luovuttamismääräys voitaisiin antaa tilaaja- ja kirjautumistietoja (access data) koskien kaikkien rikosten osalta. Ehdotuksen artiklan 5(4) mukaan viestin sisältötietojen ja liikennöintitietojen osalta sähköisten todis</w:t>
      </w:r>
      <w:r>
        <w:t>teiden luovuttamismääräys olisi</w:t>
      </w:r>
      <w:r w:rsidRPr="00D34192">
        <w:t xml:space="preserve"> mahdollista antaa vain rikoksista joiden säädetty enimmäisrangaistus on kolme vuotta vankeutta tai artiklassa</w:t>
      </w:r>
      <w:r>
        <w:t xml:space="preserve"> erikseen </w:t>
      </w:r>
      <w:r w:rsidRPr="00D34192">
        <w:t>listattujen rikosten osalta. Sisäministeriö pitää sinänsä perusteltuna, että tilaaja- ja kirjautumistietojen osalta luovuttamismääräys voidaan antaa helpommin kuin sisältö- ja liikennetietojen osalta</w:t>
      </w:r>
      <w:r>
        <w:t>,</w:t>
      </w:r>
      <w:r w:rsidRPr="00D34192">
        <w:t xml:space="preserve"> mutta artiklassa mainittua </w:t>
      </w:r>
      <w:r>
        <w:t>kolmen</w:t>
      </w:r>
      <w:r w:rsidRPr="00D34192">
        <w:t xml:space="preserve"> vuoden rangaistusmaksimia tul</w:t>
      </w:r>
      <w:r>
        <w:t>isi</w:t>
      </w:r>
      <w:r w:rsidRPr="00D34192">
        <w:t xml:space="preserve"> vielä tarkastella. Kansallisessa pakkokeinolaissa esimerkiksi takavarikoimisen edellytyksiä ei ole kytketty rangaistusmaksimiin. </w:t>
      </w:r>
    </w:p>
    <w:p w:rsidR="00BF6271" w:rsidRPr="00D34192" w:rsidRDefault="000B16B8" w:rsidP="00BF6271">
      <w:pPr>
        <w:jc w:val="both"/>
      </w:pPr>
    </w:p>
    <w:p w:rsidR="00BF6271" w:rsidRPr="00D34192" w:rsidRDefault="00E166D6" w:rsidP="00C81E09">
      <w:pPr>
        <w:ind w:left="1304"/>
        <w:jc w:val="both"/>
      </w:pPr>
      <w:r w:rsidRPr="00D34192">
        <w:t xml:space="preserve">Sisäministeriö tuo vielä esille, että kirjautumistietoja (access data) tulisi kohdella samalla tavoin kuin tilaajatietoja. Komission mukaan kirjautumistiedoissa on kyse </w:t>
      </w:r>
      <w:r>
        <w:t xml:space="preserve">tiedoista, joiden avulla </w:t>
      </w:r>
      <w:r w:rsidRPr="00D34192">
        <w:t xml:space="preserve">käyttäjää </w:t>
      </w:r>
      <w:r>
        <w:t>ei voida tunnistaa</w:t>
      </w:r>
      <w:r w:rsidRPr="00D34192">
        <w:t xml:space="preserve"> mutta jotka ovat tarpeellisia tunnistamisen mahdollistamiseen. Tällaisia tietoj</w:t>
      </w:r>
      <w:r>
        <w:t xml:space="preserve">a voivat olla esimerkiksi tiedot </w:t>
      </w:r>
      <w:r w:rsidRPr="00D34192">
        <w:t>palveluun tai siitä ulos kirjau</w:t>
      </w:r>
      <w:r>
        <w:t>tumisesta</w:t>
      </w:r>
      <w:r w:rsidRPr="00D34192">
        <w:t xml:space="preserve">. </w:t>
      </w:r>
    </w:p>
    <w:p w:rsidR="00BF6271" w:rsidRPr="003E067D" w:rsidRDefault="000B16B8" w:rsidP="00BF6271">
      <w:pPr>
        <w:jc w:val="both"/>
      </w:pPr>
    </w:p>
    <w:p w:rsidR="00C81E09" w:rsidRDefault="000B16B8" w:rsidP="00C81E09">
      <w:pPr>
        <w:ind w:left="1304"/>
        <w:jc w:val="both"/>
        <w:rPr>
          <w:u w:val="single"/>
        </w:rPr>
      </w:pPr>
    </w:p>
    <w:p w:rsidR="00C81E09" w:rsidRDefault="000B16B8" w:rsidP="00C81E09">
      <w:pPr>
        <w:ind w:left="1304"/>
        <w:jc w:val="both"/>
        <w:rPr>
          <w:u w:val="single"/>
        </w:rPr>
      </w:pPr>
    </w:p>
    <w:p w:rsidR="00BF6271" w:rsidRPr="00D34192" w:rsidRDefault="00E166D6" w:rsidP="00C81E09">
      <w:pPr>
        <w:ind w:left="1304"/>
        <w:jc w:val="both"/>
        <w:rPr>
          <w:u w:val="single"/>
        </w:rPr>
      </w:pPr>
      <w:r w:rsidRPr="00D34192">
        <w:rPr>
          <w:u w:val="single"/>
        </w:rPr>
        <w:t>Määräyksen antava viranomainen</w:t>
      </w:r>
    </w:p>
    <w:p w:rsidR="00BF6271" w:rsidRPr="00D34192" w:rsidRDefault="000B16B8" w:rsidP="00BF6271">
      <w:pPr>
        <w:jc w:val="both"/>
        <w:rPr>
          <w:u w:val="single"/>
        </w:rPr>
      </w:pPr>
    </w:p>
    <w:p w:rsidR="00BF6271" w:rsidRPr="00D34192" w:rsidRDefault="00E166D6" w:rsidP="00C81E09">
      <w:pPr>
        <w:ind w:left="1304"/>
        <w:jc w:val="both"/>
      </w:pPr>
      <w:r>
        <w:lastRenderedPageBreak/>
        <w:t>Asetusehdotuksen 4</w:t>
      </w:r>
      <w:r w:rsidRPr="00D34192">
        <w:t xml:space="preserve"> artiklassa säädetään määräyksen antavis</w:t>
      </w:r>
      <w:r>
        <w:t>ta viranomaisista. Myös sen osalta</w:t>
      </w:r>
      <w:r w:rsidRPr="00D34192">
        <w:t xml:space="preserve"> teh</w:t>
      </w:r>
      <w:r>
        <w:t>dään ero tilaaja- ja kirjautumistietojen sekä liikenne- ja sisältötietojen välillä</w:t>
      </w:r>
      <w:r w:rsidRPr="00D34192">
        <w:t xml:space="preserve">. </w:t>
      </w:r>
      <w:r>
        <w:t>K</w:t>
      </w:r>
      <w:r w:rsidRPr="00D34192">
        <w:t>aikkien tietoluokkien ja sekä luovuttamis- että säilyttämismääräyksen osalta edellytyksenä kuitenkin on, että oikeudellinen viranomainen on validoinut määräykset. Sisäministeriö katsoo, että määräysten pakollista validointi</w:t>
      </w:r>
      <w:r>
        <w:t>edellytystä tulisi</w:t>
      </w:r>
      <w:r w:rsidRPr="00D34192">
        <w:t xml:space="preserve"> vielä tarkastella. Tehokkaan rikosprosessin turvaamiseksi olisi tärkeää, että määräys saataisiin eteenpäin viipymättä ainakin tilanteissa, jossa on kyse tilaaja- ja kirjautumistiedoista. Sisäministeriö viittaa myös keskusrikospoliisin esille tuomaan havaintoon siitä, että EIO-asetus on ollut voimassa vajaan vuoden ja nyt on jo käytännössä havaittavissa se, millaisia käytännön hidasteita toisen viranomaisen vahvistamismenettely aiheuttaa rikosprosessille. Toisaalta on muistettava, että asetusehdotus perustuu vastavuoroiselle tunnustamiselle, mikä on lähtökohtaisesti jäsenvaltioiden oikeusviranomaisten välistä toimintaa. </w:t>
      </w:r>
    </w:p>
    <w:p w:rsidR="00BF6271" w:rsidRPr="00D34192" w:rsidRDefault="000B16B8" w:rsidP="00BF6271">
      <w:pPr>
        <w:jc w:val="both"/>
      </w:pPr>
    </w:p>
    <w:p w:rsidR="00C81E09" w:rsidRDefault="000B16B8" w:rsidP="00BF6271">
      <w:pPr>
        <w:jc w:val="both"/>
        <w:rPr>
          <w:u w:val="single"/>
        </w:rPr>
      </w:pPr>
    </w:p>
    <w:p w:rsidR="00BF6271" w:rsidRPr="00D34192" w:rsidRDefault="00E166D6" w:rsidP="00C81E09">
      <w:pPr>
        <w:ind w:left="1304"/>
        <w:jc w:val="both"/>
        <w:rPr>
          <w:rFonts w:eastAsia="Times New Roman" w:cs="Times New Roman"/>
          <w:b/>
          <w:bCs/>
          <w:u w:val="single"/>
          <w:lang w:eastAsia="fi-FI"/>
        </w:rPr>
      </w:pPr>
      <w:r w:rsidRPr="00D34192">
        <w:rPr>
          <w:u w:val="single"/>
        </w:rPr>
        <w:t>Muuta</w:t>
      </w:r>
      <w:r w:rsidRPr="00D34192">
        <w:rPr>
          <w:rFonts w:eastAsia="Times New Roman" w:cs="Times New Roman"/>
          <w:b/>
          <w:bCs/>
          <w:u w:val="single"/>
          <w:lang w:eastAsia="fi-FI"/>
        </w:rPr>
        <w:t xml:space="preserve"> </w:t>
      </w:r>
    </w:p>
    <w:p w:rsidR="00BF6271" w:rsidRPr="00D34192" w:rsidRDefault="000B16B8" w:rsidP="00BF6271">
      <w:pPr>
        <w:jc w:val="both"/>
        <w:rPr>
          <w:rFonts w:eastAsia="Times New Roman" w:cs="Times New Roman"/>
          <w:b/>
          <w:bCs/>
          <w:u w:val="single"/>
          <w:lang w:eastAsia="fi-FI"/>
        </w:rPr>
      </w:pPr>
    </w:p>
    <w:p w:rsidR="00BF6271" w:rsidRDefault="00E166D6" w:rsidP="00C81E09">
      <w:pPr>
        <w:ind w:left="1304"/>
        <w:jc w:val="both"/>
        <w:rPr>
          <w:rFonts w:eastAsia="Times New Roman" w:cs="Times New Roman"/>
          <w:bCs/>
          <w:lang w:eastAsia="fi-FI"/>
        </w:rPr>
      </w:pPr>
      <w:r w:rsidRPr="00D34192">
        <w:rPr>
          <w:rFonts w:eastAsia="Times New Roman" w:cs="Times New Roman"/>
          <w:bCs/>
          <w:lang w:eastAsia="fi-FI"/>
        </w:rPr>
        <w:t>Aset</w:t>
      </w:r>
      <w:r>
        <w:rPr>
          <w:rFonts w:eastAsia="Times New Roman" w:cs="Times New Roman"/>
          <w:bCs/>
          <w:lang w:eastAsia="fi-FI"/>
        </w:rPr>
        <w:t xml:space="preserve">usehdotuksen artikloissa on lisäksi useita lisätäsmennyksiä edellyttäviä kohtia, </w:t>
      </w:r>
      <w:r w:rsidRPr="00D34192">
        <w:rPr>
          <w:rFonts w:eastAsia="Times New Roman" w:cs="Times New Roman"/>
          <w:bCs/>
          <w:lang w:eastAsia="fi-FI"/>
        </w:rPr>
        <w:t>joihin tulee palata neuvottelujen kuluessa. Sisäministeriö nostaa esille esimerkiksi artikla</w:t>
      </w:r>
      <w:r>
        <w:rPr>
          <w:rFonts w:eastAsia="Times New Roman" w:cs="Times New Roman"/>
          <w:bCs/>
          <w:lang w:eastAsia="fi-FI"/>
        </w:rPr>
        <w:t xml:space="preserve">n 5(7), jossa tuodaan esille </w:t>
      </w:r>
      <w:r w:rsidRPr="00D34192">
        <w:rPr>
          <w:rFonts w:eastAsia="Times New Roman" w:cs="Times New Roman"/>
          <w:bCs/>
          <w:lang w:eastAsia="fi-FI"/>
        </w:rPr>
        <w:t xml:space="preserve">seikkoja, mitä määräyksen antavan viranomaisen tulisi huomioida liikenne- ja sisältötietoihin liittyen. </w:t>
      </w:r>
      <w:r>
        <w:rPr>
          <w:rFonts w:eastAsia="Times New Roman" w:cs="Times New Roman"/>
          <w:bCs/>
          <w:lang w:eastAsia="fi-FI"/>
        </w:rPr>
        <w:t>Toisena esimerkkinä voidaan mainita artikla 9, jossa säädetään tilanteista, j</w:t>
      </w:r>
      <w:r w:rsidRPr="00D34192">
        <w:rPr>
          <w:rFonts w:eastAsia="Times New Roman" w:cs="Times New Roman"/>
          <w:bCs/>
          <w:lang w:eastAsia="fi-FI"/>
        </w:rPr>
        <w:t>olloin palveluntarjoaja voi kieltäytyä tietojen toimittamisesta</w:t>
      </w:r>
      <w:r>
        <w:rPr>
          <w:rFonts w:eastAsia="Times New Roman" w:cs="Times New Roman"/>
          <w:bCs/>
          <w:lang w:eastAsia="fi-FI"/>
        </w:rPr>
        <w:t xml:space="preserve">. Artikla </w:t>
      </w:r>
      <w:r w:rsidRPr="00D34192">
        <w:rPr>
          <w:rFonts w:eastAsia="Times New Roman" w:cs="Times New Roman"/>
          <w:bCs/>
          <w:lang w:eastAsia="fi-FI"/>
        </w:rPr>
        <w:t>tulee laatia yksiselitteiseksi ja huomioiden se, että kyse on poikkeustilanteista.</w:t>
      </w:r>
    </w:p>
    <w:p w:rsidR="00C81E09" w:rsidRPr="00D34192" w:rsidRDefault="000B16B8" w:rsidP="00C81E09">
      <w:pPr>
        <w:ind w:left="1304"/>
        <w:jc w:val="both"/>
        <w:rPr>
          <w:rFonts w:eastAsia="Times New Roman" w:cs="Times New Roman"/>
          <w:bCs/>
          <w:lang w:eastAsia="fi-FI"/>
        </w:rPr>
      </w:pPr>
    </w:p>
    <w:p w:rsidR="00BF6271" w:rsidRPr="00D34192" w:rsidRDefault="000B16B8" w:rsidP="00BF6271">
      <w:pPr>
        <w:jc w:val="both"/>
        <w:rPr>
          <w:rFonts w:eastAsia="Times New Roman" w:cs="Times New Roman"/>
          <w:bCs/>
          <w:lang w:eastAsia="fi-FI"/>
        </w:rPr>
      </w:pPr>
    </w:p>
    <w:p w:rsidR="00BF6271" w:rsidRPr="00D34192" w:rsidRDefault="00E166D6" w:rsidP="00C81E09">
      <w:pPr>
        <w:ind w:left="1304"/>
        <w:jc w:val="both"/>
        <w:rPr>
          <w:rFonts w:eastAsia="Times New Roman" w:cs="Times New Roman"/>
          <w:b/>
          <w:bCs/>
          <w:sz w:val="24"/>
          <w:szCs w:val="24"/>
          <w:lang w:eastAsia="fi-FI"/>
        </w:rPr>
      </w:pPr>
      <w:r w:rsidRPr="00C81E09">
        <w:rPr>
          <w:rFonts w:eastAsia="Times New Roman" w:cs="Times New Roman"/>
          <w:b/>
          <w:bCs/>
          <w:sz w:val="22"/>
          <w:szCs w:val="22"/>
          <w:lang w:eastAsia="fi-FI"/>
        </w:rPr>
        <w:t>Direktiiviehdotus</w:t>
      </w:r>
    </w:p>
    <w:p w:rsidR="00BF6271" w:rsidRPr="00D34192" w:rsidRDefault="000B16B8" w:rsidP="00BF6271">
      <w:pPr>
        <w:jc w:val="both"/>
        <w:rPr>
          <w:rFonts w:eastAsia="Times New Roman" w:cs="Times New Roman"/>
          <w:b/>
          <w:bCs/>
          <w:lang w:eastAsia="fi-FI"/>
        </w:rPr>
      </w:pPr>
    </w:p>
    <w:p w:rsidR="00BF6271" w:rsidRPr="00D34192" w:rsidRDefault="00E166D6" w:rsidP="00C81E09">
      <w:pPr>
        <w:ind w:left="1304"/>
        <w:jc w:val="both"/>
        <w:rPr>
          <w:rFonts w:eastAsia="Times New Roman" w:cs="Times New Roman"/>
          <w:lang w:eastAsia="fi-FI"/>
        </w:rPr>
      </w:pPr>
      <w:r w:rsidRPr="00D34192">
        <w:rPr>
          <w:rFonts w:eastAsia="Times New Roman" w:cs="Times New Roman"/>
          <w:bCs/>
          <w:lang w:eastAsia="fi-FI"/>
        </w:rPr>
        <w:t>Direktiiviehdotuksella velvoitetaan palveluntarjoajat nimeämään unioniin laillinen edustaja</w:t>
      </w:r>
      <w:r w:rsidRPr="00D34192">
        <w:rPr>
          <w:rFonts w:eastAsia="Times New Roman" w:cs="Times New Roman"/>
          <w:lang w:eastAsia="fi-FI"/>
        </w:rPr>
        <w:t>. Edustaja voisi olla myös oikeushenkilö. Edustaja toimisi palveluntarjoajan puolesta sähköisen todistusaineiston keräämisessä rikosasioissa.</w:t>
      </w:r>
    </w:p>
    <w:p w:rsidR="00BF6271" w:rsidRPr="00D34192" w:rsidRDefault="000B16B8" w:rsidP="00BF6271">
      <w:pPr>
        <w:jc w:val="both"/>
        <w:rPr>
          <w:rFonts w:eastAsia="Times New Roman" w:cs="Times New Roman"/>
          <w:lang w:eastAsia="fi-FI"/>
        </w:rPr>
      </w:pPr>
    </w:p>
    <w:p w:rsidR="00BF6271" w:rsidRPr="00D34192" w:rsidRDefault="00E166D6" w:rsidP="00C81E09">
      <w:pPr>
        <w:ind w:left="1304"/>
        <w:jc w:val="both"/>
        <w:rPr>
          <w:rFonts w:eastAsia="Times New Roman" w:cs="Times New Roman"/>
          <w:lang w:eastAsia="fi-FI"/>
        </w:rPr>
      </w:pPr>
      <w:r w:rsidRPr="00D34192">
        <w:rPr>
          <w:rFonts w:eastAsia="Times New Roman" w:cs="Times New Roman"/>
          <w:lang w:eastAsia="fi-FI"/>
        </w:rPr>
        <w:t xml:space="preserve">Sisäministeriöllä ei ole </w:t>
      </w:r>
      <w:r>
        <w:rPr>
          <w:rFonts w:eastAsia="Times New Roman" w:cs="Times New Roman"/>
          <w:lang w:eastAsia="fi-FI"/>
        </w:rPr>
        <w:t>direktiivi</w:t>
      </w:r>
      <w:r w:rsidRPr="00D34192">
        <w:rPr>
          <w:rFonts w:eastAsia="Times New Roman" w:cs="Times New Roman"/>
          <w:lang w:eastAsia="fi-FI"/>
        </w:rPr>
        <w:t>ehdotukseen tässä vaiheessa kommentoitavaa.</w:t>
      </w:r>
    </w:p>
    <w:p w:rsidR="002A6CD5" w:rsidRDefault="000B16B8" w:rsidP="002A6CD5">
      <w:pPr>
        <w:pStyle w:val="Leipteksti"/>
      </w:pPr>
    </w:p>
    <w:p w:rsidR="00CF11FD" w:rsidRDefault="000B16B8" w:rsidP="002A6CD5">
      <w:pPr>
        <w:pStyle w:val="Leipteksti"/>
      </w:pPr>
    </w:p>
    <w:p w:rsidR="00CF11FD" w:rsidRDefault="000B16B8" w:rsidP="002A6CD5">
      <w:pPr>
        <w:pStyle w:val="Leipteksti"/>
      </w:pPr>
    </w:p>
    <w:p w:rsidR="00BF6271" w:rsidRDefault="00E166D6" w:rsidP="00C81E09">
      <w:pPr>
        <w:pStyle w:val="Leipteksti"/>
        <w:ind w:left="1304"/>
      </w:pPr>
      <w:r>
        <w:t xml:space="preserve">Ylijohtaja </w:t>
      </w:r>
      <w:r>
        <w:tab/>
      </w:r>
      <w:r>
        <w:tab/>
      </w:r>
      <w:r>
        <w:tab/>
        <w:t>Risto Lammi</w:t>
      </w:r>
    </w:p>
    <w:p w:rsidR="00BF6271" w:rsidRDefault="000B16B8" w:rsidP="00BF6271">
      <w:pPr>
        <w:pStyle w:val="Leipteksti"/>
        <w:ind w:left="0"/>
      </w:pPr>
    </w:p>
    <w:p w:rsidR="00BF6271" w:rsidRDefault="000B16B8" w:rsidP="00BF6271">
      <w:pPr>
        <w:pStyle w:val="Leipteksti"/>
        <w:ind w:left="0"/>
      </w:pPr>
    </w:p>
    <w:p w:rsidR="00CF11FD" w:rsidRDefault="000B16B8" w:rsidP="00CF11FD">
      <w:pPr>
        <w:pStyle w:val="Leipteksti"/>
      </w:pPr>
    </w:p>
    <w:p w:rsidR="00CF11FD" w:rsidRDefault="00E166D6" w:rsidP="00C81E09">
      <w:pPr>
        <w:pStyle w:val="Leipteksti"/>
        <w:ind w:left="1304"/>
      </w:pPr>
      <w:r>
        <w:t>Lainsäädäntöneuvos</w:t>
      </w:r>
      <w:r>
        <w:tab/>
      </w:r>
      <w:r>
        <w:tab/>
        <w:t>Hannele Taavila</w:t>
      </w:r>
    </w:p>
    <w:p w:rsidR="00C81E09" w:rsidRDefault="000B16B8" w:rsidP="00BF6271">
      <w:pPr>
        <w:pStyle w:val="Leipteksti"/>
        <w:ind w:left="0"/>
      </w:pPr>
    </w:p>
    <w:p w:rsidR="008C5E06" w:rsidRDefault="000B16B8" w:rsidP="00CF11FD">
      <w:pPr>
        <w:pStyle w:val="Leipteksti"/>
      </w:pPr>
    </w:p>
    <w:p w:rsidR="00CF11FD" w:rsidRDefault="000B16B8" w:rsidP="00CF11FD">
      <w:pPr>
        <w:pStyle w:val="Leipteksti"/>
      </w:pPr>
      <w:r>
        <w:fldChar w:fldCharType="begin"/>
      </w:r>
      <w:r>
        <w:instrText xml:space="preserve"> DOCPROPERTY  sm_allekirjoitusfraasi  \* MERGEFORMAT </w:instrText>
      </w:r>
      <w:r>
        <w:fldChar w:fldCharType="separate"/>
      </w:r>
      <w:r w:rsidR="00E166D6">
        <w:t>Automaattisesti päivittyvä allekirjoitusfraasi. Älä poista tätä kenttää, jos allekirjoitat asiakirjan sähköisesti.</w:t>
      </w:r>
      <w:r>
        <w:fldChar w:fldCharType="end"/>
      </w:r>
    </w:p>
    <w:p w:rsidR="00CF11FD" w:rsidRDefault="000B16B8" w:rsidP="00F874C0">
      <w:pPr>
        <w:pStyle w:val="Leipteksti"/>
      </w:pPr>
    </w:p>
    <w:p w:rsidR="008C5E06" w:rsidRDefault="000B16B8" w:rsidP="00F874C0">
      <w:pPr>
        <w:pStyle w:val="Leipteksti"/>
      </w:pPr>
    </w:p>
    <w:tbl>
      <w:tblPr>
        <w:tblStyle w:val="Eireunaviivaa"/>
        <w:tblW w:w="0" w:type="auto"/>
        <w:tblLayout w:type="fixed"/>
        <w:tblLook w:val="04A0" w:firstRow="1" w:lastRow="0" w:firstColumn="1" w:lastColumn="0" w:noHBand="0" w:noVBand="1"/>
      </w:tblPr>
      <w:tblGrid>
        <w:gridCol w:w="2608"/>
        <w:gridCol w:w="7761"/>
      </w:tblGrid>
      <w:tr w:rsidR="002C790C" w:rsidTr="00CF11FD">
        <w:trPr>
          <w:trHeight w:val="556"/>
        </w:trPr>
        <w:tc>
          <w:tcPr>
            <w:tcW w:w="2608" w:type="dxa"/>
          </w:tcPr>
          <w:p w:rsidR="00CF11FD" w:rsidRPr="00242B73" w:rsidRDefault="000B16B8" w:rsidP="00CF11FD">
            <w:pPr>
              <w:rPr>
                <w:sz w:val="20"/>
                <w:szCs w:val="20"/>
              </w:rPr>
            </w:pPr>
          </w:p>
        </w:tc>
        <w:tc>
          <w:tcPr>
            <w:tcW w:w="7761" w:type="dxa"/>
          </w:tcPr>
          <w:p w:rsidR="00CF11FD" w:rsidRPr="00242B73" w:rsidRDefault="000B16B8" w:rsidP="00CF11FD">
            <w:pPr>
              <w:rPr>
                <w:sz w:val="20"/>
                <w:szCs w:val="20"/>
              </w:rPr>
            </w:pPr>
          </w:p>
        </w:tc>
      </w:tr>
      <w:tr w:rsidR="002C790C" w:rsidRPr="00E166D6" w:rsidTr="00CF11FD">
        <w:trPr>
          <w:trHeight w:val="556"/>
        </w:trPr>
        <w:tc>
          <w:tcPr>
            <w:tcW w:w="2608" w:type="dxa"/>
          </w:tcPr>
          <w:p w:rsidR="00CF11FD" w:rsidRPr="00242B73" w:rsidRDefault="00E166D6" w:rsidP="00CF11FD">
            <w:pPr>
              <w:rPr>
                <w:sz w:val="20"/>
                <w:szCs w:val="20"/>
              </w:rPr>
            </w:pPr>
            <w:r w:rsidRPr="00242B73">
              <w:rPr>
                <w:sz w:val="20"/>
                <w:szCs w:val="20"/>
              </w:rPr>
              <w:t>Jakelu</w:t>
            </w:r>
          </w:p>
        </w:tc>
        <w:tc>
          <w:tcPr>
            <w:tcW w:w="7761" w:type="dxa"/>
          </w:tcPr>
          <w:p w:rsidR="00BF6271" w:rsidRPr="00E166D6" w:rsidRDefault="00E166D6" w:rsidP="00CF11FD">
            <w:pPr>
              <w:rPr>
                <w:lang w:val="sv-SE"/>
              </w:rPr>
            </w:pPr>
            <w:r w:rsidRPr="00E166D6">
              <w:rPr>
                <w:lang w:val="sv-SE"/>
              </w:rPr>
              <w:t>KP Koskinen</w:t>
            </w:r>
          </w:p>
          <w:p w:rsidR="00E166D6" w:rsidRPr="00E166D6" w:rsidRDefault="00E166D6" w:rsidP="00CF11FD">
            <w:pPr>
              <w:rPr>
                <w:sz w:val="20"/>
                <w:szCs w:val="20"/>
                <w:lang w:val="sv-SE"/>
              </w:rPr>
            </w:pPr>
            <w:r w:rsidRPr="00E166D6">
              <w:rPr>
                <w:lang w:val="sv-SE"/>
              </w:rPr>
              <w:t>Eav Andersson - Bohren</w:t>
            </w:r>
          </w:p>
        </w:tc>
      </w:tr>
      <w:tr w:rsidR="002C790C" w:rsidTr="00CF11FD">
        <w:trPr>
          <w:trHeight w:val="556"/>
        </w:trPr>
        <w:tc>
          <w:tcPr>
            <w:tcW w:w="2608" w:type="dxa"/>
          </w:tcPr>
          <w:p w:rsidR="00CF11FD" w:rsidRPr="00242B73" w:rsidRDefault="00E166D6" w:rsidP="00CF11FD">
            <w:pPr>
              <w:rPr>
                <w:sz w:val="20"/>
                <w:szCs w:val="20"/>
              </w:rPr>
            </w:pPr>
            <w:r w:rsidRPr="00242B73">
              <w:rPr>
                <w:sz w:val="20"/>
                <w:szCs w:val="20"/>
              </w:rPr>
              <w:t>Tiedoksi</w:t>
            </w:r>
          </w:p>
        </w:tc>
        <w:tc>
          <w:tcPr>
            <w:tcW w:w="7761" w:type="dxa"/>
          </w:tcPr>
          <w:p w:rsidR="00CF11FD" w:rsidRPr="00242B73" w:rsidRDefault="00E166D6" w:rsidP="00CF11FD">
            <w:pPr>
              <w:rPr>
                <w:sz w:val="20"/>
                <w:szCs w:val="20"/>
              </w:rPr>
            </w:pPr>
            <w:r>
              <w:t>PO</w:t>
            </w:r>
          </w:p>
        </w:tc>
      </w:tr>
    </w:tbl>
    <w:p w:rsidR="00162585" w:rsidRDefault="000B16B8" w:rsidP="00162585"/>
    <w:p w:rsidR="00D76923" w:rsidRDefault="000B16B8"/>
    <w:p w:rsidR="0035265B" w:rsidRDefault="000B16B8"/>
    <w:p w:rsidR="008C5E06" w:rsidRPr="00162585" w:rsidRDefault="000B16B8" w:rsidP="00D76923"/>
    <w:sectPr w:rsidR="008C5E06" w:rsidRPr="00162585" w:rsidSect="002208F1">
      <w:headerReference w:type="default" r:id="rId7"/>
      <w:headerReference w:type="first" r:id="rId8"/>
      <w:footerReference w:type="first" r:id="rId9"/>
      <w:pgSz w:w="11906" w:h="16838" w:code="9"/>
      <w:pgMar w:top="1531" w:right="567" w:bottom="510"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324" w:rsidRDefault="00E166D6">
      <w:r>
        <w:separator/>
      </w:r>
    </w:p>
  </w:endnote>
  <w:endnote w:type="continuationSeparator" w:id="0">
    <w:p w:rsidR="00D77324" w:rsidRDefault="00E1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Regu">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10275" w:type="dxa"/>
      <w:tblLayout w:type="fixed"/>
      <w:tblCellMar>
        <w:right w:w="0" w:type="dxa"/>
      </w:tblCellMar>
      <w:tblLook w:val="04A0" w:firstRow="1" w:lastRow="0" w:firstColumn="1" w:lastColumn="0" w:noHBand="0" w:noVBand="1"/>
    </w:tblPr>
    <w:tblGrid>
      <w:gridCol w:w="2586"/>
      <w:gridCol w:w="1809"/>
      <w:gridCol w:w="2126"/>
      <w:gridCol w:w="1843"/>
      <w:gridCol w:w="1911"/>
    </w:tblGrid>
    <w:tr w:rsidR="002C790C" w:rsidTr="001811CD">
      <w:tc>
        <w:tcPr>
          <w:tcW w:w="2586" w:type="dxa"/>
          <w:tcBorders>
            <w:bottom w:val="single" w:sz="6" w:space="0" w:color="59B5A4"/>
          </w:tcBorders>
        </w:tcPr>
        <w:p w:rsidR="00C32D98" w:rsidRPr="00EF222F" w:rsidRDefault="000B16B8" w:rsidP="001811CD">
          <w:pPr>
            <w:pStyle w:val="Alatunniste"/>
          </w:pPr>
        </w:p>
      </w:tc>
      <w:tc>
        <w:tcPr>
          <w:tcW w:w="1809" w:type="dxa"/>
          <w:tcBorders>
            <w:bottom w:val="single" w:sz="6" w:space="0" w:color="59B5A4"/>
          </w:tcBorders>
        </w:tcPr>
        <w:p w:rsidR="00C32D98" w:rsidRPr="00EF222F" w:rsidRDefault="000B16B8" w:rsidP="001811CD">
          <w:pPr>
            <w:pStyle w:val="Alatunniste"/>
          </w:pPr>
        </w:p>
      </w:tc>
      <w:tc>
        <w:tcPr>
          <w:tcW w:w="2126" w:type="dxa"/>
          <w:tcBorders>
            <w:bottom w:val="single" w:sz="6" w:space="0" w:color="59B5A4"/>
          </w:tcBorders>
        </w:tcPr>
        <w:p w:rsidR="00C32D98" w:rsidRPr="00EF222F" w:rsidRDefault="000B16B8" w:rsidP="001811CD">
          <w:pPr>
            <w:pStyle w:val="Alatunniste"/>
          </w:pPr>
        </w:p>
      </w:tc>
      <w:tc>
        <w:tcPr>
          <w:tcW w:w="1843" w:type="dxa"/>
          <w:tcBorders>
            <w:bottom w:val="single" w:sz="6" w:space="0" w:color="59B5A4"/>
          </w:tcBorders>
        </w:tcPr>
        <w:p w:rsidR="00C32D98" w:rsidRDefault="000B16B8" w:rsidP="001811CD">
          <w:pPr>
            <w:pStyle w:val="Alatunniste"/>
          </w:pPr>
        </w:p>
      </w:tc>
      <w:tc>
        <w:tcPr>
          <w:tcW w:w="1911" w:type="dxa"/>
          <w:tcBorders>
            <w:bottom w:val="single" w:sz="6" w:space="0" w:color="59B5A4"/>
          </w:tcBorders>
        </w:tcPr>
        <w:p w:rsidR="00C32D98" w:rsidRDefault="000B16B8" w:rsidP="001811CD">
          <w:pPr>
            <w:pStyle w:val="Alatunniste"/>
          </w:pPr>
        </w:p>
      </w:tc>
    </w:tr>
    <w:tr w:rsidR="002C790C" w:rsidTr="001811CD">
      <w:tc>
        <w:tcPr>
          <w:tcW w:w="2586" w:type="dxa"/>
          <w:tcBorders>
            <w:top w:val="single" w:sz="6" w:space="0" w:color="59B5A4"/>
          </w:tcBorders>
        </w:tcPr>
        <w:p w:rsidR="00C32D98" w:rsidRPr="00EF222F" w:rsidRDefault="000B16B8" w:rsidP="001811CD">
          <w:pPr>
            <w:pStyle w:val="Alatunniste"/>
          </w:pPr>
        </w:p>
      </w:tc>
      <w:tc>
        <w:tcPr>
          <w:tcW w:w="1809" w:type="dxa"/>
          <w:tcBorders>
            <w:top w:val="single" w:sz="6" w:space="0" w:color="59B5A4"/>
          </w:tcBorders>
        </w:tcPr>
        <w:p w:rsidR="00C32D98" w:rsidRPr="00EF222F" w:rsidRDefault="000B16B8" w:rsidP="001811CD">
          <w:pPr>
            <w:pStyle w:val="Alatunniste"/>
          </w:pPr>
        </w:p>
      </w:tc>
      <w:tc>
        <w:tcPr>
          <w:tcW w:w="2126" w:type="dxa"/>
          <w:tcBorders>
            <w:top w:val="single" w:sz="6" w:space="0" w:color="59B5A4"/>
          </w:tcBorders>
        </w:tcPr>
        <w:p w:rsidR="00C32D98" w:rsidRPr="00EF222F" w:rsidRDefault="000B16B8" w:rsidP="001811CD">
          <w:pPr>
            <w:pStyle w:val="Alatunniste"/>
          </w:pPr>
        </w:p>
      </w:tc>
      <w:tc>
        <w:tcPr>
          <w:tcW w:w="1843" w:type="dxa"/>
          <w:tcBorders>
            <w:top w:val="single" w:sz="6" w:space="0" w:color="59B5A4"/>
          </w:tcBorders>
        </w:tcPr>
        <w:p w:rsidR="00C32D98" w:rsidRPr="00EF222F" w:rsidRDefault="000B16B8" w:rsidP="001811CD">
          <w:pPr>
            <w:pStyle w:val="Alatunniste"/>
          </w:pPr>
        </w:p>
      </w:tc>
      <w:tc>
        <w:tcPr>
          <w:tcW w:w="1911" w:type="dxa"/>
          <w:tcBorders>
            <w:top w:val="single" w:sz="6" w:space="0" w:color="59B5A4"/>
          </w:tcBorders>
        </w:tcPr>
        <w:p w:rsidR="00C32D98" w:rsidRPr="00EF222F" w:rsidRDefault="000B16B8" w:rsidP="001811CD">
          <w:pPr>
            <w:pStyle w:val="Alatunniste"/>
          </w:pPr>
        </w:p>
      </w:tc>
    </w:tr>
    <w:tr w:rsidR="002C790C" w:rsidTr="001811CD">
      <w:tc>
        <w:tcPr>
          <w:tcW w:w="2586" w:type="dxa"/>
        </w:tcPr>
        <w:p w:rsidR="00C32D98" w:rsidRPr="00EF222F" w:rsidRDefault="000B16B8" w:rsidP="001811CD">
          <w:pPr>
            <w:pStyle w:val="Alatunniste"/>
          </w:pPr>
        </w:p>
      </w:tc>
      <w:tc>
        <w:tcPr>
          <w:tcW w:w="1809" w:type="dxa"/>
        </w:tcPr>
        <w:p w:rsidR="00C32D98" w:rsidRPr="00EF222F" w:rsidRDefault="00E166D6" w:rsidP="001811CD">
          <w:pPr>
            <w:pStyle w:val="Alatunniste"/>
          </w:pPr>
          <w:r w:rsidRPr="00755304">
            <w:rPr>
              <w:color w:val="59B5A4"/>
            </w:rPr>
            <w:t>Postiosoite:</w:t>
          </w:r>
        </w:p>
      </w:tc>
      <w:tc>
        <w:tcPr>
          <w:tcW w:w="2126" w:type="dxa"/>
        </w:tcPr>
        <w:p w:rsidR="00C32D98" w:rsidRPr="00EF222F" w:rsidRDefault="00E166D6" w:rsidP="001811CD">
          <w:pPr>
            <w:pStyle w:val="Alatunniste"/>
          </w:pPr>
          <w:r w:rsidRPr="00755304">
            <w:rPr>
              <w:color w:val="59B5A4"/>
            </w:rPr>
            <w:t>Käyntiosoitteet:</w:t>
          </w:r>
        </w:p>
      </w:tc>
      <w:tc>
        <w:tcPr>
          <w:tcW w:w="1843" w:type="dxa"/>
        </w:tcPr>
        <w:p w:rsidR="00C32D98" w:rsidRPr="00EF222F" w:rsidRDefault="00E166D6" w:rsidP="001811CD">
          <w:pPr>
            <w:pStyle w:val="Alatunniste"/>
          </w:pPr>
          <w:r w:rsidRPr="00755304">
            <w:rPr>
              <w:color w:val="59B5A4"/>
            </w:rPr>
            <w:t>Puhelin:</w:t>
          </w:r>
        </w:p>
      </w:tc>
      <w:tc>
        <w:tcPr>
          <w:tcW w:w="1911" w:type="dxa"/>
        </w:tcPr>
        <w:p w:rsidR="00C32D98" w:rsidRDefault="00E166D6" w:rsidP="001811CD">
          <w:pPr>
            <w:pStyle w:val="Alatunniste"/>
          </w:pPr>
          <w:r w:rsidRPr="00755304">
            <w:rPr>
              <w:color w:val="59B5A4"/>
            </w:rPr>
            <w:t>Virkasähköpostiosoite:</w:t>
          </w:r>
        </w:p>
      </w:tc>
    </w:tr>
    <w:tr w:rsidR="002C790C" w:rsidTr="001811CD">
      <w:tc>
        <w:tcPr>
          <w:tcW w:w="2586" w:type="dxa"/>
        </w:tcPr>
        <w:p w:rsidR="00C32D98" w:rsidRPr="00EF222F" w:rsidRDefault="000B16B8" w:rsidP="001811CD">
          <w:pPr>
            <w:pStyle w:val="Alatunniste"/>
          </w:pPr>
        </w:p>
      </w:tc>
      <w:tc>
        <w:tcPr>
          <w:tcW w:w="1809" w:type="dxa"/>
        </w:tcPr>
        <w:p w:rsidR="00C32D98" w:rsidRPr="00EF222F" w:rsidRDefault="00E166D6" w:rsidP="001811CD">
          <w:pPr>
            <w:pStyle w:val="Alatunniste"/>
          </w:pPr>
          <w:r>
            <w:t>Sisäministeriö</w:t>
          </w:r>
        </w:p>
      </w:tc>
      <w:tc>
        <w:tcPr>
          <w:tcW w:w="2126" w:type="dxa"/>
        </w:tcPr>
        <w:p w:rsidR="00C32D98" w:rsidRPr="00EF222F" w:rsidRDefault="00E166D6" w:rsidP="006A5C73">
          <w:pPr>
            <w:pStyle w:val="Alatunniste"/>
          </w:pPr>
          <w:r>
            <w:t>Kirkkokatu 12</w:t>
          </w:r>
        </w:p>
      </w:tc>
      <w:tc>
        <w:tcPr>
          <w:tcW w:w="1843" w:type="dxa"/>
        </w:tcPr>
        <w:p w:rsidR="00C32D98" w:rsidRPr="00EF222F" w:rsidRDefault="00E166D6" w:rsidP="001811CD">
          <w:pPr>
            <w:pStyle w:val="Alatunniste"/>
          </w:pPr>
          <w:r>
            <w:t xml:space="preserve">Vaihde </w:t>
          </w:r>
        </w:p>
      </w:tc>
      <w:tc>
        <w:tcPr>
          <w:tcW w:w="1911" w:type="dxa"/>
        </w:tcPr>
        <w:p w:rsidR="00C32D98" w:rsidRDefault="00E166D6" w:rsidP="001811CD">
          <w:pPr>
            <w:pStyle w:val="Alatunniste"/>
          </w:pPr>
          <w:r>
            <w:t>kirjaamo@intermin.fi</w:t>
          </w:r>
        </w:p>
      </w:tc>
    </w:tr>
    <w:tr w:rsidR="002C790C" w:rsidTr="001811CD">
      <w:tc>
        <w:tcPr>
          <w:tcW w:w="2586" w:type="dxa"/>
        </w:tcPr>
        <w:p w:rsidR="00C32D98" w:rsidRPr="00EF222F" w:rsidRDefault="000B16B8" w:rsidP="001811CD">
          <w:pPr>
            <w:pStyle w:val="Alatunniste"/>
          </w:pPr>
        </w:p>
      </w:tc>
      <w:tc>
        <w:tcPr>
          <w:tcW w:w="1809" w:type="dxa"/>
        </w:tcPr>
        <w:p w:rsidR="00C32D98" w:rsidRPr="00EF222F" w:rsidRDefault="00E166D6" w:rsidP="001811CD">
          <w:pPr>
            <w:pStyle w:val="Alatunniste"/>
          </w:pPr>
          <w:r>
            <w:t>PL 26</w:t>
          </w:r>
        </w:p>
      </w:tc>
      <w:tc>
        <w:tcPr>
          <w:tcW w:w="2126" w:type="dxa"/>
        </w:tcPr>
        <w:p w:rsidR="00C32D98" w:rsidRPr="00EF222F" w:rsidRDefault="00E166D6" w:rsidP="001811CD">
          <w:pPr>
            <w:pStyle w:val="Alatunniste"/>
          </w:pPr>
          <w:r>
            <w:t>Helsinki</w:t>
          </w:r>
        </w:p>
      </w:tc>
      <w:tc>
        <w:tcPr>
          <w:tcW w:w="1843" w:type="dxa"/>
        </w:tcPr>
        <w:p w:rsidR="00C32D98" w:rsidRPr="00EF222F" w:rsidRDefault="00E166D6" w:rsidP="001811CD">
          <w:pPr>
            <w:pStyle w:val="Alatunniste"/>
          </w:pPr>
          <w:r w:rsidRPr="006536B0">
            <w:t>0295 480 171</w:t>
          </w:r>
        </w:p>
      </w:tc>
      <w:tc>
        <w:tcPr>
          <w:tcW w:w="1911" w:type="dxa"/>
        </w:tcPr>
        <w:p w:rsidR="00C32D98" w:rsidRDefault="00E166D6" w:rsidP="001811CD">
          <w:pPr>
            <w:pStyle w:val="Alatunniste"/>
          </w:pPr>
          <w:r>
            <w:t>www.intermin.fi</w:t>
          </w:r>
        </w:p>
      </w:tc>
    </w:tr>
    <w:tr w:rsidR="002C790C" w:rsidTr="001811CD">
      <w:tc>
        <w:tcPr>
          <w:tcW w:w="2586" w:type="dxa"/>
        </w:tcPr>
        <w:p w:rsidR="00C32D98" w:rsidRPr="00EF222F" w:rsidRDefault="000B16B8" w:rsidP="001811CD">
          <w:pPr>
            <w:pStyle w:val="Alatunniste"/>
          </w:pPr>
        </w:p>
      </w:tc>
      <w:tc>
        <w:tcPr>
          <w:tcW w:w="1809" w:type="dxa"/>
        </w:tcPr>
        <w:p w:rsidR="00C32D98" w:rsidRPr="00EF222F" w:rsidRDefault="00E166D6" w:rsidP="001811CD">
          <w:pPr>
            <w:pStyle w:val="Alatunniste"/>
          </w:pPr>
          <w:r>
            <w:t>00023 Valtioneuvosto</w:t>
          </w:r>
        </w:p>
      </w:tc>
      <w:tc>
        <w:tcPr>
          <w:tcW w:w="2126" w:type="dxa"/>
        </w:tcPr>
        <w:p w:rsidR="00C32D98" w:rsidRPr="00EF222F" w:rsidRDefault="000B16B8" w:rsidP="001811CD">
          <w:pPr>
            <w:pStyle w:val="Alatunniste"/>
          </w:pPr>
        </w:p>
      </w:tc>
      <w:tc>
        <w:tcPr>
          <w:tcW w:w="1843" w:type="dxa"/>
        </w:tcPr>
        <w:p w:rsidR="00C32D98" w:rsidRPr="00EF222F" w:rsidRDefault="00E166D6" w:rsidP="001811CD">
          <w:pPr>
            <w:pStyle w:val="Alatunniste"/>
          </w:pPr>
          <w:r>
            <w:rPr>
              <w:color w:val="59B5A4"/>
            </w:rPr>
            <w:t>Faksi:</w:t>
          </w:r>
        </w:p>
      </w:tc>
      <w:tc>
        <w:tcPr>
          <w:tcW w:w="1911" w:type="dxa"/>
        </w:tcPr>
        <w:p w:rsidR="00C32D98" w:rsidRDefault="000B16B8" w:rsidP="001811CD">
          <w:pPr>
            <w:pStyle w:val="Alatunniste"/>
          </w:pPr>
        </w:p>
      </w:tc>
    </w:tr>
    <w:tr w:rsidR="002C790C" w:rsidTr="001811CD">
      <w:tc>
        <w:tcPr>
          <w:tcW w:w="2586" w:type="dxa"/>
        </w:tcPr>
        <w:p w:rsidR="00C32D98" w:rsidRPr="00EF222F" w:rsidRDefault="000B16B8" w:rsidP="001811CD">
          <w:pPr>
            <w:pStyle w:val="Alatunniste"/>
          </w:pPr>
        </w:p>
      </w:tc>
      <w:tc>
        <w:tcPr>
          <w:tcW w:w="1809" w:type="dxa"/>
        </w:tcPr>
        <w:p w:rsidR="00C32D98" w:rsidRDefault="000B16B8" w:rsidP="001811CD">
          <w:pPr>
            <w:pStyle w:val="Alatunniste"/>
          </w:pPr>
        </w:p>
      </w:tc>
      <w:tc>
        <w:tcPr>
          <w:tcW w:w="2126" w:type="dxa"/>
        </w:tcPr>
        <w:p w:rsidR="00C32D98" w:rsidRPr="00EF222F" w:rsidRDefault="000B16B8" w:rsidP="001811CD">
          <w:pPr>
            <w:pStyle w:val="Alatunniste"/>
          </w:pPr>
        </w:p>
      </w:tc>
      <w:tc>
        <w:tcPr>
          <w:tcW w:w="1843" w:type="dxa"/>
        </w:tcPr>
        <w:p w:rsidR="00C32D98" w:rsidRDefault="00E166D6" w:rsidP="002752F1">
          <w:pPr>
            <w:pStyle w:val="Alatunniste"/>
          </w:pPr>
          <w:r>
            <w:t xml:space="preserve">09 1604 </w:t>
          </w:r>
          <w:r w:rsidRPr="00703C49">
            <w:rPr>
              <w:rFonts w:cs="Arial"/>
              <w:szCs w:val="16"/>
            </w:rPr>
            <w:t>4635</w:t>
          </w:r>
        </w:p>
      </w:tc>
      <w:tc>
        <w:tcPr>
          <w:tcW w:w="1911" w:type="dxa"/>
        </w:tcPr>
        <w:p w:rsidR="00C32D98" w:rsidRDefault="000B16B8" w:rsidP="001811CD">
          <w:pPr>
            <w:pStyle w:val="Alatunniste"/>
          </w:pPr>
        </w:p>
      </w:tc>
    </w:tr>
  </w:tbl>
  <w:p w:rsidR="00EF222F" w:rsidRDefault="000B16B8" w:rsidP="00EF222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324" w:rsidRDefault="00E166D6">
      <w:r>
        <w:separator/>
      </w:r>
    </w:p>
  </w:footnote>
  <w:footnote w:type="continuationSeparator" w:id="0">
    <w:p w:rsidR="00D77324" w:rsidRDefault="00E16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10347" w:type="dxa"/>
      <w:tblLayout w:type="fixed"/>
      <w:tblLook w:val="04A0" w:firstRow="1" w:lastRow="0" w:firstColumn="1" w:lastColumn="0" w:noHBand="0" w:noVBand="1"/>
    </w:tblPr>
    <w:tblGrid>
      <w:gridCol w:w="5222"/>
      <w:gridCol w:w="2608"/>
      <w:gridCol w:w="1463"/>
      <w:gridCol w:w="1054"/>
    </w:tblGrid>
    <w:tr w:rsidR="002C790C" w:rsidTr="005E4795">
      <w:tc>
        <w:tcPr>
          <w:tcW w:w="5222" w:type="dxa"/>
        </w:tcPr>
        <w:p w:rsidR="0035265B" w:rsidRPr="00770045" w:rsidRDefault="00E166D6" w:rsidP="005E4795">
          <w:pPr>
            <w:pStyle w:val="Yltunniste"/>
            <w:rPr>
              <w:b/>
              <w:szCs w:val="20"/>
            </w:rPr>
          </w:pPr>
          <w:r w:rsidRPr="00770045">
            <w:rPr>
              <w:b/>
              <w:szCs w:val="20"/>
            </w:rPr>
            <w:t>Sisäministeriö</w:t>
          </w:r>
        </w:p>
      </w:tc>
      <w:tc>
        <w:tcPr>
          <w:tcW w:w="2608" w:type="dxa"/>
        </w:tcPr>
        <w:p w:rsidR="0035265B" w:rsidRPr="00770045" w:rsidRDefault="00E166D6" w:rsidP="005E4795">
          <w:pPr>
            <w:pStyle w:val="Yltunniste"/>
            <w:rPr>
              <w:b/>
            </w:rPr>
          </w:pPr>
          <w:r w:rsidRPr="00770045">
            <w:rPr>
              <w:b/>
            </w:rPr>
            <w:fldChar w:fldCharType="begin"/>
          </w:r>
          <w:r w:rsidRPr="00770045">
            <w:rPr>
              <w:b/>
            </w:rPr>
            <w:instrText xml:space="preserve"> DOCPROPERTY  sm_asiakirjatyyppi  \* MERGEFORMAT </w:instrText>
          </w:r>
          <w:r w:rsidRPr="00770045">
            <w:rPr>
              <w:b/>
            </w:rPr>
            <w:fldChar w:fldCharType="separate"/>
          </w:r>
          <w:r>
            <w:rPr>
              <w:b/>
            </w:rPr>
            <w:t>Lausunto</w:t>
          </w:r>
          <w:r w:rsidRPr="00770045">
            <w:rPr>
              <w:b/>
            </w:rPr>
            <w:fldChar w:fldCharType="end"/>
          </w:r>
        </w:p>
      </w:tc>
      <w:tc>
        <w:tcPr>
          <w:tcW w:w="1463" w:type="dxa"/>
        </w:tcPr>
        <w:p w:rsidR="0035265B" w:rsidRDefault="000B16B8" w:rsidP="005E4795">
          <w:pPr>
            <w:pStyle w:val="Yltunniste"/>
          </w:pPr>
        </w:p>
      </w:tc>
      <w:tc>
        <w:tcPr>
          <w:tcW w:w="1054" w:type="dxa"/>
        </w:tcPr>
        <w:p w:rsidR="0035265B" w:rsidRDefault="00E166D6" w:rsidP="005E4795">
          <w:pPr>
            <w:pStyle w:val="Yltunniste"/>
            <w:jc w:val="center"/>
          </w:pPr>
          <w:r>
            <w:fldChar w:fldCharType="begin"/>
          </w:r>
          <w:r>
            <w:instrText xml:space="preserve"> PAGE   \* MERGEFORMAT </w:instrText>
          </w:r>
          <w:r>
            <w:fldChar w:fldCharType="separate"/>
          </w:r>
          <w:r w:rsidR="000B16B8">
            <w:t>2</w:t>
          </w:r>
          <w:r>
            <w:fldChar w:fldCharType="end"/>
          </w:r>
          <w:r>
            <w:t xml:space="preserve"> (</w:t>
          </w:r>
          <w:r w:rsidR="000B16B8">
            <w:fldChar w:fldCharType="begin"/>
          </w:r>
          <w:r w:rsidR="000B16B8">
            <w:instrText xml:space="preserve"> NUMPAGES   \* MERGEFORMAT </w:instrText>
          </w:r>
          <w:r w:rsidR="000B16B8">
            <w:fldChar w:fldCharType="separate"/>
          </w:r>
          <w:r w:rsidR="000B16B8">
            <w:t>4</w:t>
          </w:r>
          <w:r w:rsidR="000B16B8">
            <w:fldChar w:fldCharType="end"/>
          </w:r>
          <w:r>
            <w:t>)</w:t>
          </w:r>
        </w:p>
      </w:tc>
    </w:tr>
    <w:tr w:rsidR="002C790C" w:rsidTr="005E4795">
      <w:trPr>
        <w:trHeight w:val="272"/>
      </w:trPr>
      <w:tc>
        <w:tcPr>
          <w:tcW w:w="5222" w:type="dxa"/>
        </w:tcPr>
        <w:p w:rsidR="0035265B" w:rsidRPr="002A6CD5" w:rsidRDefault="000B16B8" w:rsidP="005E4795">
          <w:pPr>
            <w:pStyle w:val="Yltunniste"/>
            <w:rPr>
              <w:sz w:val="24"/>
            </w:rPr>
          </w:pPr>
        </w:p>
      </w:tc>
      <w:tc>
        <w:tcPr>
          <w:tcW w:w="2608" w:type="dxa"/>
        </w:tcPr>
        <w:p w:rsidR="0035265B" w:rsidRDefault="000B16B8" w:rsidP="005E4795">
          <w:pPr>
            <w:pStyle w:val="Yltunniste"/>
          </w:pPr>
        </w:p>
      </w:tc>
      <w:tc>
        <w:tcPr>
          <w:tcW w:w="2517" w:type="dxa"/>
          <w:gridSpan w:val="2"/>
        </w:tcPr>
        <w:p w:rsidR="0035265B" w:rsidRDefault="000B16B8" w:rsidP="005E4795">
          <w:pPr>
            <w:pStyle w:val="Yltunniste"/>
          </w:pPr>
        </w:p>
      </w:tc>
    </w:tr>
    <w:tr w:rsidR="002C790C" w:rsidTr="005E4795">
      <w:trPr>
        <w:trHeight w:val="272"/>
      </w:trPr>
      <w:tc>
        <w:tcPr>
          <w:tcW w:w="5222" w:type="dxa"/>
        </w:tcPr>
        <w:p w:rsidR="0035265B" w:rsidRDefault="000B16B8" w:rsidP="005E4795">
          <w:pPr>
            <w:pStyle w:val="Yltunniste"/>
          </w:pPr>
        </w:p>
      </w:tc>
      <w:tc>
        <w:tcPr>
          <w:tcW w:w="2608" w:type="dxa"/>
        </w:tcPr>
        <w:p w:rsidR="0035265B" w:rsidRDefault="000B16B8" w:rsidP="005E4795">
          <w:pPr>
            <w:pStyle w:val="Yltunniste"/>
          </w:pPr>
        </w:p>
      </w:tc>
      <w:tc>
        <w:tcPr>
          <w:tcW w:w="2517" w:type="dxa"/>
          <w:gridSpan w:val="2"/>
        </w:tcPr>
        <w:p w:rsidR="0035265B" w:rsidRDefault="000B16B8" w:rsidP="005E4795">
          <w:pPr>
            <w:pStyle w:val="Yltunniste"/>
          </w:pPr>
        </w:p>
      </w:tc>
    </w:tr>
    <w:tr w:rsidR="002C790C" w:rsidTr="005E4795">
      <w:trPr>
        <w:trHeight w:val="272"/>
      </w:trPr>
      <w:tc>
        <w:tcPr>
          <w:tcW w:w="5222" w:type="dxa"/>
        </w:tcPr>
        <w:p w:rsidR="0035265B" w:rsidRDefault="000B16B8" w:rsidP="005E4795">
          <w:pPr>
            <w:pStyle w:val="Yltunniste"/>
          </w:pPr>
        </w:p>
      </w:tc>
      <w:tc>
        <w:tcPr>
          <w:tcW w:w="2608" w:type="dxa"/>
        </w:tcPr>
        <w:p w:rsidR="0035265B" w:rsidRDefault="000B16B8" w:rsidP="005E4795">
          <w:pPr>
            <w:pStyle w:val="Yltunniste"/>
          </w:pPr>
          <w:r>
            <w:fldChar w:fldCharType="begin"/>
          </w:r>
          <w:r>
            <w:instrText xml:space="preserve"> DOCPROPERTY  sm_pvm "d.M.yyyy" \* MERGEFORMAT </w:instrText>
          </w:r>
          <w:r>
            <w:fldChar w:fldCharType="separate"/>
          </w:r>
          <w:r w:rsidR="00E166D6">
            <w:t>11.05.2018</w:t>
          </w:r>
          <w:r>
            <w:fldChar w:fldCharType="end"/>
          </w:r>
        </w:p>
      </w:tc>
      <w:tc>
        <w:tcPr>
          <w:tcW w:w="2517" w:type="dxa"/>
          <w:gridSpan w:val="2"/>
        </w:tcPr>
        <w:p w:rsidR="0035265B" w:rsidRDefault="000B16B8" w:rsidP="005E4795">
          <w:pPr>
            <w:pStyle w:val="Yltunniste"/>
          </w:pPr>
        </w:p>
      </w:tc>
    </w:tr>
  </w:tbl>
  <w:p w:rsidR="00D64AB2" w:rsidRDefault="000B16B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10948" w:type="dxa"/>
      <w:tblInd w:w="-567" w:type="dxa"/>
      <w:tblLayout w:type="fixed"/>
      <w:tblLook w:val="04A0" w:firstRow="1" w:lastRow="0" w:firstColumn="1" w:lastColumn="0" w:noHBand="0" w:noVBand="1"/>
    </w:tblPr>
    <w:tblGrid>
      <w:gridCol w:w="5823"/>
      <w:gridCol w:w="2608"/>
      <w:gridCol w:w="1463"/>
      <w:gridCol w:w="1054"/>
    </w:tblGrid>
    <w:tr w:rsidR="002C790C" w:rsidTr="005E4795">
      <w:tc>
        <w:tcPr>
          <w:tcW w:w="5823" w:type="dxa"/>
          <w:vMerge w:val="restart"/>
          <w:tcMar>
            <w:left w:w="0" w:type="dxa"/>
          </w:tcMar>
        </w:tcPr>
        <w:p w:rsidR="0035265B" w:rsidRPr="00F063F8" w:rsidRDefault="00E166D6" w:rsidP="005E4795">
          <w:pPr>
            <w:pStyle w:val="Yltunniste"/>
            <w:rPr>
              <w:szCs w:val="20"/>
              <w:lang w:eastAsia="fi-FI"/>
            </w:rPr>
          </w:pPr>
          <w:r>
            <w:rPr>
              <w:lang w:eastAsia="fi-FI"/>
            </w:rPr>
            <w:drawing>
              <wp:inline distT="0" distB="0" distL="0" distR="0">
                <wp:extent cx="1760672" cy="542925"/>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60672" cy="542925"/>
                        </a:xfrm>
                        <a:prstGeom prst="rect">
                          <a:avLst/>
                        </a:prstGeom>
                        <a:noFill/>
                        <a:ln>
                          <a:noFill/>
                        </a:ln>
                      </pic:spPr>
                    </pic:pic>
                  </a:graphicData>
                </a:graphic>
              </wp:inline>
            </w:drawing>
          </w:r>
        </w:p>
      </w:tc>
      <w:tc>
        <w:tcPr>
          <w:tcW w:w="2608" w:type="dxa"/>
          <w:tcMar>
            <w:left w:w="0" w:type="dxa"/>
          </w:tcMar>
        </w:tcPr>
        <w:p w:rsidR="0035265B" w:rsidRPr="00770045" w:rsidRDefault="000B16B8" w:rsidP="005E4795">
          <w:pPr>
            <w:pStyle w:val="Yltunniste"/>
            <w:rPr>
              <w:b/>
            </w:rPr>
          </w:pPr>
        </w:p>
      </w:tc>
      <w:tc>
        <w:tcPr>
          <w:tcW w:w="1463" w:type="dxa"/>
          <w:tcMar>
            <w:left w:w="0" w:type="dxa"/>
          </w:tcMar>
        </w:tcPr>
        <w:p w:rsidR="0035265B" w:rsidRDefault="000B16B8" w:rsidP="005E4795">
          <w:pPr>
            <w:pStyle w:val="Yltunniste"/>
          </w:pPr>
        </w:p>
      </w:tc>
      <w:tc>
        <w:tcPr>
          <w:tcW w:w="1054" w:type="dxa"/>
          <w:tcMar>
            <w:left w:w="0" w:type="dxa"/>
          </w:tcMar>
        </w:tcPr>
        <w:p w:rsidR="0035265B" w:rsidRDefault="000B16B8" w:rsidP="005E4795">
          <w:pPr>
            <w:pStyle w:val="Yltunniste"/>
            <w:jc w:val="center"/>
          </w:pPr>
        </w:p>
      </w:tc>
    </w:tr>
    <w:tr w:rsidR="002C790C" w:rsidTr="005E4795">
      <w:tc>
        <w:tcPr>
          <w:tcW w:w="5823" w:type="dxa"/>
          <w:vMerge/>
          <w:tcMar>
            <w:left w:w="0" w:type="dxa"/>
          </w:tcMar>
        </w:tcPr>
        <w:p w:rsidR="0035265B" w:rsidRPr="009779D7" w:rsidRDefault="000B16B8" w:rsidP="005E4795">
          <w:pPr>
            <w:pStyle w:val="Yltunniste"/>
            <w:rPr>
              <w:sz w:val="28"/>
              <w:szCs w:val="28"/>
            </w:rPr>
          </w:pPr>
        </w:p>
      </w:tc>
      <w:tc>
        <w:tcPr>
          <w:tcW w:w="2608" w:type="dxa"/>
          <w:tcMar>
            <w:left w:w="0" w:type="dxa"/>
          </w:tcMar>
        </w:tcPr>
        <w:p w:rsidR="0035265B" w:rsidRPr="00770045" w:rsidRDefault="00E166D6" w:rsidP="005E4795">
          <w:pPr>
            <w:pStyle w:val="Yltunniste"/>
            <w:rPr>
              <w:b/>
            </w:rPr>
          </w:pPr>
          <w:r w:rsidRPr="00770045">
            <w:rPr>
              <w:b/>
            </w:rPr>
            <w:fldChar w:fldCharType="begin"/>
          </w:r>
          <w:r w:rsidRPr="00770045">
            <w:rPr>
              <w:b/>
            </w:rPr>
            <w:instrText xml:space="preserve"> DOCPROPERTY  sm_asiakirjatyyppi  \* MERGEFORMAT </w:instrText>
          </w:r>
          <w:r w:rsidRPr="00770045">
            <w:rPr>
              <w:b/>
            </w:rPr>
            <w:fldChar w:fldCharType="separate"/>
          </w:r>
          <w:r>
            <w:rPr>
              <w:b/>
            </w:rPr>
            <w:t>Lausunto</w:t>
          </w:r>
          <w:r w:rsidRPr="00770045">
            <w:rPr>
              <w:b/>
            </w:rPr>
            <w:fldChar w:fldCharType="end"/>
          </w:r>
        </w:p>
      </w:tc>
      <w:tc>
        <w:tcPr>
          <w:tcW w:w="1463" w:type="dxa"/>
          <w:tcMar>
            <w:left w:w="0" w:type="dxa"/>
          </w:tcMar>
        </w:tcPr>
        <w:p w:rsidR="0035265B" w:rsidRDefault="000B16B8" w:rsidP="005E4795">
          <w:pPr>
            <w:pStyle w:val="Yltunniste"/>
          </w:pPr>
          <w:r>
            <w:fldChar w:fldCharType="begin"/>
          </w:r>
          <w:r>
            <w:instrText xml:space="preserve"> DOCPROPERTY  sm_id  \* MERGEFORMAT </w:instrText>
          </w:r>
          <w:r>
            <w:fldChar w:fldCharType="separate"/>
          </w:r>
          <w:r w:rsidR="00E166D6">
            <w:t>SM1815284</w:t>
          </w:r>
          <w:r>
            <w:fldChar w:fldCharType="end"/>
          </w:r>
        </w:p>
      </w:tc>
      <w:tc>
        <w:tcPr>
          <w:tcW w:w="1054" w:type="dxa"/>
          <w:tcMar>
            <w:left w:w="0" w:type="dxa"/>
          </w:tcMar>
        </w:tcPr>
        <w:p w:rsidR="0035265B" w:rsidRDefault="00E166D6" w:rsidP="005E4795">
          <w:pPr>
            <w:pStyle w:val="Yltunniste"/>
            <w:jc w:val="center"/>
          </w:pPr>
          <w:r>
            <w:fldChar w:fldCharType="begin"/>
          </w:r>
          <w:r>
            <w:instrText xml:space="preserve"> PAGE   \* MERGEFORMAT </w:instrText>
          </w:r>
          <w:r>
            <w:fldChar w:fldCharType="separate"/>
          </w:r>
          <w:r w:rsidR="000B16B8">
            <w:t>1</w:t>
          </w:r>
          <w:r>
            <w:fldChar w:fldCharType="end"/>
          </w:r>
          <w:r>
            <w:t xml:space="preserve"> (</w:t>
          </w:r>
          <w:r w:rsidR="000B16B8">
            <w:fldChar w:fldCharType="begin"/>
          </w:r>
          <w:r w:rsidR="000B16B8">
            <w:instrText xml:space="preserve"> NUMPAGES   \* MERGEFORMAT </w:instrText>
          </w:r>
          <w:r w:rsidR="000B16B8">
            <w:fldChar w:fldCharType="separate"/>
          </w:r>
          <w:r w:rsidR="000B16B8">
            <w:t>4</w:t>
          </w:r>
          <w:r w:rsidR="000B16B8">
            <w:fldChar w:fldCharType="end"/>
          </w:r>
          <w:r>
            <w:t>)</w:t>
          </w:r>
        </w:p>
      </w:tc>
    </w:tr>
    <w:tr w:rsidR="002C790C" w:rsidTr="005E4795">
      <w:tc>
        <w:tcPr>
          <w:tcW w:w="5823" w:type="dxa"/>
          <w:vMerge/>
          <w:tcMar>
            <w:left w:w="0" w:type="dxa"/>
          </w:tcMar>
        </w:tcPr>
        <w:p w:rsidR="0035265B" w:rsidRPr="002A6CD5" w:rsidRDefault="000B16B8" w:rsidP="005E4795">
          <w:pPr>
            <w:pStyle w:val="Yltunniste"/>
            <w:rPr>
              <w:sz w:val="24"/>
            </w:rPr>
          </w:pPr>
        </w:p>
      </w:tc>
      <w:tc>
        <w:tcPr>
          <w:tcW w:w="2608" w:type="dxa"/>
          <w:tcMar>
            <w:left w:w="0" w:type="dxa"/>
          </w:tcMar>
        </w:tcPr>
        <w:p w:rsidR="0035265B" w:rsidRDefault="000B16B8" w:rsidP="005E4795">
          <w:pPr>
            <w:pStyle w:val="Yltunniste"/>
          </w:pPr>
        </w:p>
      </w:tc>
      <w:tc>
        <w:tcPr>
          <w:tcW w:w="2517" w:type="dxa"/>
          <w:gridSpan w:val="2"/>
          <w:tcMar>
            <w:left w:w="0" w:type="dxa"/>
          </w:tcMar>
        </w:tcPr>
        <w:p w:rsidR="0035265B" w:rsidRDefault="000B16B8" w:rsidP="005E4795">
          <w:pPr>
            <w:pStyle w:val="Yltunniste"/>
          </w:pPr>
          <w:r>
            <w:fldChar w:fldCharType="begin"/>
          </w:r>
          <w:r>
            <w:instrText xml:space="preserve"> DOCPROPERTY  sm_asiaryhmä  \* MERGEFORMAT </w:instrText>
          </w:r>
          <w:r>
            <w:fldChar w:fldCharType="separate"/>
          </w:r>
          <w:r w:rsidR="00E166D6">
            <w:t>00.02.04</w:t>
          </w:r>
          <w:r>
            <w:fldChar w:fldCharType="end"/>
          </w:r>
        </w:p>
      </w:tc>
    </w:tr>
    <w:tr w:rsidR="002C790C" w:rsidTr="005E4795">
      <w:tc>
        <w:tcPr>
          <w:tcW w:w="5823" w:type="dxa"/>
          <w:vMerge/>
          <w:tcMar>
            <w:left w:w="0" w:type="dxa"/>
          </w:tcMar>
        </w:tcPr>
        <w:p w:rsidR="0035265B" w:rsidRDefault="000B16B8" w:rsidP="005E4795">
          <w:pPr>
            <w:pStyle w:val="Yltunniste"/>
          </w:pPr>
        </w:p>
      </w:tc>
      <w:tc>
        <w:tcPr>
          <w:tcW w:w="2608" w:type="dxa"/>
          <w:tcMar>
            <w:left w:w="0" w:type="dxa"/>
          </w:tcMar>
        </w:tcPr>
        <w:p w:rsidR="0035265B" w:rsidRDefault="000B16B8" w:rsidP="005E4795">
          <w:pPr>
            <w:pStyle w:val="Yltunniste"/>
          </w:pPr>
        </w:p>
      </w:tc>
      <w:tc>
        <w:tcPr>
          <w:tcW w:w="2517" w:type="dxa"/>
          <w:gridSpan w:val="2"/>
          <w:tcMar>
            <w:left w:w="0" w:type="dxa"/>
          </w:tcMar>
        </w:tcPr>
        <w:p w:rsidR="0035265B" w:rsidRDefault="000B16B8" w:rsidP="005E4795">
          <w:pPr>
            <w:pStyle w:val="Yltunniste"/>
          </w:pPr>
          <w:r>
            <w:fldChar w:fldCharType="begin"/>
          </w:r>
          <w:r>
            <w:instrText xml:space="preserve"> DOCPROPERTY  sm_diaarinro  \* MERGEFORMAT </w:instrText>
          </w:r>
          <w:r>
            <w:fldChar w:fldCharType="separate"/>
          </w:r>
          <w:r w:rsidR="00E166D6">
            <w:t>SMDno-2018-901</w:t>
          </w:r>
          <w:r>
            <w:fldChar w:fldCharType="end"/>
          </w:r>
        </w:p>
      </w:tc>
    </w:tr>
    <w:tr w:rsidR="002C790C" w:rsidTr="005E4795">
      <w:tc>
        <w:tcPr>
          <w:tcW w:w="5823" w:type="dxa"/>
          <w:tcMar>
            <w:left w:w="0" w:type="dxa"/>
          </w:tcMar>
        </w:tcPr>
        <w:p w:rsidR="0035265B" w:rsidRDefault="000B16B8" w:rsidP="005E4795">
          <w:pPr>
            <w:pStyle w:val="Yltunniste"/>
          </w:pPr>
        </w:p>
      </w:tc>
      <w:tc>
        <w:tcPr>
          <w:tcW w:w="2608" w:type="dxa"/>
          <w:tcMar>
            <w:left w:w="0" w:type="dxa"/>
          </w:tcMar>
        </w:tcPr>
        <w:p w:rsidR="0035265B" w:rsidRDefault="000B16B8" w:rsidP="005E4795">
          <w:pPr>
            <w:pStyle w:val="Yltunniste"/>
          </w:pPr>
          <w:r>
            <w:fldChar w:fldCharType="begin"/>
          </w:r>
          <w:r>
            <w:instrText xml:space="preserve"> DOCPROPERTY  sm_pvm "d.M.yyyy" \* MERGEFORMAT </w:instrText>
          </w:r>
          <w:r>
            <w:fldChar w:fldCharType="separate"/>
          </w:r>
          <w:r w:rsidR="00E166D6">
            <w:t>11.05.2018</w:t>
          </w:r>
          <w:r>
            <w:fldChar w:fldCharType="end"/>
          </w:r>
        </w:p>
      </w:tc>
      <w:tc>
        <w:tcPr>
          <w:tcW w:w="2517" w:type="dxa"/>
          <w:gridSpan w:val="2"/>
          <w:tcMar>
            <w:left w:w="0" w:type="dxa"/>
          </w:tcMar>
        </w:tcPr>
        <w:p w:rsidR="0035265B" w:rsidRDefault="000B16B8" w:rsidP="005E4795">
          <w:pPr>
            <w:pStyle w:val="Yltunniste"/>
          </w:pPr>
        </w:p>
      </w:tc>
    </w:tr>
  </w:tbl>
  <w:p w:rsidR="002723D0" w:rsidRDefault="000B16B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104854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DBD621A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B476EE"/>
    <w:multiLevelType w:val="multilevel"/>
    <w:tmpl w:val="5BD42AB8"/>
    <w:numStyleLink w:val="Numeroituotsikointi"/>
  </w:abstractNum>
  <w:abstractNum w:abstractNumId="3" w15:restartNumberingAfterBreak="0">
    <w:nsid w:val="11C27B62"/>
    <w:multiLevelType w:val="multilevel"/>
    <w:tmpl w:val="5BD42AB8"/>
    <w:numStyleLink w:val="Numeroituotsikointi"/>
  </w:abstractNum>
  <w:abstractNum w:abstractNumId="4" w15:restartNumberingAfterBreak="0">
    <w:nsid w:val="320C2E79"/>
    <w:multiLevelType w:val="multilevel"/>
    <w:tmpl w:val="5BD42AB8"/>
    <w:styleLink w:val="Numeroituotsikointi"/>
    <w:lvl w:ilvl="0">
      <w:start w:val="1"/>
      <w:numFmt w:val="decimal"/>
      <w:pStyle w:val="Otsikko1"/>
      <w:suff w:val="space"/>
      <w:lvlText w:val="%1"/>
      <w:lvlJc w:val="left"/>
      <w:pPr>
        <w:ind w:left="0" w:firstLine="0"/>
      </w:pPr>
      <w:rPr>
        <w:rFonts w:hint="default"/>
      </w:rPr>
    </w:lvl>
    <w:lvl w:ilvl="1">
      <w:start w:val="1"/>
      <w:numFmt w:val="decimal"/>
      <w:pStyle w:val="Otsikko2"/>
      <w:lvlText w:val="%1.%2"/>
      <w:lvlJc w:val="left"/>
      <w:pPr>
        <w:tabs>
          <w:tab w:val="num" w:pos="357"/>
        </w:tabs>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5" w15:restartNumberingAfterBreak="0">
    <w:nsid w:val="33BD151C"/>
    <w:multiLevelType w:val="multilevel"/>
    <w:tmpl w:val="9348AA1E"/>
    <w:styleLink w:val="Luettelonumerot"/>
    <w:lvl w:ilvl="0">
      <w:start w:val="1"/>
      <w:numFmt w:val="decimal"/>
      <w:pStyle w:val="Numeroituluettelo"/>
      <w:lvlText w:val="%1."/>
      <w:lvlJc w:val="left"/>
      <w:pPr>
        <w:ind w:left="3175" w:hanging="567"/>
      </w:pPr>
      <w:rPr>
        <w:rFonts w:hint="default"/>
      </w:rPr>
    </w:lvl>
    <w:lvl w:ilvl="1">
      <w:start w:val="1"/>
      <w:numFmt w:val="bullet"/>
      <w:lvlText w:val="–"/>
      <w:lvlJc w:val="left"/>
      <w:pPr>
        <w:ind w:left="3402" w:hanging="227"/>
      </w:pPr>
      <w:rPr>
        <w:rFonts w:ascii="Calibri" w:hAnsi="Calibri" w:hint="default"/>
      </w:rPr>
    </w:lvl>
    <w:lvl w:ilvl="2">
      <w:start w:val="1"/>
      <w:numFmt w:val="bullet"/>
      <w:lvlText w:val="–"/>
      <w:lvlJc w:val="left"/>
      <w:pPr>
        <w:ind w:left="3629" w:hanging="227"/>
      </w:pPr>
      <w:rPr>
        <w:rFonts w:ascii="Calibri" w:hAnsi="Calibri" w:hint="default"/>
      </w:rPr>
    </w:lvl>
    <w:lvl w:ilvl="3">
      <w:start w:val="1"/>
      <w:numFmt w:val="bullet"/>
      <w:lvlText w:val="–"/>
      <w:lvlJc w:val="left"/>
      <w:pPr>
        <w:ind w:left="3856" w:hanging="227"/>
      </w:pPr>
      <w:rPr>
        <w:rFonts w:ascii="Calibri" w:hAnsi="Calibri" w:hint="default"/>
      </w:rPr>
    </w:lvl>
    <w:lvl w:ilvl="4">
      <w:start w:val="1"/>
      <w:numFmt w:val="bullet"/>
      <w:lvlText w:val="–"/>
      <w:lvlJc w:val="left"/>
      <w:pPr>
        <w:ind w:left="4082" w:hanging="226"/>
      </w:pPr>
      <w:rPr>
        <w:rFonts w:ascii="Calibri" w:hAnsi="Calibri" w:hint="default"/>
      </w:rPr>
    </w:lvl>
    <w:lvl w:ilvl="5">
      <w:start w:val="1"/>
      <w:numFmt w:val="bullet"/>
      <w:lvlText w:val="–"/>
      <w:lvlJc w:val="left"/>
      <w:pPr>
        <w:ind w:left="4309" w:hanging="227"/>
      </w:pPr>
      <w:rPr>
        <w:rFonts w:ascii="Calibri" w:hAnsi="Calibri" w:hint="default"/>
      </w:rPr>
    </w:lvl>
    <w:lvl w:ilvl="6">
      <w:start w:val="1"/>
      <w:numFmt w:val="bullet"/>
      <w:lvlText w:val="–"/>
      <w:lvlJc w:val="left"/>
      <w:pPr>
        <w:ind w:left="4536" w:hanging="227"/>
      </w:pPr>
      <w:rPr>
        <w:rFonts w:ascii="Calibri" w:hAnsi="Calibri" w:hint="default"/>
      </w:rPr>
    </w:lvl>
    <w:lvl w:ilvl="7">
      <w:start w:val="1"/>
      <w:numFmt w:val="bullet"/>
      <w:lvlText w:val="–"/>
      <w:lvlJc w:val="left"/>
      <w:pPr>
        <w:ind w:left="4763" w:hanging="227"/>
      </w:pPr>
      <w:rPr>
        <w:rFonts w:ascii="Calibri" w:hAnsi="Calibri" w:hint="default"/>
      </w:rPr>
    </w:lvl>
    <w:lvl w:ilvl="8">
      <w:start w:val="1"/>
      <w:numFmt w:val="bullet"/>
      <w:lvlText w:val="–"/>
      <w:lvlJc w:val="left"/>
      <w:pPr>
        <w:ind w:left="4990" w:hanging="227"/>
      </w:pPr>
      <w:rPr>
        <w:rFonts w:ascii="Calibri" w:hAnsi="Calibri" w:hint="default"/>
      </w:rPr>
    </w:lvl>
  </w:abstractNum>
  <w:abstractNum w:abstractNumId="6" w15:restartNumberingAfterBreak="0">
    <w:nsid w:val="37E74F7B"/>
    <w:multiLevelType w:val="multilevel"/>
    <w:tmpl w:val="4DDEB5B2"/>
    <w:styleLink w:val="Luettelomerkit"/>
    <w:lvl w:ilvl="0">
      <w:start w:val="1"/>
      <w:numFmt w:val="bullet"/>
      <w:pStyle w:val="Merkittyluettelo"/>
      <w:lvlText w:val="–"/>
      <w:lvlJc w:val="left"/>
      <w:pPr>
        <w:ind w:left="2835" w:hanging="227"/>
      </w:pPr>
      <w:rPr>
        <w:rFonts w:ascii="Calibri" w:hAnsi="Calibri" w:hint="default"/>
      </w:rPr>
    </w:lvl>
    <w:lvl w:ilvl="1">
      <w:start w:val="1"/>
      <w:numFmt w:val="bullet"/>
      <w:lvlText w:val="–"/>
      <w:lvlJc w:val="left"/>
      <w:pPr>
        <w:ind w:left="3062" w:hanging="227"/>
      </w:pPr>
      <w:rPr>
        <w:rFonts w:ascii="Calibri" w:hAnsi="Calibri" w:hint="default"/>
      </w:rPr>
    </w:lvl>
    <w:lvl w:ilvl="2">
      <w:start w:val="1"/>
      <w:numFmt w:val="bullet"/>
      <w:lvlText w:val="–"/>
      <w:lvlJc w:val="left"/>
      <w:pPr>
        <w:ind w:left="3289" w:hanging="227"/>
      </w:pPr>
      <w:rPr>
        <w:rFonts w:ascii="Calibri" w:hAnsi="Calibri" w:hint="default"/>
      </w:rPr>
    </w:lvl>
    <w:lvl w:ilvl="3">
      <w:start w:val="1"/>
      <w:numFmt w:val="bullet"/>
      <w:lvlText w:val="–"/>
      <w:lvlJc w:val="left"/>
      <w:pPr>
        <w:ind w:left="3516" w:hanging="227"/>
      </w:pPr>
      <w:rPr>
        <w:rFonts w:ascii="Calibri" w:hAnsi="Calibri" w:hint="default"/>
      </w:rPr>
    </w:lvl>
    <w:lvl w:ilvl="4">
      <w:start w:val="1"/>
      <w:numFmt w:val="bullet"/>
      <w:lvlText w:val="–"/>
      <w:lvlJc w:val="left"/>
      <w:pPr>
        <w:ind w:left="3743" w:hanging="227"/>
      </w:pPr>
      <w:rPr>
        <w:rFonts w:ascii="Calibri" w:hAnsi="Calibri" w:hint="default"/>
      </w:rPr>
    </w:lvl>
    <w:lvl w:ilvl="5">
      <w:start w:val="1"/>
      <w:numFmt w:val="bullet"/>
      <w:lvlText w:val="–"/>
      <w:lvlJc w:val="left"/>
      <w:pPr>
        <w:ind w:left="3970" w:hanging="227"/>
      </w:pPr>
      <w:rPr>
        <w:rFonts w:ascii="Calibri" w:hAnsi="Calibri" w:hint="default"/>
      </w:rPr>
    </w:lvl>
    <w:lvl w:ilvl="6">
      <w:start w:val="1"/>
      <w:numFmt w:val="bullet"/>
      <w:lvlText w:val="–"/>
      <w:lvlJc w:val="left"/>
      <w:pPr>
        <w:ind w:left="4197" w:hanging="227"/>
      </w:pPr>
      <w:rPr>
        <w:rFonts w:ascii="Calibri" w:hAnsi="Calibri" w:hint="default"/>
      </w:rPr>
    </w:lvl>
    <w:lvl w:ilvl="7">
      <w:start w:val="1"/>
      <w:numFmt w:val="bullet"/>
      <w:lvlText w:val="–"/>
      <w:lvlJc w:val="left"/>
      <w:pPr>
        <w:ind w:left="4424" w:hanging="227"/>
      </w:pPr>
      <w:rPr>
        <w:rFonts w:ascii="Calibri" w:hAnsi="Calibri" w:hint="default"/>
      </w:rPr>
    </w:lvl>
    <w:lvl w:ilvl="8">
      <w:start w:val="1"/>
      <w:numFmt w:val="bullet"/>
      <w:lvlText w:val="–"/>
      <w:lvlJc w:val="left"/>
      <w:pPr>
        <w:ind w:left="4651" w:hanging="227"/>
      </w:pPr>
      <w:rPr>
        <w:rFonts w:ascii="Calibri" w:hAnsi="Calibri" w:hint="default"/>
      </w:rPr>
    </w:lvl>
  </w:abstractNum>
  <w:num w:numId="1">
    <w:abstractNumId w:val="1"/>
  </w:num>
  <w:num w:numId="2">
    <w:abstractNumId w:val="0"/>
  </w:num>
  <w:num w:numId="3">
    <w:abstractNumId w:val="6"/>
  </w:num>
  <w:num w:numId="4">
    <w:abstractNumId w:val="5"/>
  </w:num>
  <w:num w:numId="5">
    <w:abstractNumId w:val="4"/>
  </w:num>
  <w:num w:numId="6">
    <w:abstractNumId w:val="2"/>
  </w:num>
  <w:num w:numId="7">
    <w:abstractNumId w:val="6"/>
  </w:num>
  <w:num w:numId="8">
    <w:abstractNumId w:val="5"/>
  </w:num>
  <w:num w:numId="9">
    <w:abstractNumId w:val="6"/>
  </w:num>
  <w:num w:numId="10">
    <w:abstractNumId w:val="5"/>
  </w:num>
  <w:num w:numId="11">
    <w:abstractNumId w:val="4"/>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0C"/>
    <w:rsid w:val="000B16B8"/>
    <w:rsid w:val="002C790C"/>
    <w:rsid w:val="00A168B4"/>
    <w:rsid w:val="00D77324"/>
    <w:rsid w:val="00E166D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0BA5E1-69B8-46A7-ACF5-EC9EC394A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752F1"/>
  </w:style>
  <w:style w:type="paragraph" w:styleId="Otsikko1">
    <w:name w:val="heading 1"/>
    <w:basedOn w:val="Normaali"/>
    <w:next w:val="Leipteksti"/>
    <w:link w:val="Otsikko1Char"/>
    <w:uiPriority w:val="9"/>
    <w:qFormat/>
    <w:rsid w:val="0035265B"/>
    <w:pPr>
      <w:keepNext/>
      <w:keepLines/>
      <w:numPr>
        <w:numId w:val="20"/>
      </w:numPr>
      <w:spacing w:after="180"/>
      <w:ind w:right="2835"/>
      <w:outlineLvl w:val="0"/>
    </w:pPr>
    <w:rPr>
      <w:rFonts w:asciiTheme="majorHAnsi" w:eastAsiaTheme="majorEastAsia" w:hAnsiTheme="majorHAnsi" w:cstheme="majorBidi"/>
      <w:bCs/>
      <w:szCs w:val="28"/>
    </w:rPr>
  </w:style>
  <w:style w:type="paragraph" w:styleId="Otsikko2">
    <w:name w:val="heading 2"/>
    <w:basedOn w:val="Normaali"/>
    <w:next w:val="Leipteksti"/>
    <w:link w:val="Otsikko2Char"/>
    <w:uiPriority w:val="9"/>
    <w:qFormat/>
    <w:rsid w:val="0035265B"/>
    <w:pPr>
      <w:keepNext/>
      <w:keepLines/>
      <w:numPr>
        <w:ilvl w:val="1"/>
        <w:numId w:val="20"/>
      </w:numPr>
      <w:spacing w:after="180"/>
      <w:ind w:right="2835"/>
      <w:outlineLvl w:val="1"/>
    </w:pPr>
    <w:rPr>
      <w:rFonts w:asciiTheme="majorHAnsi" w:eastAsiaTheme="majorEastAsia" w:hAnsiTheme="majorHAnsi" w:cstheme="majorBidi"/>
      <w:bCs/>
      <w:szCs w:val="26"/>
    </w:rPr>
  </w:style>
  <w:style w:type="paragraph" w:styleId="Otsikko3">
    <w:name w:val="heading 3"/>
    <w:basedOn w:val="Normaali"/>
    <w:next w:val="Leipteksti"/>
    <w:link w:val="Otsikko3Char"/>
    <w:uiPriority w:val="9"/>
    <w:qFormat/>
    <w:rsid w:val="0035265B"/>
    <w:pPr>
      <w:keepNext/>
      <w:keepLines/>
      <w:numPr>
        <w:ilvl w:val="2"/>
        <w:numId w:val="20"/>
      </w:numPr>
      <w:spacing w:after="180"/>
      <w:ind w:right="2835"/>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35265B"/>
    <w:pPr>
      <w:keepNext/>
      <w:keepLines/>
      <w:numPr>
        <w:ilvl w:val="3"/>
        <w:numId w:val="20"/>
      </w:numPr>
      <w:spacing w:after="180"/>
      <w:ind w:right="2835"/>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35265B"/>
    <w:pPr>
      <w:keepNext/>
      <w:keepLines/>
      <w:numPr>
        <w:ilvl w:val="4"/>
        <w:numId w:val="20"/>
      </w:numPr>
      <w:spacing w:after="180"/>
      <w:ind w:right="2835"/>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35265B"/>
    <w:pPr>
      <w:keepNext/>
      <w:keepLines/>
      <w:numPr>
        <w:ilvl w:val="5"/>
        <w:numId w:val="20"/>
      </w:numPr>
      <w:spacing w:after="180"/>
      <w:ind w:right="2835"/>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35265B"/>
    <w:pPr>
      <w:keepNext/>
      <w:keepLines/>
      <w:numPr>
        <w:ilvl w:val="6"/>
        <w:numId w:val="20"/>
      </w:numPr>
      <w:spacing w:after="180"/>
      <w:ind w:right="2835"/>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35265B"/>
    <w:pPr>
      <w:keepNext/>
      <w:keepLines/>
      <w:numPr>
        <w:ilvl w:val="7"/>
        <w:numId w:val="20"/>
      </w:numPr>
      <w:spacing w:after="180"/>
      <w:ind w:right="4536"/>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35265B"/>
    <w:pPr>
      <w:keepNext/>
      <w:keepLines/>
      <w:numPr>
        <w:ilvl w:val="8"/>
        <w:numId w:val="20"/>
      </w:numPr>
      <w:spacing w:after="180"/>
      <w:ind w:right="2835"/>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5265B"/>
    <w:rPr>
      <w:rFonts w:ascii="Arial" w:hAnsi="Arial"/>
      <w:noProof/>
    </w:rPr>
  </w:style>
  <w:style w:type="character" w:customStyle="1" w:styleId="YltunnisteChar">
    <w:name w:val="Ylätunniste Char"/>
    <w:basedOn w:val="Kappaleenoletusfontti"/>
    <w:link w:val="Yltunniste"/>
    <w:uiPriority w:val="99"/>
    <w:rsid w:val="0035265B"/>
    <w:rPr>
      <w:rFonts w:ascii="Arial" w:hAnsi="Arial"/>
      <w:noProof/>
      <w:sz w:val="20"/>
      <w:szCs w:val="18"/>
    </w:rPr>
  </w:style>
  <w:style w:type="paragraph" w:styleId="Alatunniste">
    <w:name w:val="footer"/>
    <w:basedOn w:val="Normaali"/>
    <w:link w:val="AlatunnisteChar"/>
    <w:uiPriority w:val="99"/>
    <w:unhideWhenUsed/>
    <w:rsid w:val="0035265B"/>
    <w:rPr>
      <w:rFonts w:ascii="Arial" w:hAnsi="Arial"/>
      <w:sz w:val="16"/>
    </w:rPr>
  </w:style>
  <w:style w:type="character" w:customStyle="1" w:styleId="AlatunnisteChar">
    <w:name w:val="Alatunniste Char"/>
    <w:basedOn w:val="Kappaleenoletusfontti"/>
    <w:link w:val="Alatunniste"/>
    <w:uiPriority w:val="99"/>
    <w:rsid w:val="0035265B"/>
    <w:rPr>
      <w:rFonts w:ascii="Arial" w:hAnsi="Arial"/>
      <w:sz w:val="16"/>
      <w:szCs w:val="18"/>
    </w:rPr>
  </w:style>
  <w:style w:type="table" w:styleId="TaulukkoRuudukko">
    <w:name w:val="Table Grid"/>
    <w:basedOn w:val="Normaalitaulukko"/>
    <w:uiPriority w:val="59"/>
    <w:rsid w:val="0035265B"/>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rkittyluettelo">
    <w:name w:val="List Bullet"/>
    <w:basedOn w:val="Normaali"/>
    <w:uiPriority w:val="99"/>
    <w:qFormat/>
    <w:rsid w:val="0035265B"/>
    <w:pPr>
      <w:numPr>
        <w:numId w:val="9"/>
      </w:numPr>
      <w:spacing w:after="240"/>
      <w:contextualSpacing/>
    </w:pPr>
  </w:style>
  <w:style w:type="paragraph" w:styleId="Numeroituluettelo">
    <w:name w:val="List Number"/>
    <w:basedOn w:val="Normaali"/>
    <w:uiPriority w:val="99"/>
    <w:qFormat/>
    <w:rsid w:val="0035265B"/>
    <w:pPr>
      <w:numPr>
        <w:numId w:val="10"/>
      </w:numPr>
      <w:spacing w:after="240"/>
      <w:contextualSpacing/>
    </w:pPr>
  </w:style>
  <w:style w:type="character" w:styleId="Paikkamerkkiteksti">
    <w:name w:val="Placeholder Text"/>
    <w:basedOn w:val="Kappaleenoletusfontti"/>
    <w:uiPriority w:val="99"/>
    <w:semiHidden/>
    <w:rsid w:val="0035265B"/>
    <w:rPr>
      <w:color w:val="auto"/>
    </w:rPr>
  </w:style>
  <w:style w:type="character" w:customStyle="1" w:styleId="Otsikko1Char">
    <w:name w:val="Otsikko 1 Char"/>
    <w:basedOn w:val="Kappaleenoletusfontti"/>
    <w:link w:val="Otsikko1"/>
    <w:uiPriority w:val="9"/>
    <w:rsid w:val="0035265B"/>
    <w:rPr>
      <w:rFonts w:asciiTheme="majorHAnsi" w:eastAsiaTheme="majorEastAsia" w:hAnsiTheme="majorHAnsi" w:cstheme="majorBidi"/>
      <w:bCs/>
      <w:sz w:val="18"/>
      <w:szCs w:val="28"/>
    </w:rPr>
  </w:style>
  <w:style w:type="paragraph" w:styleId="Sisllysluettelonotsikko">
    <w:name w:val="TOC Heading"/>
    <w:next w:val="Normaali"/>
    <w:uiPriority w:val="39"/>
    <w:rsid w:val="0035265B"/>
    <w:pPr>
      <w:spacing w:after="240"/>
      <w:ind w:right="2835"/>
    </w:pPr>
    <w:rPr>
      <w:rFonts w:asciiTheme="majorHAnsi" w:eastAsiaTheme="majorEastAsia" w:hAnsiTheme="majorHAnsi" w:cstheme="majorBidi"/>
      <w:b/>
      <w:bCs/>
      <w:sz w:val="18"/>
      <w:szCs w:val="28"/>
    </w:rPr>
  </w:style>
  <w:style w:type="table" w:customStyle="1" w:styleId="Eireunaviivaa">
    <w:name w:val="Ei reunaviivaa"/>
    <w:basedOn w:val="Normaalitaulukko"/>
    <w:uiPriority w:val="99"/>
    <w:rsid w:val="0035265B"/>
    <w:rPr>
      <w:sz w:val="18"/>
      <w:szCs w:val="18"/>
    </w:rPr>
    <w:tblPr/>
  </w:style>
  <w:style w:type="paragraph" w:styleId="Seliteteksti">
    <w:name w:val="Balloon Text"/>
    <w:basedOn w:val="Normaali"/>
    <w:link w:val="SelitetekstiChar"/>
    <w:uiPriority w:val="99"/>
    <w:semiHidden/>
    <w:unhideWhenUsed/>
    <w:rsid w:val="0035265B"/>
    <w:rPr>
      <w:rFonts w:ascii="Tahoma" w:hAnsi="Tahoma" w:cs="Tahoma"/>
      <w:sz w:val="16"/>
      <w:szCs w:val="16"/>
    </w:rPr>
  </w:style>
  <w:style w:type="character" w:customStyle="1" w:styleId="SelitetekstiChar">
    <w:name w:val="Seliteteksti Char"/>
    <w:basedOn w:val="Kappaleenoletusfontti"/>
    <w:link w:val="Seliteteksti"/>
    <w:uiPriority w:val="99"/>
    <w:semiHidden/>
    <w:rsid w:val="0035265B"/>
    <w:rPr>
      <w:rFonts w:ascii="Tahoma" w:hAnsi="Tahoma" w:cs="Tahoma"/>
      <w:sz w:val="16"/>
      <w:szCs w:val="16"/>
    </w:rPr>
  </w:style>
  <w:style w:type="paragraph" w:styleId="Otsikko">
    <w:name w:val="Title"/>
    <w:basedOn w:val="Normaali"/>
    <w:next w:val="Leipteksti"/>
    <w:link w:val="OtsikkoChar"/>
    <w:uiPriority w:val="10"/>
    <w:qFormat/>
    <w:rsid w:val="0035265B"/>
    <w:pPr>
      <w:spacing w:after="180"/>
      <w:ind w:right="2835"/>
      <w:contextualSpacing/>
    </w:pPr>
    <w:rPr>
      <w:rFonts w:asciiTheme="majorHAnsi" w:eastAsiaTheme="majorEastAsia" w:hAnsiTheme="majorHAnsi" w:cstheme="majorHAnsi"/>
      <w:b/>
      <w:kern w:val="28"/>
      <w:szCs w:val="52"/>
    </w:rPr>
  </w:style>
  <w:style w:type="character" w:customStyle="1" w:styleId="OtsikkoChar">
    <w:name w:val="Otsikko Char"/>
    <w:basedOn w:val="Kappaleenoletusfontti"/>
    <w:link w:val="Otsikko"/>
    <w:uiPriority w:val="10"/>
    <w:rsid w:val="0035265B"/>
    <w:rPr>
      <w:rFonts w:asciiTheme="majorHAnsi" w:eastAsiaTheme="majorEastAsia" w:hAnsiTheme="majorHAnsi" w:cstheme="majorHAnsi"/>
      <w:b/>
      <w:kern w:val="28"/>
      <w:sz w:val="18"/>
      <w:szCs w:val="52"/>
    </w:rPr>
  </w:style>
  <w:style w:type="paragraph" w:styleId="Leipteksti">
    <w:name w:val="Body Text"/>
    <w:basedOn w:val="Normaali"/>
    <w:link w:val="LeiptekstiChar"/>
    <w:uiPriority w:val="1"/>
    <w:qFormat/>
    <w:rsid w:val="0035265B"/>
    <w:pPr>
      <w:spacing w:after="180"/>
      <w:ind w:left="2608"/>
    </w:pPr>
  </w:style>
  <w:style w:type="character" w:customStyle="1" w:styleId="LeiptekstiChar">
    <w:name w:val="Leipäteksti Char"/>
    <w:basedOn w:val="Kappaleenoletusfontti"/>
    <w:link w:val="Leipteksti"/>
    <w:uiPriority w:val="1"/>
    <w:rsid w:val="0035265B"/>
    <w:rPr>
      <w:sz w:val="18"/>
      <w:szCs w:val="18"/>
    </w:rPr>
  </w:style>
  <w:style w:type="paragraph" w:styleId="Eivli">
    <w:name w:val="No Spacing"/>
    <w:uiPriority w:val="2"/>
    <w:rsid w:val="0035265B"/>
    <w:pPr>
      <w:ind w:left="2608"/>
    </w:pPr>
    <w:rPr>
      <w:sz w:val="18"/>
      <w:szCs w:val="18"/>
    </w:rPr>
  </w:style>
  <w:style w:type="character" w:customStyle="1" w:styleId="Otsikko2Char">
    <w:name w:val="Otsikko 2 Char"/>
    <w:basedOn w:val="Kappaleenoletusfontti"/>
    <w:link w:val="Otsikko2"/>
    <w:uiPriority w:val="9"/>
    <w:rsid w:val="0035265B"/>
    <w:rPr>
      <w:rFonts w:asciiTheme="majorHAnsi" w:eastAsiaTheme="majorEastAsia" w:hAnsiTheme="majorHAnsi" w:cstheme="majorBidi"/>
      <w:bCs/>
      <w:sz w:val="18"/>
      <w:szCs w:val="26"/>
    </w:rPr>
  </w:style>
  <w:style w:type="character" w:customStyle="1" w:styleId="Otsikko3Char">
    <w:name w:val="Otsikko 3 Char"/>
    <w:basedOn w:val="Kappaleenoletusfontti"/>
    <w:link w:val="Otsikko3"/>
    <w:uiPriority w:val="9"/>
    <w:rsid w:val="0035265B"/>
    <w:rPr>
      <w:rFonts w:asciiTheme="majorHAnsi" w:eastAsiaTheme="majorEastAsia" w:hAnsiTheme="majorHAnsi" w:cstheme="majorBidi"/>
      <w:bCs/>
      <w:sz w:val="18"/>
      <w:szCs w:val="18"/>
    </w:rPr>
  </w:style>
  <w:style w:type="character" w:customStyle="1" w:styleId="Otsikko4Char">
    <w:name w:val="Otsikko 4 Char"/>
    <w:basedOn w:val="Kappaleenoletusfontti"/>
    <w:link w:val="Otsikko4"/>
    <w:uiPriority w:val="9"/>
    <w:rsid w:val="0035265B"/>
    <w:rPr>
      <w:rFonts w:asciiTheme="majorHAnsi" w:eastAsiaTheme="majorEastAsia" w:hAnsiTheme="majorHAnsi" w:cstheme="majorBidi"/>
      <w:bCs/>
      <w:iCs/>
      <w:sz w:val="18"/>
      <w:szCs w:val="18"/>
    </w:rPr>
  </w:style>
  <w:style w:type="character" w:customStyle="1" w:styleId="Otsikko5Char">
    <w:name w:val="Otsikko 5 Char"/>
    <w:basedOn w:val="Kappaleenoletusfontti"/>
    <w:link w:val="Otsikko5"/>
    <w:uiPriority w:val="9"/>
    <w:rsid w:val="0035265B"/>
    <w:rPr>
      <w:rFonts w:asciiTheme="majorHAnsi" w:eastAsiaTheme="majorEastAsia" w:hAnsiTheme="majorHAnsi" w:cstheme="majorBidi"/>
      <w:sz w:val="18"/>
      <w:szCs w:val="18"/>
    </w:rPr>
  </w:style>
  <w:style w:type="character" w:customStyle="1" w:styleId="Otsikko6Char">
    <w:name w:val="Otsikko 6 Char"/>
    <w:basedOn w:val="Kappaleenoletusfontti"/>
    <w:link w:val="Otsikko6"/>
    <w:uiPriority w:val="9"/>
    <w:rsid w:val="0035265B"/>
    <w:rPr>
      <w:rFonts w:asciiTheme="majorHAnsi" w:eastAsiaTheme="majorEastAsia" w:hAnsiTheme="majorHAnsi" w:cstheme="majorBidi"/>
      <w:iCs/>
      <w:sz w:val="18"/>
      <w:szCs w:val="18"/>
    </w:rPr>
  </w:style>
  <w:style w:type="character" w:customStyle="1" w:styleId="Otsikko7Char">
    <w:name w:val="Otsikko 7 Char"/>
    <w:basedOn w:val="Kappaleenoletusfontti"/>
    <w:link w:val="Otsikko7"/>
    <w:uiPriority w:val="9"/>
    <w:rsid w:val="0035265B"/>
    <w:rPr>
      <w:rFonts w:asciiTheme="majorHAnsi" w:eastAsiaTheme="majorEastAsia" w:hAnsiTheme="majorHAnsi" w:cstheme="majorBidi"/>
      <w:iCs/>
      <w:sz w:val="18"/>
      <w:szCs w:val="18"/>
    </w:rPr>
  </w:style>
  <w:style w:type="character" w:customStyle="1" w:styleId="Otsikko8Char">
    <w:name w:val="Otsikko 8 Char"/>
    <w:basedOn w:val="Kappaleenoletusfontti"/>
    <w:link w:val="Otsikko8"/>
    <w:uiPriority w:val="9"/>
    <w:rsid w:val="0035265B"/>
    <w:rPr>
      <w:rFonts w:asciiTheme="majorHAnsi" w:eastAsiaTheme="majorEastAsia" w:hAnsiTheme="majorHAnsi" w:cstheme="majorBidi"/>
      <w:sz w:val="18"/>
      <w:szCs w:val="20"/>
    </w:rPr>
  </w:style>
  <w:style w:type="character" w:customStyle="1" w:styleId="Otsikko9Char">
    <w:name w:val="Otsikko 9 Char"/>
    <w:basedOn w:val="Kappaleenoletusfontti"/>
    <w:link w:val="Otsikko9"/>
    <w:uiPriority w:val="9"/>
    <w:rsid w:val="0035265B"/>
    <w:rPr>
      <w:rFonts w:asciiTheme="majorHAnsi" w:eastAsiaTheme="majorEastAsia" w:hAnsiTheme="majorHAnsi" w:cstheme="majorBidi"/>
      <w:iCs/>
      <w:sz w:val="18"/>
      <w:szCs w:val="20"/>
    </w:rPr>
  </w:style>
  <w:style w:type="numbering" w:customStyle="1" w:styleId="Luettelomerkit">
    <w:name w:val="Luettelomerkit"/>
    <w:uiPriority w:val="99"/>
    <w:rsid w:val="0035265B"/>
    <w:pPr>
      <w:numPr>
        <w:numId w:val="3"/>
      </w:numPr>
    </w:pPr>
  </w:style>
  <w:style w:type="numbering" w:customStyle="1" w:styleId="Luettelonumerot">
    <w:name w:val="Luettelonumerot"/>
    <w:uiPriority w:val="99"/>
    <w:rsid w:val="0035265B"/>
    <w:pPr>
      <w:numPr>
        <w:numId w:val="4"/>
      </w:numPr>
    </w:pPr>
  </w:style>
  <w:style w:type="numbering" w:customStyle="1" w:styleId="Numeroituotsikointi">
    <w:name w:val="Numeroitu otsikointi"/>
    <w:uiPriority w:val="99"/>
    <w:rsid w:val="0035265B"/>
    <w:pPr>
      <w:numPr>
        <w:numId w:val="5"/>
      </w:numPr>
    </w:pPr>
  </w:style>
  <w:style w:type="paragraph" w:customStyle="1" w:styleId="Sivuotsikko">
    <w:name w:val="Sivuotsikko"/>
    <w:basedOn w:val="Leipteksti"/>
    <w:next w:val="Leipteksti"/>
    <w:link w:val="SivuotsikkoChar"/>
    <w:uiPriority w:val="2"/>
    <w:qFormat/>
    <w:rsid w:val="0035265B"/>
    <w:pPr>
      <w:ind w:hanging="2608"/>
    </w:pPr>
  </w:style>
  <w:style w:type="character" w:customStyle="1" w:styleId="SivuotsikkoChar">
    <w:name w:val="Sivuotsikko Char"/>
    <w:basedOn w:val="LeiptekstiChar"/>
    <w:link w:val="Sivuotsikko"/>
    <w:uiPriority w:val="2"/>
    <w:rsid w:val="0035265B"/>
    <w:rPr>
      <w:sz w:val="18"/>
      <w:szCs w:val="18"/>
    </w:rPr>
  </w:style>
  <w:style w:type="paragraph" w:styleId="Luettelokappale">
    <w:name w:val="List Paragraph"/>
    <w:basedOn w:val="Normaali"/>
    <w:uiPriority w:val="34"/>
    <w:semiHidden/>
    <w:qFormat/>
    <w:rsid w:val="0035265B"/>
    <w:pPr>
      <w:ind w:left="720"/>
      <w:contextualSpacing/>
    </w:pPr>
  </w:style>
  <w:style w:type="paragraph" w:customStyle="1" w:styleId="Vastaanottajatiedot">
    <w:name w:val="Vastaanottajatiedot"/>
    <w:basedOn w:val="Normaali"/>
    <w:qFormat/>
    <w:rsid w:val="00352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isäministeriö">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1034</Words>
  <Characters>8376</Characters>
  <Application>Microsoft Office Word</Application>
  <DocSecurity>4</DocSecurity>
  <Lines>69</Lines>
  <Paragraphs>18</Paragraphs>
  <ScaleCrop>false</ScaleCrop>
  <HeadingPairs>
    <vt:vector size="2" baseType="variant">
      <vt:variant>
        <vt:lpstr>Otsikko</vt:lpstr>
      </vt:variant>
      <vt:variant>
        <vt:i4>1</vt:i4>
      </vt:variant>
    </vt:vector>
  </HeadingPairs>
  <TitlesOfParts>
    <vt:vector size="1" baseType="lpstr">
      <vt:lpstr/>
    </vt:vector>
  </TitlesOfParts>
  <Company>Sisäministeriö</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Martiskainen Kaija SM</dc:creator>
  <cp:lastModifiedBy>Rautio Lauri</cp:lastModifiedBy>
  <cp:revision>2</cp:revision>
  <dcterms:created xsi:type="dcterms:W3CDTF">2018-05-15T12:45:00Z</dcterms:created>
  <dcterms:modified xsi:type="dcterms:W3CDTF">2018-05-15T12:45:00Z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_allekirjoitusfraasi">
    <vt:lpwstr>Automaattisesti päivittyvä allekirjoitusfraasi. Älä poista tätä kenttää, jos allekirjoitat asiakirjan sähköisesti.</vt:lpwstr>
  </property>
  <property fmtid="{D5CDD505-2E9C-101B-9397-08002B2CF9AE}" pid="3" name="sm_asiakirjatyyppi">
    <vt:lpwstr>Lausunto</vt:lpwstr>
  </property>
  <property fmtid="{D5CDD505-2E9C-101B-9397-08002B2CF9AE}" pid="4" name="sm_asiaryhmä">
    <vt:lpwstr>00.02.04</vt:lpwstr>
  </property>
  <property fmtid="{D5CDD505-2E9C-101B-9397-08002B2CF9AE}" pid="5" name="sm_diaarinro">
    <vt:lpwstr>SMDno-2018-901</vt:lpwstr>
  </property>
  <property fmtid="{D5CDD505-2E9C-101B-9397-08002B2CF9AE}" pid="6" name="sm_id">
    <vt:lpwstr>SM1815284</vt:lpwstr>
  </property>
  <property fmtid="{D5CDD505-2E9C-101B-9397-08002B2CF9AE}" pid="7" name="sm_käsittelyluokka">
    <vt:lpwstr/>
  </property>
  <property fmtid="{D5CDD505-2E9C-101B-9397-08002B2CF9AE}" pid="8" name="sm_laatija">
    <vt:lpwstr>Hannele Taavila</vt:lpwstr>
  </property>
  <property fmtid="{D5CDD505-2E9C-101B-9397-08002B2CF9AE}" pid="9" name="sm_laatimispvm">
    <vt:lpwstr>11.05.2018</vt:lpwstr>
  </property>
  <property fmtid="{D5CDD505-2E9C-101B-9397-08002B2CF9AE}" pid="10" name="sm_lähettäjä">
    <vt:lpwstr>Lähettäjä</vt:lpwstr>
  </property>
  <property fmtid="{D5CDD505-2E9C-101B-9397-08002B2CF9AE}" pid="11" name="sm_määräaika">
    <vt:lpwstr/>
  </property>
  <property fmtid="{D5CDD505-2E9C-101B-9397-08002B2CF9AE}" pid="12" name="sm_organisaatio">
    <vt:lpwstr>Sisäministeriö SM</vt:lpwstr>
  </property>
  <property fmtid="{D5CDD505-2E9C-101B-9397-08002B2CF9AE}" pid="13" name="sm_osasto">
    <vt:lpwstr>Poliisiosasto</vt:lpwstr>
  </property>
  <property fmtid="{D5CDD505-2E9C-101B-9397-08002B2CF9AE}" pid="14" name="sm_otsikko">
    <vt:lpwstr>Oikeusministeriön lausuntopyyntö komission lainsäädäntöehdotuksista; rajat ylittävä pääsy sähköiseen todistusaineistoon rikosasioissa</vt:lpwstr>
  </property>
  <property fmtid="{D5CDD505-2E9C-101B-9397-08002B2CF9AE}" pid="15" name="sm_pvm">
    <vt:lpwstr>11.05.2018</vt:lpwstr>
  </property>
  <property fmtid="{D5CDD505-2E9C-101B-9397-08002B2CF9AE}" pid="16" name="sm_salassapitoperuste">
    <vt:lpwstr/>
  </property>
  <property fmtid="{D5CDD505-2E9C-101B-9397-08002B2CF9AE}" pid="17" name="sm_tila">
    <vt:lpwstr>Luonnos</vt:lpwstr>
  </property>
  <property fmtid="{D5CDD505-2E9C-101B-9397-08002B2CF9AE}" pid="18" name="sm_turvallisuusluokka">
    <vt:lpwstr/>
  </property>
  <property fmtid="{D5CDD505-2E9C-101B-9397-08002B2CF9AE}" pid="19" name="sm_turvallisuusperuste">
    <vt:lpwstr/>
  </property>
  <property fmtid="{D5CDD505-2E9C-101B-9397-08002B2CF9AE}" pid="20" name="sm_vastaanottaja">
    <vt:lpwstr>Vastaanottaja</vt:lpwstr>
  </property>
</Properties>
</file>