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35" w:rsidRDefault="004C1472">
      <w:bookmarkStart w:id="0" w:name="_GoBack"/>
      <w:bookmarkEnd w:id="0"/>
      <w:r>
        <w:t>Oikeusministeriö</w:t>
      </w:r>
      <w:r w:rsidR="00FC651D">
        <w:t>lle</w:t>
      </w:r>
    </w:p>
    <w:p w:rsidR="004C1472" w:rsidRDefault="004C1472"/>
    <w:p w:rsidR="00ED7E43" w:rsidRDefault="00ED7E43"/>
    <w:p w:rsidR="00ED7E43" w:rsidRDefault="00ED7E43"/>
    <w:p w:rsidR="004C1472" w:rsidRDefault="004C1472"/>
    <w:p w:rsidR="00ED7E43" w:rsidRDefault="00ED7E43" w:rsidP="00ED7E43">
      <w:pPr>
        <w:ind w:left="1304"/>
      </w:pPr>
      <w:r w:rsidRPr="00ED7E43">
        <w:rPr>
          <w:b/>
        </w:rPr>
        <w:t>VIITE</w:t>
      </w:r>
      <w:r>
        <w:t xml:space="preserve"> </w:t>
      </w:r>
    </w:p>
    <w:p w:rsidR="004C1472" w:rsidRDefault="004C1472" w:rsidP="00ED7E43">
      <w:pPr>
        <w:ind w:left="1304"/>
      </w:pPr>
      <w:r>
        <w:t>Lausuntopyyntö</w:t>
      </w:r>
      <w:r w:rsidR="00FB4B66">
        <w:t xml:space="preserve"> </w:t>
      </w:r>
      <w:r w:rsidR="00373644">
        <w:t xml:space="preserve">komission lainsäädäntöehdotuksista liittyen lainvalvontaviranomaisten rajat ylittävään pääsyyn sähköiseen todistusaineistoon rikosasioissa </w:t>
      </w:r>
      <w:r w:rsidR="00FB4B66">
        <w:t>OM 4/481/2018</w:t>
      </w:r>
    </w:p>
    <w:p w:rsidR="004C1472" w:rsidRDefault="004C1472" w:rsidP="00ED7E43">
      <w:pPr>
        <w:ind w:left="1304"/>
      </w:pPr>
      <w:r>
        <w:t>LAUSUNTO</w:t>
      </w:r>
    </w:p>
    <w:p w:rsidR="00373644" w:rsidRDefault="00373644" w:rsidP="00ED7E43">
      <w:pPr>
        <w:ind w:left="1304"/>
      </w:pPr>
      <w:r>
        <w:t xml:space="preserve">Komission asetusehdotuksessa esitetään sääntelyä siitä, miten ja millä edellytyksillä jäsenvaltion lainvalvontaviranomainen voi velvoittaa Euroopan unionin alueella palveluita tarjoavan palveluntarjoajan toimittamaan tai säilyttämään tietyn palveluntarjoajan hallussa olevan sähköisessä muodossa olevan tiedon käytettäväksi todistusaineistona käynnissä olevassa rikosoikeudellisessa menettelyssä. Tähän saakka asia on hoidettu oikeusapumenettelyn ja sittemmin jäsenvaltioiden osalta tutkintamääräyksen avulla sekä osin viranomaisten ja palveluntarjoajien vapaaehtoisen yhteistyön pohjalta. Ongelmaksi on muodostunut hitaus. Näistä lähtökohdista tarkasteltuna esitys yhdenmukaisesta sääntelystä, joka luo riittävät takeet perusoikeuksien suojan sekä oikeusturvan takeiden huomioon ottamisessa, on kannatettava. </w:t>
      </w:r>
    </w:p>
    <w:p w:rsidR="001F6D1C" w:rsidRDefault="00373644" w:rsidP="00ED7E43">
      <w:pPr>
        <w:ind w:left="1304"/>
      </w:pPr>
      <w:r>
        <w:t>Esity</w:t>
      </w:r>
      <w:r w:rsidR="00007A62">
        <w:t>s siirtää vastavuoroisen tu</w:t>
      </w:r>
      <w:r w:rsidR="00484DCE">
        <w:t>nnustamisen periaatteen sovellettavaksi</w:t>
      </w:r>
      <w:r w:rsidR="001F6D1C">
        <w:t xml:space="preserve"> oikeusviranomaisten lisäksi</w:t>
      </w:r>
      <w:r w:rsidR="00007A62">
        <w:t xml:space="preserve"> yksi</w:t>
      </w:r>
      <w:r w:rsidR="00850FE1">
        <w:t>tyis</w:t>
      </w:r>
      <w:r w:rsidR="001F6D1C">
        <w:t>ten palveluntarjoajie</w:t>
      </w:r>
      <w:r w:rsidR="00850FE1">
        <w:t xml:space="preserve">n kanssa ja </w:t>
      </w:r>
      <w:r w:rsidR="00007A62">
        <w:t>asettaa</w:t>
      </w:r>
      <w:r w:rsidR="001F6D1C">
        <w:t xml:space="preserve"> niille</w:t>
      </w:r>
      <w:r w:rsidR="00850FE1">
        <w:t xml:space="preserve"> merkittäviä, perinteisesti lainkäyttöviranomaisille kuuluneita</w:t>
      </w:r>
      <w:r w:rsidR="00007A62">
        <w:t xml:space="preserve"> velvollis</w:t>
      </w:r>
      <w:r w:rsidR="001F6D1C">
        <w:t xml:space="preserve">uuksia niihin </w:t>
      </w:r>
      <w:r w:rsidR="00007A62">
        <w:t>liittyvine vastuineen.</w:t>
      </w:r>
      <w:r w:rsidR="00B10BA5">
        <w:t xml:space="preserve"> </w:t>
      </w:r>
    </w:p>
    <w:p w:rsidR="001F6D1C" w:rsidRDefault="00B10BA5" w:rsidP="00ED7E43">
      <w:pPr>
        <w:ind w:left="1304"/>
      </w:pPr>
      <w:r>
        <w:t xml:space="preserve">Asetusesityksen sisältö on varsin </w:t>
      </w:r>
      <w:r w:rsidR="00007A62">
        <w:t xml:space="preserve">monimutkainen. </w:t>
      </w:r>
      <w:r>
        <w:t>E</w:t>
      </w:r>
      <w:r w:rsidR="00FC651D">
        <w:t xml:space="preserve">sityksen </w:t>
      </w:r>
      <w:r w:rsidR="00007A62">
        <w:t>perusteella jää epäselväksi, onko tarkoitus, että palveluntarjoajalla on edustaja jokaisessa jäsenvaltiossa erikse</w:t>
      </w:r>
      <w:r w:rsidR="00850FE1">
        <w:t xml:space="preserve">en vai onko edustus keskitetty. </w:t>
      </w:r>
      <w:r w:rsidR="006A13D6">
        <w:t>Avoin</w:t>
      </w:r>
      <w:r w:rsidR="00850FE1">
        <w:t xml:space="preserve"> sääntely voi aiheuttaa ongelmia siinä, kenelle asetuksessa tarkoitettu määräys on lähetettävä. Oikeusk</w:t>
      </w:r>
      <w:r w:rsidR="00EC5C74">
        <w:t xml:space="preserve">äytännössä </w:t>
      </w:r>
      <w:r w:rsidR="00850FE1">
        <w:t xml:space="preserve">esimerkiksi </w:t>
      </w:r>
      <w:r w:rsidR="00F60087">
        <w:t>sananvapauden käyttämisestä</w:t>
      </w:r>
      <w:r w:rsidR="00850FE1">
        <w:t xml:space="preserve"> joukkoviestinnässä</w:t>
      </w:r>
      <w:r w:rsidR="00F60087">
        <w:t xml:space="preserve"> annetun lain 5 luvussa tarkoitettujen pakkokeinojen käsittelyssä </w:t>
      </w:r>
      <w:r w:rsidR="00007A62">
        <w:t>ongelmaksi o</w:t>
      </w:r>
      <w:r w:rsidR="00FC651D">
        <w:t>vat</w:t>
      </w:r>
      <w:r w:rsidR="00007A62">
        <w:t xml:space="preserve"> pienten palveluntarjoajien osalta muodostun</w:t>
      </w:r>
      <w:r w:rsidR="00FC651D">
        <w:t>ee</w:t>
      </w:r>
      <w:r w:rsidR="00007A62">
        <w:t>t</w:t>
      </w:r>
      <w:r w:rsidR="00850FE1">
        <w:t xml:space="preserve"> puutteet osaamisessa ja resursseissa, mikä on voinut johtaa siihen, ett</w:t>
      </w:r>
      <w:r w:rsidR="00FC651D">
        <w:t>ä</w:t>
      </w:r>
      <w:r w:rsidR="00850FE1">
        <w:t xml:space="preserve"> käräjäoikeuden vastauspyyntöön ei ole reagoitu. </w:t>
      </w:r>
      <w:r w:rsidR="001F6D1C">
        <w:t xml:space="preserve">Asetusehdotuksessa ongelmaksi voi muodostua se, onko siinä tarkoitettu määräys lähetetty oikealle edustajalle. </w:t>
      </w:r>
    </w:p>
    <w:p w:rsidR="00F53149" w:rsidRDefault="006A13D6" w:rsidP="00ED7E43">
      <w:pPr>
        <w:ind w:left="1304"/>
      </w:pPr>
      <w:r>
        <w:t>Tietojen toimittamista koskevan pyynnön sisältö määritellään a</w:t>
      </w:r>
      <w:r w:rsidR="00850FE1">
        <w:t>s</w:t>
      </w:r>
      <w:r>
        <w:t>etusehdotuksen 5 artikla</w:t>
      </w:r>
      <w:r w:rsidR="001F6D1C">
        <w:t>ssa</w:t>
      </w:r>
      <w:r>
        <w:t xml:space="preserve">. Palveluntarjoajan on arvioitava edellytysten täyttyminen artiklan 9 edellyttämin tavoin ja edelleen artiklan 14 edellyttämien tietojen valossa, mikäli palveluntarjoaja saattaa </w:t>
      </w:r>
      <w:r>
        <w:lastRenderedPageBreak/>
        <w:t>kieltäytymisen täytäntöönpanovaltion viranomaisen vahvistettavaksi. K</w:t>
      </w:r>
      <w:r w:rsidR="00850FE1">
        <w:t>ieltäytymisperusteet on määritelty varsin monimuotoisesti</w:t>
      </w:r>
      <w:r>
        <w:t xml:space="preserve"> ja ne sisältävät paljon perusoikeus</w:t>
      </w:r>
      <w:r w:rsidR="0045712A">
        <w:t>arviontia</w:t>
      </w:r>
      <w:r>
        <w:t xml:space="preserve"> sekä täytäntöönpanojäsenvaltion </w:t>
      </w:r>
      <w:r w:rsidR="001F6D1C">
        <w:t xml:space="preserve">turvallisuuteen ja </w:t>
      </w:r>
      <w:r>
        <w:t xml:space="preserve">puolustukseen liittyvää arviointia. </w:t>
      </w:r>
      <w:r w:rsidR="0045712A">
        <w:t>Se</w:t>
      </w:r>
      <w:r>
        <w:t xml:space="preserve"> on laaja-alaista punnintaa</w:t>
      </w:r>
      <w:r w:rsidR="0045712A">
        <w:t xml:space="preserve">, joka </w:t>
      </w:r>
      <w:r>
        <w:t>edellyttä</w:t>
      </w:r>
      <w:r w:rsidR="0045712A">
        <w:t>ä</w:t>
      </w:r>
      <w:r>
        <w:t xml:space="preserve"> korkeaa lainopillista osaamista ja resursseja. Valittu menettely johtaisi nykyistä </w:t>
      </w:r>
      <w:r w:rsidR="00850FE1">
        <w:t>tulkinnanvaraisempiin uusin</w:t>
      </w:r>
      <w:r>
        <w:t xml:space="preserve"> ja vaativiin </w:t>
      </w:r>
      <w:r w:rsidR="001F6D1C">
        <w:t xml:space="preserve">arviointeihin </w:t>
      </w:r>
      <w:r>
        <w:t>palveluntarjoajie</w:t>
      </w:r>
      <w:r w:rsidR="00850FE1">
        <w:t xml:space="preserve">n näkökulmasta.  </w:t>
      </w:r>
    </w:p>
    <w:p w:rsidR="001F6D1C" w:rsidRDefault="00850FE1" w:rsidP="00ED7E43">
      <w:pPr>
        <w:ind w:left="1304"/>
      </w:pPr>
      <w:r>
        <w:t>A</w:t>
      </w:r>
      <w:r w:rsidR="00236A0B">
        <w:t xml:space="preserve">setusehdotuksen </w:t>
      </w:r>
      <w:r w:rsidR="0031410D">
        <w:t>soveltamisalaan liittyy</w:t>
      </w:r>
      <w:r w:rsidR="00B10BA5">
        <w:t xml:space="preserve"> epäselvyys</w:t>
      </w:r>
      <w:r w:rsidR="006802A0">
        <w:t xml:space="preserve"> 3 artiklan 2 kohdan</w:t>
      </w:r>
      <w:r w:rsidR="00B10BA5">
        <w:t xml:space="preserve"> määritelmän ”rikosoikeudellisessa menettelyssä”</w:t>
      </w:r>
      <w:r w:rsidR="0031410D">
        <w:t xml:space="preserve"> </w:t>
      </w:r>
      <w:r w:rsidR="006802A0">
        <w:t xml:space="preserve">(may only be issued for criminal proceedings, both during the pre-trial and trial phase) </w:t>
      </w:r>
      <w:r w:rsidR="0031410D">
        <w:t>sisällössä</w:t>
      </w:r>
      <w:r w:rsidR="00B10BA5">
        <w:t xml:space="preserve">. Käsittääkö tämä rajaus kansallisesti myös poliisilaissa säännellyt tutkintatoimet </w:t>
      </w:r>
      <w:r w:rsidR="0045712A">
        <w:t>mukaan lukien</w:t>
      </w:r>
      <w:r w:rsidR="00B10BA5">
        <w:t xml:space="preserve"> tilanteet, joissa kysymys on rikosten estämisestä tilanteissa, joissa ei tied</w:t>
      </w:r>
      <w:r w:rsidR="0045712A">
        <w:t>et</w:t>
      </w:r>
      <w:r w:rsidR="00B10BA5">
        <w:t xml:space="preserve">ä, onko rikos jo tapahtunut vai koskeeko </w:t>
      </w:r>
      <w:r w:rsidR="0045712A">
        <w:t>rajaus</w:t>
      </w:r>
      <w:r w:rsidR="00B10BA5">
        <w:t xml:space="preserve"> ainoastaan aloitettua esitutkintaa ma</w:t>
      </w:r>
      <w:r w:rsidR="006802A0">
        <w:t>hdollisine myöhempine</w:t>
      </w:r>
      <w:r w:rsidR="001F6D1C">
        <w:t xml:space="preserve"> oikeudenkäynteineen</w:t>
      </w:r>
      <w:r w:rsidR="006802A0">
        <w:t>?</w:t>
      </w:r>
      <w:r w:rsidR="00B10BA5">
        <w:t xml:space="preserve"> </w:t>
      </w:r>
      <w:r w:rsidR="00D01083">
        <w:t xml:space="preserve"> </w:t>
      </w:r>
    </w:p>
    <w:p w:rsidR="00B10BA5" w:rsidRDefault="00EA4CD7" w:rsidP="00ED7E43">
      <w:pPr>
        <w:ind w:left="1304"/>
      </w:pPr>
      <w:r>
        <w:t>Esityksen artiklassa 5 tarkoitettu edellytyksiin liittyvä j</w:t>
      </w:r>
      <w:r w:rsidR="00D01083">
        <w:t xml:space="preserve">ako kahteen </w:t>
      </w:r>
      <w:r>
        <w:t xml:space="preserve">eri </w:t>
      </w:r>
      <w:r w:rsidR="00D01083">
        <w:t xml:space="preserve">tilanteeseen kohdissa 3 ja 4 tiedon laadun perusteella on perusteltu, mutta kohdassa 4 sisältötietoihin liittyen soveltamisala on lavea. </w:t>
      </w:r>
      <w:r w:rsidR="0045712A">
        <w:t>S</w:t>
      </w:r>
      <w:r>
        <w:t>s</w:t>
      </w:r>
      <w:r w:rsidR="00D01083">
        <w:t>isältötietojen (transactional data ja content data) pyytämisen edellytyksenä oleva vähintään kolmen vuoden rangaistusmaksi</w:t>
      </w:r>
      <w:r w:rsidR="002322E7">
        <w:t>mi</w:t>
      </w:r>
      <w:r w:rsidR="00D01083">
        <w:t xml:space="preserve"> kattaa eri jäsenvaltioiden rangaistusten erot huomioon ottaen laajan ja ainakin suomalaisesta näkökulmasta tarkasteltaessa ankaruudeltaan varsin eri tyyppisiä rikoksia</w:t>
      </w:r>
      <w:r>
        <w:t xml:space="preserve">. Tältä osin edellytyksiä voisi olla </w:t>
      </w:r>
      <w:r w:rsidR="0045712A">
        <w:t>tarpeen</w:t>
      </w:r>
      <w:r w:rsidR="00D01083">
        <w:t xml:space="preserve"> pohtia vielä uudelleen.</w:t>
      </w:r>
    </w:p>
    <w:p w:rsidR="00850FE1" w:rsidRDefault="00EA4CD7" w:rsidP="00ED7E43">
      <w:pPr>
        <w:ind w:left="1304"/>
      </w:pPr>
      <w:r>
        <w:t>Asetusesityksen</w:t>
      </w:r>
      <w:r w:rsidR="00236A0B">
        <w:t xml:space="preserve"> 15 </w:t>
      </w:r>
      <w:r w:rsidR="00E07AEA">
        <w:t xml:space="preserve">ja 16 </w:t>
      </w:r>
      <w:r w:rsidR="00236A0B">
        <w:t>artikla</w:t>
      </w:r>
      <w:r w:rsidR="00E07AEA">
        <w:t>t</w:t>
      </w:r>
      <w:r w:rsidR="00236A0B">
        <w:t xml:space="preserve"> tuo</w:t>
      </w:r>
      <w:r w:rsidR="00E07AEA">
        <w:t>vat tuomioistuimelle</w:t>
      </w:r>
      <w:r w:rsidR="006C0A3D">
        <w:t xml:space="preserve"> uusia</w:t>
      </w:r>
      <w:r w:rsidR="00236A0B">
        <w:t xml:space="preserve"> tehtäviä. </w:t>
      </w:r>
      <w:r w:rsidR="006C0A3D">
        <w:t>Käytännön toiminnan näköku</w:t>
      </w:r>
      <w:r w:rsidR="00E07AEA">
        <w:t>lmasta säännökset</w:t>
      </w:r>
      <w:r w:rsidR="006C0A3D">
        <w:t xml:space="preserve"> o</w:t>
      </w:r>
      <w:r w:rsidR="0045712A">
        <w:t>vat</w:t>
      </w:r>
      <w:r w:rsidR="006C0A3D">
        <w:t xml:space="preserve"> pelkän asetustekstin perusteella vaikeasti hahmotettav</w:t>
      </w:r>
      <w:r w:rsidR="0045712A">
        <w:t>i</w:t>
      </w:r>
      <w:r w:rsidR="006C0A3D">
        <w:t>a</w:t>
      </w:r>
      <w:r w:rsidR="00134DB0">
        <w:t>.</w:t>
      </w:r>
      <w:r w:rsidR="00E07AEA">
        <w:t xml:space="preserve"> Artiklat vaikuttavat</w:t>
      </w:r>
      <w:r w:rsidR="00134DB0">
        <w:t xml:space="preserve"> </w:t>
      </w:r>
      <w:r w:rsidR="00E07AEA">
        <w:t>varsin yleisi</w:t>
      </w:r>
      <w:r w:rsidR="006C0A3D">
        <w:t xml:space="preserve">ltä. Mikä viranomainen tai kuka antaa tuomioistuimelle sen sanotussa arvioinnissa tarvitsemat tiedot? Kuka tai mikä viranomainen ajaa kolmannen valtion etua asiaa käsiteltäessä? </w:t>
      </w:r>
      <w:r w:rsidR="00E07AEA">
        <w:t>Kolmannen valtion perusoikeudellisten intressien sekä k</w:t>
      </w:r>
      <w:r w:rsidR="006C0A3D">
        <w:t>olmannen valtion kansalliseen turvallisuuteen ja puolustukseen liittyvien etujen</w:t>
      </w:r>
      <w:r w:rsidR="00E07AEA">
        <w:t xml:space="preserve"> arviointimenettely</w:t>
      </w:r>
      <w:r w:rsidR="006C0A3D">
        <w:t xml:space="preserve"> on </w:t>
      </w:r>
      <w:r w:rsidR="0045712A">
        <w:t>vaativa</w:t>
      </w:r>
      <w:r w:rsidR="006C0A3D">
        <w:t xml:space="preserve"> tehtävä, jonka osalta tarkempi sääntely </w:t>
      </w:r>
      <w:r w:rsidR="0045712A">
        <w:t>olisi</w:t>
      </w:r>
      <w:r w:rsidR="006C0A3D">
        <w:t xml:space="preserve"> asetusluonnoksen ensitarkastelun perusteella tarpeen. </w:t>
      </w:r>
    </w:p>
    <w:p w:rsidR="003E60BA" w:rsidRDefault="006C0A3D" w:rsidP="00ED7E43">
      <w:pPr>
        <w:ind w:left="1304"/>
      </w:pPr>
      <w:r>
        <w:t xml:space="preserve">Keskeinen ongelma ehdotuksessa liittyy </w:t>
      </w:r>
      <w:r w:rsidR="00296422">
        <w:t>kaksoisrangaistavuu</w:t>
      </w:r>
      <w:r w:rsidR="0045712A">
        <w:t xml:space="preserve">tta koskevaan </w:t>
      </w:r>
      <w:r w:rsidR="0045712A" w:rsidRPr="0045712A">
        <w:t>kysymykseen</w:t>
      </w:r>
      <w:r w:rsidR="00296422">
        <w:t>.</w:t>
      </w:r>
      <w:r w:rsidR="0045712A">
        <w:t xml:space="preserve"> Tavoiteltava päämäärä</w:t>
      </w:r>
      <w:r w:rsidR="003E5DFB">
        <w:t xml:space="preserve"> lienee</w:t>
      </w:r>
      <w:r w:rsidR="00134DB0">
        <w:t xml:space="preserve"> se</w:t>
      </w:r>
      <w:r w:rsidR="00296422">
        <w:t>, että jäsenvaltion kansallinen lainsäädäntö ei rajoita oikeutta tiedonsaantiin kansainvälisiä säännöksiä enempää. Sis</w:t>
      </w:r>
      <w:r w:rsidR="003E5DFB">
        <w:t xml:space="preserve">ältötiedoissa </w:t>
      </w:r>
      <w:r w:rsidR="00296422">
        <w:t>kysymys on perusoik</w:t>
      </w:r>
      <w:r w:rsidR="003E5DFB">
        <w:t>euksien suojan piiriin kuuluvista tiedoista</w:t>
      </w:r>
      <w:r w:rsidR="00296422">
        <w:t xml:space="preserve">, joten sanotun </w:t>
      </w:r>
      <w:r w:rsidR="003E5DFB">
        <w:t xml:space="preserve">tavoitteen </w:t>
      </w:r>
      <w:r w:rsidR="00296422">
        <w:t xml:space="preserve">huomioon ottaminen on olennaista. Asetusehdotuksessa edellytyksiä koskevassa artiklassa tarkasteltavana on pyytävän jäsenvaltion lainsäädäntö, mutta kieltäytymisperusteissa ei ole mainintaa täytäntöönpanojäsenvaltion lainsäädännöstä. Tarkoitus luopua kaksoisrangaistavuudesta tulisi mainita </w:t>
      </w:r>
      <w:r w:rsidR="003E60BA">
        <w:t>selkeästi, mikä</w:t>
      </w:r>
      <w:r w:rsidR="00E07AEA">
        <w:t>li sitä on tavoiteltu</w:t>
      </w:r>
      <w:r w:rsidR="003E60BA">
        <w:t>.</w:t>
      </w:r>
    </w:p>
    <w:p w:rsidR="00134DB0" w:rsidRDefault="00134DB0" w:rsidP="00ED7E43">
      <w:pPr>
        <w:ind w:left="1304"/>
      </w:pPr>
    </w:p>
    <w:p w:rsidR="003E5DFB" w:rsidRDefault="003E5DFB" w:rsidP="00ED7E43">
      <w:pPr>
        <w:ind w:left="1304"/>
      </w:pPr>
      <w:r>
        <w:lastRenderedPageBreak/>
        <w:t>Asetusehdotuksen 4 artiklan 1 ja 2 kohdissa tarkoitettu rajanveto on perusteltu. Pääsy perusoikeuksien suojaa nauttiviin sisältötietoihin on kansallisesti mahdollista vain tuomioistuimen luvalla. Kohdassa 1 tarkoitettujen käyttäjätietojen saannin edellyttämä v</w:t>
      </w:r>
      <w:r w:rsidR="00B31D69">
        <w:t>alidoinnin tarpeellisuuden arviointi</w:t>
      </w:r>
      <w:r w:rsidR="00EA4CD7">
        <w:t xml:space="preserve"> lienee lainsäätäjälle kuuluva tehtävä</w:t>
      </w:r>
      <w:r>
        <w:t xml:space="preserve">. </w:t>
      </w:r>
    </w:p>
    <w:p w:rsidR="00F31372" w:rsidRDefault="003E5DFB" w:rsidP="00ED7E43">
      <w:pPr>
        <w:ind w:left="1304"/>
      </w:pPr>
      <w:r>
        <w:t xml:space="preserve">Asetusesityksessä ei ole erityissääntöä koskevaa artiklaa. </w:t>
      </w:r>
      <w:r w:rsidR="0045712A">
        <w:t>Sen p</w:t>
      </w:r>
      <w:r>
        <w:t>uuttuminen johtaa siihen, ettei tiedot antanut voi asettaa ehtoja niiden hyödynnettävyyde</w:t>
      </w:r>
      <w:r w:rsidR="0045712A">
        <w:t>lle</w:t>
      </w:r>
      <w:r>
        <w:t xml:space="preserve">. Asia on ymmärrettävä silloin, kun tietojen antaja on palveluntarjoaja. Mikäli </w:t>
      </w:r>
      <w:r w:rsidR="00E07AEA">
        <w:t xml:space="preserve">tarkoituksena </w:t>
      </w:r>
      <w:r>
        <w:t>on</w:t>
      </w:r>
      <w:r w:rsidR="00E07AEA">
        <w:t xml:space="preserve"> jättää sääntely k</w:t>
      </w:r>
      <w:r>
        <w:t>ansalliselle tasolle, se</w:t>
      </w:r>
      <w:r w:rsidR="0045712A">
        <w:t xml:space="preserve"> olisi aiheellista tuoda esille </w:t>
      </w:r>
      <w:r>
        <w:t>asetustekstissä</w:t>
      </w:r>
      <w:r w:rsidR="00F31372">
        <w:t>. Joka tapauksessa olisi huolellisesti pohdittava</w:t>
      </w:r>
      <w:r w:rsidR="00E07AEA">
        <w:t xml:space="preserve"> asetuksen soveltami</w:t>
      </w:r>
      <w:r w:rsidR="00C01EB3">
        <w:t>sta</w:t>
      </w:r>
      <w:r w:rsidR="00F31372">
        <w:t xml:space="preserve"> </w:t>
      </w:r>
      <w:r w:rsidR="00E07AEA">
        <w:t>käytännön tilanteissa</w:t>
      </w:r>
      <w:r w:rsidR="00C01EB3">
        <w:t xml:space="preserve"> sekä sitä</w:t>
      </w:r>
      <w:r w:rsidR="00F31372">
        <w:t>, aiheut</w:t>
      </w:r>
      <w:r w:rsidR="00C01EB3">
        <w:t xml:space="preserve">uuko erityissäännön </w:t>
      </w:r>
      <w:r w:rsidR="00F31372">
        <w:t>puuttumisesta ongelmia</w:t>
      </w:r>
      <w:r w:rsidR="00E07AEA">
        <w:t xml:space="preserve"> oikeudenkäynnissä</w:t>
      </w:r>
      <w:r w:rsidR="00F31372">
        <w:t>. Tä</w:t>
      </w:r>
      <w:r w:rsidR="00C01EB3">
        <w:t xml:space="preserve">tä </w:t>
      </w:r>
      <w:r w:rsidR="00F31372">
        <w:t xml:space="preserve">lausuntoa annettaessa </w:t>
      </w:r>
      <w:r w:rsidR="00C01EB3">
        <w:t xml:space="preserve">asiaa ei ole mahdollista tarkastella syvällisemmin. </w:t>
      </w:r>
      <w:r w:rsidR="00F31372">
        <w:t xml:space="preserve"> </w:t>
      </w:r>
    </w:p>
    <w:p w:rsidR="00F31372" w:rsidRDefault="00E07AEA" w:rsidP="00ED7E43">
      <w:pPr>
        <w:ind w:left="1304"/>
      </w:pPr>
      <w:r>
        <w:t xml:space="preserve">Esityksen 13 artiklassa säädetään seuraamuksista (pecuniary sanctions). Uhka taloudellisesta seuraamuksesta voi pahimmillaan johtaa siihen, että palveluntarjoaja antaa pyydetyt tiedot sen pelossa seuraamuksen välttääkseen. Herkällä perusoikeuksien suojaamalla alueella liikuttaessa tilanne </w:t>
      </w:r>
      <w:r w:rsidR="00C01EB3">
        <w:t xml:space="preserve">ei ole </w:t>
      </w:r>
      <w:r>
        <w:t xml:space="preserve">toivottava. </w:t>
      </w:r>
    </w:p>
    <w:p w:rsidR="0053128D" w:rsidRDefault="0053128D" w:rsidP="00ED7E43">
      <w:pPr>
        <w:ind w:left="1304"/>
      </w:pPr>
      <w:r>
        <w:t>Lausunnon on laatinut käräjätuomari Anu Juho.</w:t>
      </w:r>
    </w:p>
    <w:p w:rsidR="0053128D" w:rsidRDefault="0053128D" w:rsidP="00ED7E43">
      <w:pPr>
        <w:ind w:left="1304"/>
      </w:pPr>
    </w:p>
    <w:p w:rsidR="0053128D" w:rsidRDefault="0053128D" w:rsidP="00ED7E43">
      <w:pPr>
        <w:ind w:left="1304"/>
      </w:pPr>
      <w:r>
        <w:t xml:space="preserve">Laamanni </w:t>
      </w:r>
      <w:r w:rsidR="00D07A8F">
        <w:tab/>
      </w:r>
      <w:r w:rsidR="00D07A8F">
        <w:tab/>
      </w:r>
      <w:r w:rsidR="00D07A8F">
        <w:tab/>
      </w:r>
      <w:r>
        <w:t>Tuomas Nurmi</w:t>
      </w:r>
    </w:p>
    <w:p w:rsidR="00F31372" w:rsidRDefault="00F31372" w:rsidP="00ED7E43">
      <w:pPr>
        <w:ind w:left="1304"/>
      </w:pPr>
    </w:p>
    <w:p w:rsidR="00F31372" w:rsidRDefault="00F31372"/>
    <w:p w:rsidR="003E5DFB" w:rsidRDefault="00F31372">
      <w:r>
        <w:t xml:space="preserve"> </w:t>
      </w:r>
    </w:p>
    <w:p w:rsidR="003E5DFB" w:rsidRDefault="003E5DFB"/>
    <w:p w:rsidR="003E5DFB" w:rsidRDefault="003E5DFB"/>
    <w:p w:rsidR="003E60BA" w:rsidRDefault="003E60BA"/>
    <w:p w:rsidR="006C0A3D" w:rsidRDefault="00296422">
      <w:r>
        <w:t xml:space="preserve"> </w:t>
      </w:r>
    </w:p>
    <w:p w:rsidR="006C0A3D" w:rsidRDefault="006C0A3D"/>
    <w:p w:rsidR="00B10BA5" w:rsidRDefault="00B10BA5"/>
    <w:p w:rsidR="00B10BA5" w:rsidRDefault="00B10BA5"/>
    <w:p w:rsidR="00B10BA5" w:rsidRDefault="00B10BA5"/>
    <w:p w:rsidR="00B10BA5" w:rsidRDefault="00B10BA5"/>
    <w:p w:rsidR="00292A2B" w:rsidRDefault="00292A2B"/>
    <w:p w:rsidR="00292A2B" w:rsidRDefault="00292A2B"/>
    <w:p w:rsidR="004C1472" w:rsidRDefault="004C1472"/>
    <w:p w:rsidR="00373644" w:rsidRDefault="00373644"/>
    <w:p w:rsidR="004C1472" w:rsidRDefault="004C1472"/>
    <w:p w:rsidR="004C1472" w:rsidRDefault="004C1472"/>
    <w:p w:rsidR="004C1472" w:rsidRDefault="004C1472"/>
    <w:sectPr w:rsidR="004C1472">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C6" w:rsidRDefault="00316BC6" w:rsidP="00EB757E">
      <w:pPr>
        <w:spacing w:after="0" w:line="240" w:lineRule="auto"/>
      </w:pPr>
      <w:r>
        <w:separator/>
      </w:r>
    </w:p>
  </w:endnote>
  <w:endnote w:type="continuationSeparator" w:id="0">
    <w:p w:rsidR="00316BC6" w:rsidRDefault="00316BC6" w:rsidP="00E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5" w:type="dxa"/>
      <w:tblCellSpacing w:w="0" w:type="dxa"/>
      <w:tblBorders>
        <w:top w:val="single" w:sz="8" w:space="0" w:color="auto"/>
      </w:tblBorders>
      <w:tblCellMar>
        <w:left w:w="0" w:type="dxa"/>
        <w:right w:w="0" w:type="dxa"/>
      </w:tblCellMar>
      <w:tblLook w:val="04A0" w:firstRow="1" w:lastRow="0" w:firstColumn="1" w:lastColumn="0" w:noHBand="0" w:noVBand="1"/>
    </w:tblPr>
    <w:tblGrid>
      <w:gridCol w:w="2590"/>
      <w:gridCol w:w="2591"/>
      <w:gridCol w:w="1288"/>
      <w:gridCol w:w="1303"/>
      <w:gridCol w:w="2413"/>
    </w:tblGrid>
    <w:tr w:rsidR="00852A4E" w:rsidRPr="00852A4E" w:rsidTr="005B2EFC">
      <w:trPr>
        <w:trHeight w:val="255"/>
        <w:tblCellSpacing w:w="0" w:type="dxa"/>
      </w:trPr>
      <w:tc>
        <w:tcPr>
          <w:tcW w:w="2590"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b/>
              <w:bCs/>
              <w:sz w:val="18"/>
              <w:szCs w:val="18"/>
              <w:lang w:eastAsia="fi-FI"/>
            </w:rPr>
            <w:t>Postiosoite</w:t>
          </w:r>
        </w:p>
      </w:tc>
      <w:tc>
        <w:tcPr>
          <w:tcW w:w="2591"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b/>
              <w:bCs/>
              <w:sz w:val="18"/>
              <w:szCs w:val="18"/>
              <w:lang w:eastAsia="fi-FI"/>
            </w:rPr>
            <w:t>Käyntiosoite</w:t>
          </w:r>
        </w:p>
      </w:tc>
      <w:tc>
        <w:tcPr>
          <w:tcW w:w="1288"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b/>
              <w:bCs/>
              <w:sz w:val="18"/>
              <w:szCs w:val="18"/>
              <w:lang w:eastAsia="fi-FI"/>
            </w:rPr>
            <w:t>Puhelin</w:t>
          </w:r>
        </w:p>
      </w:tc>
      <w:tc>
        <w:tcPr>
          <w:tcW w:w="1303"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b/>
              <w:bCs/>
              <w:sz w:val="18"/>
              <w:szCs w:val="18"/>
              <w:lang w:eastAsia="fi-FI"/>
            </w:rPr>
            <w:t>Telefax</w:t>
          </w:r>
        </w:p>
      </w:tc>
      <w:tc>
        <w:tcPr>
          <w:tcW w:w="2413"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b/>
              <w:bCs/>
              <w:sz w:val="18"/>
              <w:szCs w:val="18"/>
              <w:lang w:eastAsia="fi-FI"/>
            </w:rPr>
            <w:t>Sähköposti</w:t>
          </w:r>
        </w:p>
      </w:tc>
    </w:tr>
    <w:tr w:rsidR="00852A4E" w:rsidRPr="00852A4E" w:rsidTr="005B2EFC">
      <w:trPr>
        <w:trHeight w:val="255"/>
        <w:tblCellSpacing w:w="0" w:type="dxa"/>
      </w:trPr>
      <w:tc>
        <w:tcPr>
          <w:tcW w:w="2590"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sz w:val="18"/>
              <w:szCs w:val="18"/>
              <w:lang w:eastAsia="fi-FI"/>
            </w:rPr>
            <w:t>PL 650</w:t>
          </w:r>
        </w:p>
      </w:tc>
      <w:tc>
        <w:tcPr>
          <w:tcW w:w="2591"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sz w:val="18"/>
              <w:szCs w:val="18"/>
              <w:lang w:eastAsia="fi-FI"/>
            </w:rPr>
            <w:t>Porkkalankatu 13</w:t>
          </w:r>
        </w:p>
      </w:tc>
      <w:tc>
        <w:tcPr>
          <w:tcW w:w="1288"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sz w:val="18"/>
              <w:szCs w:val="18"/>
              <w:lang w:eastAsia="fi-FI"/>
            </w:rPr>
            <w:t>029 56 44200</w:t>
          </w:r>
        </w:p>
      </w:tc>
      <w:tc>
        <w:tcPr>
          <w:tcW w:w="1303"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sz w:val="18"/>
              <w:szCs w:val="18"/>
              <w:lang w:eastAsia="fi-FI"/>
            </w:rPr>
            <w:t>029 56 44417</w:t>
          </w:r>
        </w:p>
      </w:tc>
      <w:tc>
        <w:tcPr>
          <w:tcW w:w="2413"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sz w:val="18"/>
              <w:szCs w:val="18"/>
              <w:lang w:eastAsia="fi-FI"/>
            </w:rPr>
            <w:t>helsinki.ko@oikeus.fi</w:t>
          </w:r>
        </w:p>
      </w:tc>
    </w:tr>
    <w:tr w:rsidR="00852A4E" w:rsidRPr="00852A4E" w:rsidTr="005B2EFC">
      <w:trPr>
        <w:trHeight w:val="255"/>
        <w:tblCellSpacing w:w="0" w:type="dxa"/>
      </w:trPr>
      <w:tc>
        <w:tcPr>
          <w:tcW w:w="2590"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sz w:val="18"/>
              <w:szCs w:val="18"/>
              <w:lang w:eastAsia="fi-FI"/>
            </w:rPr>
            <w:t>00181 HELSINKI</w:t>
          </w:r>
        </w:p>
      </w:tc>
      <w:tc>
        <w:tcPr>
          <w:tcW w:w="2591"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r w:rsidRPr="00852A4E">
            <w:rPr>
              <w:rFonts w:ascii="Arial" w:eastAsia="Times New Roman" w:hAnsi="Arial" w:cs="Arial"/>
              <w:sz w:val="18"/>
              <w:szCs w:val="18"/>
              <w:lang w:eastAsia="fi-FI"/>
            </w:rPr>
            <w:t>00180 HELSINKI</w:t>
          </w:r>
        </w:p>
      </w:tc>
      <w:tc>
        <w:tcPr>
          <w:tcW w:w="1288"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p>
      </w:tc>
      <w:tc>
        <w:tcPr>
          <w:tcW w:w="1303"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p>
      </w:tc>
      <w:tc>
        <w:tcPr>
          <w:tcW w:w="2413"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p>
      </w:tc>
    </w:tr>
    <w:tr w:rsidR="00852A4E" w:rsidRPr="00852A4E" w:rsidTr="005B2EFC">
      <w:trPr>
        <w:trHeight w:val="255"/>
        <w:tblCellSpacing w:w="0" w:type="dxa"/>
      </w:trPr>
      <w:tc>
        <w:tcPr>
          <w:tcW w:w="2590"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p>
      </w:tc>
      <w:tc>
        <w:tcPr>
          <w:tcW w:w="2591"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p>
      </w:tc>
      <w:tc>
        <w:tcPr>
          <w:tcW w:w="1288"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p>
      </w:tc>
      <w:tc>
        <w:tcPr>
          <w:tcW w:w="1303"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p>
      </w:tc>
      <w:tc>
        <w:tcPr>
          <w:tcW w:w="2413" w:type="dxa"/>
          <w:hideMark/>
        </w:tcPr>
        <w:p w:rsidR="00852A4E" w:rsidRPr="00852A4E" w:rsidRDefault="00852A4E" w:rsidP="00852A4E">
          <w:pPr>
            <w:spacing w:before="100" w:beforeAutospacing="1" w:after="0" w:line="240" w:lineRule="auto"/>
            <w:rPr>
              <w:rFonts w:ascii="Times New Roman" w:eastAsia="Times New Roman" w:hAnsi="Times New Roman" w:cs="Times New Roman"/>
              <w:sz w:val="24"/>
              <w:szCs w:val="24"/>
              <w:lang w:eastAsia="fi-FI"/>
            </w:rPr>
          </w:pPr>
        </w:p>
      </w:tc>
    </w:tr>
  </w:tbl>
  <w:p w:rsidR="00C76037" w:rsidRDefault="00516818">
    <w:pPr>
      <w:pStyle w:val="Alatunniste"/>
    </w:pPr>
    <w:r>
      <w:tab/>
    </w:r>
    <w:r w:rsidRPr="00D36F88">
      <w:rPr>
        <w:sz w:val="24"/>
        <w:szCs w:val="24"/>
      </w:rPr>
      <w:fldChar w:fldCharType="begin"/>
    </w:r>
    <w:r w:rsidRPr="00D36F88">
      <w:rPr>
        <w:sz w:val="24"/>
        <w:szCs w:val="24"/>
      </w:rPr>
      <w:instrText>PAGE   \* MERGEFORMAT</w:instrText>
    </w:r>
    <w:r w:rsidRPr="00D36F88">
      <w:rPr>
        <w:sz w:val="24"/>
        <w:szCs w:val="24"/>
      </w:rPr>
      <w:fldChar w:fldCharType="separate"/>
    </w:r>
    <w:r w:rsidR="00676D04">
      <w:rPr>
        <w:noProof/>
        <w:sz w:val="24"/>
        <w:szCs w:val="24"/>
      </w:rPr>
      <w:t>1</w:t>
    </w:r>
    <w:r w:rsidRPr="00D36F8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C6" w:rsidRDefault="00316BC6" w:rsidP="00EB757E">
      <w:pPr>
        <w:spacing w:after="0" w:line="240" w:lineRule="auto"/>
      </w:pPr>
      <w:r>
        <w:separator/>
      </w:r>
    </w:p>
  </w:footnote>
  <w:footnote w:type="continuationSeparator" w:id="0">
    <w:p w:rsidR="00316BC6" w:rsidRDefault="00316BC6" w:rsidP="00E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57E" w:rsidRDefault="00EB757E">
    <w:r>
      <w:tab/>
    </w:r>
    <w:r>
      <w:tab/>
    </w:r>
    <w:r>
      <w:tab/>
    </w:r>
    <w:r w:rsidR="009604A5">
      <w:t>LAUSUNTO</w:t>
    </w:r>
    <w:r w:rsidR="005B2EFC">
      <w:tab/>
    </w:r>
    <w:r w:rsidR="00484D5D">
      <w:tab/>
    </w:r>
  </w:p>
  <w:tbl>
    <w:tblPr>
      <w:tblW w:w="5000" w:type="pct"/>
      <w:tblCellMar>
        <w:left w:w="0" w:type="dxa"/>
        <w:right w:w="0" w:type="dxa"/>
      </w:tblCellMar>
      <w:tblLook w:val="04A0" w:firstRow="1" w:lastRow="0" w:firstColumn="1" w:lastColumn="0" w:noHBand="0" w:noVBand="1"/>
    </w:tblPr>
    <w:tblGrid>
      <w:gridCol w:w="3969"/>
      <w:gridCol w:w="2458"/>
      <w:gridCol w:w="3211"/>
    </w:tblGrid>
    <w:tr w:rsidR="005B2EFC" w:rsidRPr="00D36F88" w:rsidTr="00266F5C">
      <w:trPr>
        <w:trHeight w:val="470"/>
      </w:trPr>
      <w:tc>
        <w:tcPr>
          <w:tcW w:w="2059" w:type="pct"/>
        </w:tcPr>
        <w:p w:rsidR="005B2EFC" w:rsidRDefault="00FF1FE1" w:rsidP="005B2EFC">
          <w:pPr>
            <w:pStyle w:val="Yltunniste"/>
            <w:rPr>
              <w:color w:val="4472C4" w:themeColor="accent1"/>
            </w:rPr>
          </w:pPr>
          <w:r w:rsidRPr="00EB757E">
            <w:rPr>
              <w:noProof/>
              <w:color w:val="4472C4" w:themeColor="accent1"/>
              <w:lang w:eastAsia="fi-FI"/>
            </w:rPr>
            <w:drawing>
              <wp:anchor distT="0" distB="0" distL="114300" distR="114300" simplePos="0" relativeHeight="251658240" behindDoc="0" locked="0" layoutInCell="1" allowOverlap="1">
                <wp:simplePos x="0" y="0"/>
                <wp:positionH relativeFrom="margin">
                  <wp:posOffset>0</wp:posOffset>
                </wp:positionH>
                <wp:positionV relativeFrom="paragraph">
                  <wp:posOffset>-298594</wp:posOffset>
                </wp:positionV>
                <wp:extent cx="1543050" cy="769262"/>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69262"/>
                        </a:xfrm>
                        <a:prstGeom prst="rect">
                          <a:avLst/>
                        </a:prstGeom>
                        <a:noFill/>
                        <a:ln>
                          <a:noFill/>
                        </a:ln>
                      </pic:spPr>
                    </pic:pic>
                  </a:graphicData>
                </a:graphic>
              </wp:anchor>
            </w:drawing>
          </w:r>
        </w:p>
      </w:tc>
      <w:tc>
        <w:tcPr>
          <w:tcW w:w="1275" w:type="pct"/>
        </w:tcPr>
        <w:p w:rsidR="005B2EFC" w:rsidRDefault="005B2EFC" w:rsidP="005B2EFC">
          <w:pPr>
            <w:pStyle w:val="Yltunniste"/>
            <w:rPr>
              <w:color w:val="4472C4" w:themeColor="accent1"/>
            </w:rPr>
          </w:pPr>
        </w:p>
      </w:tc>
      <w:tc>
        <w:tcPr>
          <w:tcW w:w="1666" w:type="pct"/>
        </w:tcPr>
        <w:p w:rsidR="005B2EFC" w:rsidRDefault="00316BC6" w:rsidP="005B2EFC">
          <w:pPr>
            <w:pStyle w:val="Yltunniste"/>
            <w:jc w:val="right"/>
            <w:rPr>
              <w:color w:val="4472C4" w:themeColor="accent1"/>
              <w:sz w:val="24"/>
              <w:szCs w:val="24"/>
            </w:rPr>
          </w:pPr>
          <w:sdt>
            <w:sdtPr>
              <w:rPr>
                <w:sz w:val="24"/>
                <w:szCs w:val="24"/>
              </w:rPr>
              <w:id w:val="-667861463"/>
              <w:showingPlcHdr/>
              <w:text/>
            </w:sdtPr>
            <w:sdtEndPr/>
            <w:sdtContent>
              <w:r w:rsidR="00ED7E43">
                <w:rPr>
                  <w:sz w:val="24"/>
                  <w:szCs w:val="24"/>
                </w:rPr>
                <w:t xml:space="preserve">     </w:t>
              </w:r>
            </w:sdtContent>
          </w:sdt>
        </w:p>
      </w:tc>
    </w:tr>
    <w:tr w:rsidR="005B2EFC" w:rsidTr="00266F5C">
      <w:trPr>
        <w:trHeight w:val="470"/>
      </w:trPr>
      <w:tc>
        <w:tcPr>
          <w:tcW w:w="2059" w:type="pct"/>
        </w:tcPr>
        <w:p w:rsidR="005B2EFC" w:rsidRPr="00AD00DB" w:rsidRDefault="005B2EFC" w:rsidP="005B2EFC">
          <w:pPr>
            <w:pStyle w:val="Yltunniste"/>
            <w:rPr>
              <w:color w:val="4472C4" w:themeColor="accent1"/>
              <w:sz w:val="24"/>
            </w:rPr>
          </w:pPr>
        </w:p>
      </w:tc>
      <w:tc>
        <w:tcPr>
          <w:tcW w:w="1275" w:type="pct"/>
        </w:tcPr>
        <w:p w:rsidR="005B2EFC" w:rsidRPr="00AD00DB" w:rsidRDefault="003D364E" w:rsidP="005B2EFC">
          <w:pPr>
            <w:pStyle w:val="Yltunniste"/>
            <w:rPr>
              <w:color w:val="4472C4" w:themeColor="accent1"/>
              <w:sz w:val="24"/>
            </w:rPr>
          </w:pPr>
          <w:r>
            <w:rPr>
              <w:sz w:val="24"/>
            </w:rPr>
            <w:t>15</w:t>
          </w:r>
          <w:r w:rsidR="00901A6A">
            <w:rPr>
              <w:sz w:val="24"/>
            </w:rPr>
            <w:t>.05</w:t>
          </w:r>
          <w:r w:rsidR="005B2EFC" w:rsidRPr="00AD00DB">
            <w:rPr>
              <w:sz w:val="24"/>
            </w:rPr>
            <w:t>.201</w:t>
          </w:r>
          <w:r w:rsidR="00901A6A">
            <w:rPr>
              <w:sz w:val="24"/>
            </w:rPr>
            <w:t>8</w:t>
          </w:r>
        </w:p>
      </w:tc>
      <w:tc>
        <w:tcPr>
          <w:tcW w:w="1666" w:type="pct"/>
          <w:shd w:val="clear" w:color="auto" w:fill="auto"/>
        </w:tcPr>
        <w:p w:rsidR="005B2EFC" w:rsidRDefault="005B2EFC" w:rsidP="005B2EFC">
          <w:pPr>
            <w:pStyle w:val="Yltunniste"/>
            <w:jc w:val="right"/>
            <w:rPr>
              <w:color w:val="4472C4" w:themeColor="accent1"/>
              <w:sz w:val="24"/>
              <w:szCs w:val="24"/>
            </w:rPr>
          </w:pPr>
        </w:p>
      </w:tc>
    </w:tr>
  </w:tbl>
  <w:p w:rsidR="00FF1FE1" w:rsidRDefault="00FF1FE1">
    <w:pPr>
      <w:pStyle w:val="Yltunniste"/>
    </w:pPr>
  </w:p>
  <w:p w:rsidR="00FF1FE1" w:rsidRDefault="00FF1FE1">
    <w:pPr>
      <w:pStyle w:val="Yltunniste"/>
    </w:pPr>
  </w:p>
  <w:p w:rsidR="00EB757E" w:rsidRDefault="00EB757E">
    <w:pPr>
      <w:pStyle w:val="Yltunnist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87"/>
    <w:rsid w:val="00007A62"/>
    <w:rsid w:val="000B084E"/>
    <w:rsid w:val="00134DB0"/>
    <w:rsid w:val="001A7992"/>
    <w:rsid w:val="001F6D1C"/>
    <w:rsid w:val="0021606D"/>
    <w:rsid w:val="002322E7"/>
    <w:rsid w:val="00236A0B"/>
    <w:rsid w:val="00257558"/>
    <w:rsid w:val="00266F5C"/>
    <w:rsid w:val="00292A2B"/>
    <w:rsid w:val="00296422"/>
    <w:rsid w:val="002A306D"/>
    <w:rsid w:val="00312384"/>
    <w:rsid w:val="0031410D"/>
    <w:rsid w:val="00316BC6"/>
    <w:rsid w:val="00370E8A"/>
    <w:rsid w:val="00373644"/>
    <w:rsid w:val="00383A67"/>
    <w:rsid w:val="003D364E"/>
    <w:rsid w:val="003E5DFB"/>
    <w:rsid w:val="003E60BA"/>
    <w:rsid w:val="0045712A"/>
    <w:rsid w:val="00484D5D"/>
    <w:rsid w:val="00484DCE"/>
    <w:rsid w:val="004C1472"/>
    <w:rsid w:val="00516818"/>
    <w:rsid w:val="0053128D"/>
    <w:rsid w:val="0058356B"/>
    <w:rsid w:val="005B2EFC"/>
    <w:rsid w:val="005D491F"/>
    <w:rsid w:val="005F1987"/>
    <w:rsid w:val="00676D04"/>
    <w:rsid w:val="006802A0"/>
    <w:rsid w:val="006A13D6"/>
    <w:rsid w:val="006C0A3D"/>
    <w:rsid w:val="00754F72"/>
    <w:rsid w:val="00771DAC"/>
    <w:rsid w:val="00786CEB"/>
    <w:rsid w:val="007E15D4"/>
    <w:rsid w:val="00850FE1"/>
    <w:rsid w:val="00852A4E"/>
    <w:rsid w:val="008C3CA2"/>
    <w:rsid w:val="00901A6A"/>
    <w:rsid w:val="00950835"/>
    <w:rsid w:val="009604A5"/>
    <w:rsid w:val="009D6341"/>
    <w:rsid w:val="00A62991"/>
    <w:rsid w:val="00AD00DB"/>
    <w:rsid w:val="00AE3524"/>
    <w:rsid w:val="00B10BA5"/>
    <w:rsid w:val="00B31D69"/>
    <w:rsid w:val="00B340F5"/>
    <w:rsid w:val="00C01EB3"/>
    <w:rsid w:val="00C76037"/>
    <w:rsid w:val="00CA5326"/>
    <w:rsid w:val="00CF240A"/>
    <w:rsid w:val="00D01083"/>
    <w:rsid w:val="00D07A8F"/>
    <w:rsid w:val="00D36F88"/>
    <w:rsid w:val="00E07AEA"/>
    <w:rsid w:val="00EA4CD7"/>
    <w:rsid w:val="00EB757E"/>
    <w:rsid w:val="00EC5C74"/>
    <w:rsid w:val="00ED7E43"/>
    <w:rsid w:val="00F31372"/>
    <w:rsid w:val="00F53149"/>
    <w:rsid w:val="00F60087"/>
    <w:rsid w:val="00FB4B66"/>
    <w:rsid w:val="00FC651D"/>
    <w:rsid w:val="00FF1F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885F36-E0A4-419F-AA20-2DB20EC4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B757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757E"/>
  </w:style>
  <w:style w:type="paragraph" w:styleId="Alatunniste">
    <w:name w:val="footer"/>
    <w:basedOn w:val="Normaali"/>
    <w:link w:val="AlatunnisteChar"/>
    <w:uiPriority w:val="99"/>
    <w:unhideWhenUsed/>
    <w:rsid w:val="00EB75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757E"/>
  </w:style>
  <w:style w:type="character" w:styleId="Paikkamerkkiteksti">
    <w:name w:val="Placeholder Text"/>
    <w:basedOn w:val="Kappaleenoletusfontti"/>
    <w:uiPriority w:val="99"/>
    <w:semiHidden/>
    <w:rsid w:val="00EB757E"/>
    <w:rPr>
      <w:color w:val="808080"/>
    </w:rPr>
  </w:style>
  <w:style w:type="paragraph" w:styleId="Seliteteksti">
    <w:name w:val="Balloon Text"/>
    <w:basedOn w:val="Normaali"/>
    <w:link w:val="SelitetekstiChar"/>
    <w:uiPriority w:val="99"/>
    <w:semiHidden/>
    <w:unhideWhenUsed/>
    <w:rsid w:val="0021606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6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EB9D-94B8-4EA1-A2A1-0E2DEB81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718</Words>
  <Characters>5822</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Juho</dc:creator>
  <cp:keywords/>
  <dc:description/>
  <cp:lastModifiedBy>Ylisuutari Marisa</cp:lastModifiedBy>
  <cp:revision>2</cp:revision>
  <cp:lastPrinted>2018-05-16T06:14:00Z</cp:lastPrinted>
  <dcterms:created xsi:type="dcterms:W3CDTF">2018-05-16T06:43:00Z</dcterms:created>
  <dcterms:modified xsi:type="dcterms:W3CDTF">2018-05-16T06:43:00Z</dcterms:modified>
</cp:coreProperties>
</file>