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2" w:rsidRDefault="007B3F67">
      <w:bookmarkStart w:id="0" w:name="_GoBack"/>
      <w:bookmarkEnd w:id="0"/>
    </w:p>
    <w:p w:rsidR="002A6CD5" w:rsidRDefault="007B3F67"/>
    <w:p w:rsidR="002A6CD5" w:rsidRDefault="007B3F67" w:rsidP="0035265B">
      <w:pPr>
        <w:pStyle w:val="Vastaanottajatiedot"/>
      </w:pPr>
      <w:r>
        <w:t>Oikeusministeriö</w:t>
      </w:r>
    </w:p>
    <w:p w:rsidR="002A6CD5" w:rsidRDefault="007B3F67" w:rsidP="0035265B">
      <w:pPr>
        <w:pStyle w:val="Vastaanottajatiedot"/>
      </w:pPr>
    </w:p>
    <w:p w:rsidR="008C5E06" w:rsidRDefault="007B3F67"/>
    <w:p w:rsidR="002A6CD5" w:rsidRDefault="007B3F67" w:rsidP="0035265B">
      <w:pPr>
        <w:pStyle w:val="Vastaanottajatiedot"/>
      </w:pPr>
    </w:p>
    <w:p w:rsidR="002A6CD5" w:rsidRDefault="007B3F67" w:rsidP="0035265B">
      <w:pPr>
        <w:pStyle w:val="Vastaanottajatiedot"/>
      </w:pPr>
    </w:p>
    <w:p w:rsidR="002A6CD5" w:rsidRDefault="007B3F67"/>
    <w:p w:rsidR="00F874C0" w:rsidRDefault="007B3F67"/>
    <w:p w:rsidR="002A6CD5" w:rsidRDefault="007B3F67">
      <w:r>
        <w:t xml:space="preserve">Oikeusministeriön lausuntopyyntö </w:t>
      </w:r>
      <w:r>
        <w:t>OM 5/41/2013</w:t>
      </w:r>
    </w:p>
    <w:p w:rsidR="002A6CD5" w:rsidRDefault="007B3F67"/>
    <w:p w:rsidR="002A6CD5" w:rsidRDefault="007B3F67" w:rsidP="002A6CD5">
      <w:pPr>
        <w:pStyle w:val="Otsikko"/>
      </w:pPr>
      <w:r>
        <w:fldChar w:fldCharType="begin"/>
      </w:r>
      <w:r>
        <w:instrText xml:space="preserve"> DOCPROPERTY  sm_otsikko  \* MERGEFORMAT </w:instrText>
      </w:r>
      <w:r>
        <w:fldChar w:fldCharType="separate"/>
      </w:r>
      <w:proofErr w:type="gramStart"/>
      <w:r>
        <w:t>Sisäministeriön lausunto luonnoksesta hallituksen esitykseksi laiksi Euro</w:t>
      </w:r>
      <w:r>
        <w:t>o</w:t>
      </w:r>
      <w:r>
        <w:t xml:space="preserve">pan unionin jäsenvaltioista ja </w:t>
      </w:r>
      <w:proofErr w:type="spellStart"/>
      <w:r>
        <w:t>Eurojustilta</w:t>
      </w:r>
      <w:proofErr w:type="spellEnd"/>
      <w:r>
        <w:t xml:space="preserve"> rikosasiaa varten </w:t>
      </w:r>
      <w:r>
        <w:t>saatujen henkil</w:t>
      </w:r>
      <w:r>
        <w:t>ö</w:t>
      </w:r>
      <w:r>
        <w:t>tietojen käsittelystä oikeushallinnon viranomaisissa ja siihen liittyviksi laeiksi</w:t>
      </w:r>
      <w:r>
        <w:fldChar w:fldCharType="end"/>
      </w:r>
      <w:proofErr w:type="gramEnd"/>
    </w:p>
    <w:p w:rsidR="002B7A5A" w:rsidRDefault="007B3F67" w:rsidP="00251463">
      <w:pPr>
        <w:pStyle w:val="Leipteksti"/>
        <w:jc w:val="both"/>
      </w:pPr>
      <w:r>
        <w:t>Oikeusministeriö on pyytänyt sisäministeriöltä lausuntoa otsikossa mainitusta hallitu</w:t>
      </w:r>
      <w:r>
        <w:t>k</w:t>
      </w:r>
      <w:r>
        <w:t>sen esitysluonnoksesta. Lakiehdotuksilla pantaisiin täytäntöön ns. I</w:t>
      </w:r>
      <w:r>
        <w:t>II pilarin ti</w:t>
      </w:r>
      <w:r>
        <w:t>e</w:t>
      </w:r>
      <w:r>
        <w:t>tosuojapuitepäätöksen lainsäädännön alaan kuuluvat vaatimukset oikeusministeriön hallinnonalalla. Sisäministeriö toteaa, että hallituksen esityksen luonnoksen sovelt</w:t>
      </w:r>
      <w:r>
        <w:t>a</w:t>
      </w:r>
      <w:r>
        <w:t>misala koskee pelkästään oikeushallinnon viranomaisia. Neuvoston puitepäätök</w:t>
      </w:r>
      <w:r>
        <w:t>sen (2008/977/YOS) säännökset vastaavat asiallisesti suurelta osin henkilötietodirektiivin (95/46/EY) ja sen kansallisesti täytäntöönpanevien säännösten määräyksiä, mutta puitepäätös sisältää erityissäännökset rikosasioihin liittyvien henkilötietojen käsit</w:t>
      </w:r>
      <w:r>
        <w:t>tely</w:t>
      </w:r>
      <w:r>
        <w:t>s</w:t>
      </w:r>
      <w:r>
        <w:t>tä. Esityksen mukaan puitepäätöksessä tarkoitettujen tietojen käsittely on mahdollista myös rikosten torjumista varten. Oikeushallinnon alalla ei kuitenkaan ole rikosten to</w:t>
      </w:r>
      <w:r>
        <w:t>r</w:t>
      </w:r>
      <w:r>
        <w:t>jumiseen (estämiseen) liittyviä toimivaltuuksia. Hallituksen esityksen peruste</w:t>
      </w:r>
      <w:r>
        <w:t xml:space="preserve">luissa olisi hyvä tarkentaa, mitä rikosten torjumisella oikeushallinnon alalla tarkoitetaan. </w:t>
      </w:r>
    </w:p>
    <w:p w:rsidR="002B7A5A" w:rsidRDefault="007B3F67" w:rsidP="00251463">
      <w:pPr>
        <w:pStyle w:val="Leipteksti"/>
        <w:jc w:val="both"/>
      </w:pPr>
      <w:r>
        <w:t>Edellä mainittu huomioon ottaen sisäministeriö toteaa, että puitepäätös on myös pa</w:t>
      </w:r>
      <w:r>
        <w:t>n</w:t>
      </w:r>
      <w:r>
        <w:t>tu erikseen täytäntöön poliisin, rajavartiolaitoksen ja tullin suorittaman henk</w:t>
      </w:r>
      <w:r>
        <w:t>ilötietojen käsittelyn osalta. Sisäministeriö kiinnittää kuitenkin huomiota siihen, että henkilötiet</w:t>
      </w:r>
      <w:r>
        <w:t>o</w:t>
      </w:r>
      <w:r>
        <w:t>lain säännösten muutoksilla voi olla osittain vaikutuksia myös sisäministeriön halli</w:t>
      </w:r>
      <w:r>
        <w:t>n</w:t>
      </w:r>
      <w:r>
        <w:t>nonalan henkilötietojen käsittelyyn, mukaan lukien henkilötietojen käs</w:t>
      </w:r>
      <w:r>
        <w:t>ittelystä poliis</w:t>
      </w:r>
      <w:r>
        <w:t>i</w:t>
      </w:r>
      <w:r>
        <w:t>toimessa annetun lain (761/2003, ”poliisin henkilörekisterilaki”) soveltaminen. Ehdot</w:t>
      </w:r>
      <w:r>
        <w:t>e</w:t>
      </w:r>
      <w:r>
        <w:t>tulla 27 §:n muutoksella ei vaikuttaisi olevan vaikutuksia poliisin suorittamaan henkil</w:t>
      </w:r>
      <w:r>
        <w:t>ö</w:t>
      </w:r>
      <w:r>
        <w:t>tietojen käsittelyyn. Ehdotetun henkilötietolain 28 §:n ja 29 §:n</w:t>
      </w:r>
      <w:r>
        <w:t xml:space="preserve"> tarkistuksilla on yhteys poliisin henkilörekisterilain 44 §:n soveltamiseen. Poliisihallinnossa noudatetaan ku</w:t>
      </w:r>
      <w:r>
        <w:t>i</w:t>
      </w:r>
      <w:r>
        <w:t>tenkin jo nyt menettelyä, jossa kieltäytymistodistuksiin sisällytetään tieto siitä, että r</w:t>
      </w:r>
      <w:r>
        <w:t>e</w:t>
      </w:r>
      <w:r>
        <w:t>kisteröidyllä on oikeus saattaa asia tietosuojavaltuu</w:t>
      </w:r>
      <w:r>
        <w:t xml:space="preserve">tetun käsiteltäväksi. </w:t>
      </w:r>
      <w:r>
        <w:t>Niin ikään r</w:t>
      </w:r>
      <w:r>
        <w:t>e</w:t>
      </w:r>
      <w:r>
        <w:t>kisteröidyn informointivelvoite toteutuu Rajavartiolaitoksessa osittain jo nykyisin erity</w:t>
      </w:r>
      <w:r>
        <w:t>i</w:t>
      </w:r>
      <w:r>
        <w:t>sesti tarkastusoikeuden epäämistä koskevissa asioissa. Rajavartiolaitoksen henkil</w:t>
      </w:r>
      <w:r>
        <w:t>ö</w:t>
      </w:r>
      <w:r>
        <w:t xml:space="preserve">tietolain 41 §:n 2 momentin mukaan rekisteröidyn </w:t>
      </w:r>
      <w:r>
        <w:t>on tarkastusoikeuttaan käyttäe</w:t>
      </w:r>
      <w:r>
        <w:t>s</w:t>
      </w:r>
      <w:r>
        <w:t>sään esitettävä tätä tarkoittava pyyntö henkilökohtaisesti ja todistettava henkilöllisy</w:t>
      </w:r>
      <w:r>
        <w:t>y</w:t>
      </w:r>
      <w:r>
        <w:t>tensä. Käytännössä tämä edellyttää käyntiä Rajavartiolaitoksen toimipisteessä, jossa on nähtävillä tarkastusoikeuden toteuttamiseen liitt</w:t>
      </w:r>
      <w:r>
        <w:t>yvä ohjeistus, mukaan lukien tieto oikeudesta saattaa asia tietosuojavaltuutetun käsiteltäväksi. Rajavartiolaitoksen sisä</w:t>
      </w:r>
      <w:r>
        <w:t>i</w:t>
      </w:r>
      <w:r>
        <w:t>sen määräyksen mukaisesti tietosuojavaltuutetulle osoitettu pyyntö on mahdollista o</w:t>
      </w:r>
      <w:r>
        <w:t>t</w:t>
      </w:r>
      <w:r>
        <w:t>taa vastaan Rajavartiolaitoksen toimipisteessä, ja</w:t>
      </w:r>
      <w:r>
        <w:t xml:space="preserve"> se on välitettävä viipymättä ede</w:t>
      </w:r>
      <w:r>
        <w:t>l</w:t>
      </w:r>
      <w:r>
        <w:t xml:space="preserve">leen tietosuojavaltuutetulle. </w:t>
      </w:r>
      <w:r>
        <w:t>Sisäministeriön arvion mukaan valitusoikeuden nime</w:t>
      </w:r>
      <w:r>
        <w:t>n</w:t>
      </w:r>
      <w:r>
        <w:t>omaisella lisäämisellä henkilötietolain 28 §:ään ei siten ole erityisiä vaikutuksia poli</w:t>
      </w:r>
      <w:r>
        <w:t>i</w:t>
      </w:r>
      <w:r>
        <w:t>sin suorittamaan henkilötietojen käsittelyyn. Sisämi</w:t>
      </w:r>
      <w:r>
        <w:t>nisteriö pitää oikeusministeriön t</w:t>
      </w:r>
      <w:r>
        <w:t>a</w:t>
      </w:r>
      <w:r>
        <w:t>voin perusteltuna sitä, että puitepäätöksen sisältämät yleisesti sovellettavat henkil</w:t>
      </w:r>
      <w:r>
        <w:t>ö</w:t>
      </w:r>
      <w:r>
        <w:t>ti</w:t>
      </w:r>
      <w:r>
        <w:t>e</w:t>
      </w:r>
      <w:r>
        <w:t>tojen käsittelyä koskevat periaatteet huomioidaan henkilötietolaissa.</w:t>
      </w:r>
    </w:p>
    <w:p w:rsidR="002B7A5A" w:rsidRDefault="007B3F67" w:rsidP="00251463">
      <w:pPr>
        <w:pStyle w:val="Leipteksti"/>
        <w:jc w:val="both"/>
      </w:pPr>
      <w:r>
        <w:t>Yleisperusteluissa ja keskeisissä ehdotuksissa (s. 13) tuodaan</w:t>
      </w:r>
      <w:r>
        <w:t xml:space="preserve"> esiin EU:n tietosuoj</w:t>
      </w:r>
      <w:r>
        <w:t>a</w:t>
      </w:r>
      <w:r>
        <w:t>lainsäädännön uudistuksen huomioiminen. Sisäministeriö pitää myös perusteltuna odottaa uudistusta eräiden yleisesti sovellettavien säännösten tarkistamisen osalta erityisesti siltä osin kuin tietosuojapuitepäätöksen periaatteet on ole</w:t>
      </w:r>
      <w:r>
        <w:t xml:space="preserve">ellisilta osin jo </w:t>
      </w:r>
      <w:r>
        <w:lastRenderedPageBreak/>
        <w:t>huomioitu Suomen kansallisessa lainsäädännössä. Sisäministeriö esittää kuitenkin harkittavaksi, pitäisikö perusteluissa tarkentaa, että tietosuojalainsäädännön uudi</w:t>
      </w:r>
      <w:r>
        <w:t>s</w:t>
      </w:r>
      <w:r>
        <w:t>tuksen yhteydessä tarkastellaan kokonaisvaltaisesti sen soveltamista kans</w:t>
      </w:r>
      <w:r>
        <w:t>alliseen henkilötietojen käsittelyyn siltä osin kuin on kyse direktiiviehdotuksen soveltamisala</w:t>
      </w:r>
      <w:r>
        <w:t>s</w:t>
      </w:r>
      <w:r>
        <w:t>ta, mukaan lukien sekä oikeusministeriön että sisäministeriön hallinnonala. Lisäksi eräiden puitepäätöksen artiklojen ja kohtien osalta sisäministeriö esittää h</w:t>
      </w:r>
      <w:r>
        <w:t>arkittavaksi täytäntöönpanoa jo nyt alla mainituin perusteluin.</w:t>
      </w:r>
    </w:p>
    <w:p w:rsidR="002B7A5A" w:rsidRDefault="007B3F67" w:rsidP="00251463">
      <w:pPr>
        <w:pStyle w:val="Leipteksti"/>
        <w:jc w:val="both"/>
      </w:pPr>
      <w:r>
        <w:t>Ehdotuksen mukaan puitepäätöksen 2 artiklaan sisältyvien tietojen suojaamisen ja anonymisoinnin määritelmien täytäntöönpano ei edellytä erityisiä toimia. Ehdotuksen mukaisesti sisäministeriö e</w:t>
      </w:r>
      <w:r>
        <w:t>i pidä myöskään välttämättömänä huomioida anonymisoi</w:t>
      </w:r>
      <w:r>
        <w:t>n</w:t>
      </w:r>
      <w:r>
        <w:t>tia tietojen poistamisen ja oikaisun vaihtoehtona. Sisäministeriö kuitenkin esittää ha</w:t>
      </w:r>
      <w:r>
        <w:t>r</w:t>
      </w:r>
      <w:r>
        <w:t>kittavaksi puitepäätöksen 4 artiklan 3 kohdan mukaisen tietojen suojaamisvaatimu</w:t>
      </w:r>
      <w:r>
        <w:t>k</w:t>
      </w:r>
      <w:r>
        <w:t>sen nimenomaista huomioimista ehdot</w:t>
      </w:r>
      <w:r>
        <w:t>etussa 5 §:ssä tai henkilötietolaissa siitä hu</w:t>
      </w:r>
      <w:r>
        <w:t>o</w:t>
      </w:r>
      <w:r>
        <w:t>limatta, että tällainen vaatimus sisältyy tietoturvallisuusasetukseen. Sisäministeriö kiinnittää huomiota siihen, että henkilötietolaissa tietojen suojaamisella tarkoitetaan puitepäätöksen suomenkielisestä ver</w:t>
      </w:r>
      <w:r>
        <w:t>siosta poiketen ensisijaisesti järjestelmän ehe</w:t>
      </w:r>
      <w:r>
        <w:t>y</w:t>
      </w:r>
      <w:r>
        <w:t>den ja tietoturvan varmistamista. Henkilötietolaista vaikuttaisi puuttuvan yleisesti s</w:t>
      </w:r>
      <w:r>
        <w:t>o</w:t>
      </w:r>
      <w:r>
        <w:t xml:space="preserve">vellettava säännös virheellisten tietojen merkinnästä tai muunlaisesta niiden käsittelyn rajoittamisesta. Sisäministeriö </w:t>
      </w:r>
      <w:r>
        <w:t>pitää tätä mahdollisuutta yleisenä henkilötietojen käsi</w:t>
      </w:r>
      <w:r>
        <w:t>t</w:t>
      </w:r>
      <w:r>
        <w:t>telyä koskevana kysymyksenä, joka on huomioitu poliisin henkilörekisterilain 27 §:ssä virheellisten tietojen säilyttämisen mahdollisuutena. Käsittelyn turvallisuudesta sääd</w:t>
      </w:r>
      <w:r>
        <w:t>e</w:t>
      </w:r>
      <w:r>
        <w:t>tään erikseen puitepäätökse</w:t>
      </w:r>
      <w:r>
        <w:t>n 22 artiklassa, joka on jo pantu täytäntöön henkilötiet</w:t>
      </w:r>
      <w:r>
        <w:t>o</w:t>
      </w:r>
      <w:r>
        <w:t>lain säännöksillä. Henkilötietojen käsittelyn ja yksilön oikeuksien näkökulmasta vi</w:t>
      </w:r>
      <w:r>
        <w:t>r</w:t>
      </w:r>
      <w:r>
        <w:t>heellisten tietojen oikaiseminen tai korjaaminen, tai tarpeettomien tietojen poistam</w:t>
      </w:r>
      <w:r>
        <w:t>i</w:t>
      </w:r>
      <w:r>
        <w:t>nen mahdollisimman nopeasti, k</w:t>
      </w:r>
      <w:r>
        <w:t>un virheellisiä tietoja ei tarvita enää rekisteröidyn o</w:t>
      </w:r>
      <w:r>
        <w:t>i</w:t>
      </w:r>
      <w:r>
        <w:t>keutettujen etujen suojaamiseksi, on ensisijainen vaihtoehto. Joissakin tilanteissa vi</w:t>
      </w:r>
      <w:r>
        <w:t>r</w:t>
      </w:r>
      <w:r>
        <w:t>heellisten tietojen merkinnällä ja niiden säilyttämisellä oikeiden tietojen ohella voi olla kuitenkin merkitystä,</w:t>
      </w:r>
      <w:r>
        <w:t xml:space="preserve"> esimerkiksi jos virheelliset tiedot ovat jo vaikuttaneet rekist</w:t>
      </w:r>
      <w:r>
        <w:t>e</w:t>
      </w:r>
      <w:r>
        <w:t>röidyn henkilön oikeusasemaan tai jos ne ovat tarpeen henkilörekisteririkoksen selvi</w:t>
      </w:r>
      <w:r>
        <w:t>t</w:t>
      </w:r>
      <w:r>
        <w:t>tämiseksi. Perusteluissa ei ehdoteta myöskään uutta sääntelyä 18 artiklan 2 kohdan täytäntöönpanoa varten.</w:t>
      </w:r>
      <w:r>
        <w:t xml:space="preserve"> Sisäministeriö katsoo, että virheellisyysmerkinnän mahdoll</w:t>
      </w:r>
      <w:r>
        <w:t>i</w:t>
      </w:r>
      <w:r>
        <w:t>suudella olisi merkitystä sekä puitepäätöksen 4 artiklan 3 kohdan, 12 artiklan ja 18 a</w:t>
      </w:r>
      <w:r>
        <w:t>r</w:t>
      </w:r>
      <w:r>
        <w:t xml:space="preserve">tiklan täytäntöönpanon kannalta. </w:t>
      </w:r>
    </w:p>
    <w:p w:rsidR="002B7A5A" w:rsidRDefault="007B3F67" w:rsidP="00251463">
      <w:pPr>
        <w:pStyle w:val="Leipteksti"/>
        <w:jc w:val="both"/>
      </w:pPr>
      <w:r>
        <w:t>Jos tietojen suojaamisen mahdollisuus ja mahdollisuus käyttörajoitusmerkint</w:t>
      </w:r>
      <w:r>
        <w:t>öihin huomioidaan puitepäätöksen täytäntöönpanossa, olisi hyvä kuitenkin varmistaa a</w:t>
      </w:r>
      <w:r>
        <w:t>i</w:t>
      </w:r>
      <w:r>
        <w:t>heutuisiko siitä tarpeita toteuttaa tietojärjestelmien muutoksia, joilla voisi olla kusta</w:t>
      </w:r>
      <w:r>
        <w:t>n</w:t>
      </w:r>
      <w:r>
        <w:t>nusvaikutuksia. Sisäministeriö kiinnittää huomiota siihen, että ehdotetun täytänt</w:t>
      </w:r>
      <w:r>
        <w:t>öö</w:t>
      </w:r>
      <w:r>
        <w:t>n</w:t>
      </w:r>
      <w:r>
        <w:t>panolain 9 §:n perusteluista ei käy ilmi, pitäisikö jatkossa esim. poliisinkin tehdä omiin järjestelmiinsä vastaavasti tietojen yhteyteen käyttörajoituksia koskevia merkintöjä sellaisissa tapauksissa, joissa oikeushallinto luovuttaa poliisille rekistere</w:t>
      </w:r>
      <w:r>
        <w:t>istään ede</w:t>
      </w:r>
      <w:r>
        <w:t>l</w:t>
      </w:r>
      <w:r>
        <w:t>leen käyttörajoitettuja tietoja, ja poikkeaisiko tämä velvoite poliisin henkilörekisterilain 27 §:n mukaisista menettelyistä, jolloin virheelliset tiedot säilytetään korjattujen tiet</w:t>
      </w:r>
      <w:r>
        <w:t>o</w:t>
      </w:r>
      <w:r>
        <w:t>jen ohella. Tältä osin on huomioitava, että mahdollisuus tai v</w:t>
      </w:r>
      <w:r>
        <w:t>elvollisuus käyttörajoitu</w:t>
      </w:r>
      <w:r>
        <w:t>k</w:t>
      </w:r>
      <w:r>
        <w:t>sia koskeviin merkintöihin voisi edellyttää muutostöitä poliisin tai muidenkin lainva</w:t>
      </w:r>
      <w:r>
        <w:t>l</w:t>
      </w:r>
      <w:r>
        <w:t>vontaviranomaisten tietojärjestelmiin siinä tapauksessa, että rajoitusmerkintöjä ei ole mahdollista tehdä olemassa olevilla toiminnoilla (esimer</w:t>
      </w:r>
      <w:r>
        <w:t>kiksi vapaat tekstikentät). Ti</w:t>
      </w:r>
      <w:r>
        <w:t>e</w:t>
      </w:r>
      <w:r>
        <w:t>tojärjestelmämuutoksista voi aiheutua huomattaviakin kustannuksia siitä riippuen, minkälaisten tietojen käyttöä rajoitetaan.</w:t>
      </w:r>
    </w:p>
    <w:p w:rsidR="002B7A5A" w:rsidRDefault="007B3F67" w:rsidP="00251463">
      <w:pPr>
        <w:pStyle w:val="Leipteksti"/>
        <w:jc w:val="both"/>
      </w:pPr>
      <w:r>
        <w:t>Arkaluonteisia tietoja koskevan 6 artiklan osalta sisäministeriö kiinnittää huomiota e</w:t>
      </w:r>
      <w:r>
        <w:t>h</w:t>
      </w:r>
      <w:r>
        <w:t>dotetun 6 §:n</w:t>
      </w:r>
      <w:r>
        <w:t xml:space="preserve"> sanamuotoon ”ehdottoman välttämätöntä”. Artiklaa vastaavassa poliisin henkilörekisterilain 10 §:ssä on tehty ero tarpeellisuus- ja välttämättömyyskriteerien välillä. Puitepäätöksen suomenkielisen version sana ”ehdottoman” vaikuttaisi peru</w:t>
      </w:r>
      <w:r>
        <w:t>s</w:t>
      </w:r>
      <w:r>
        <w:t>tuvan sen englan</w:t>
      </w:r>
      <w:r>
        <w:t>ninkieliseen versioon, jossa on tarpeen korostustarkoituksessa lisätä tehostesana ”absolutely”, koska englannin kielessä ei ole mahdollista tehdä muutoin vastaavaa eroa kuin suomen kielessä. Sisäministeriö esittää sanan ”ehdottoman” poistamista, ottaen huo</w:t>
      </w:r>
      <w:r>
        <w:t>mioon, että pelkkä ”välttämätön” kertoo suomen kielessä s</w:t>
      </w:r>
      <w:r>
        <w:t>a</w:t>
      </w:r>
      <w:r>
        <w:t>man kuin ”absolutely necessary”. Näin sanamuoto olisi myös yhdenmukainen muun kansallisen lainsäädännön kanssa. Sisäministeriö kiinnittää lisäksi huomiota siihen, että ehdotetun täytäntöönpanolain 5</w:t>
      </w:r>
      <w:r>
        <w:t xml:space="preserve"> §:ssä ja 8 §:ssä käytetään puitepäätöksen va</w:t>
      </w:r>
      <w:r>
        <w:t>s</w:t>
      </w:r>
      <w:r>
        <w:t>taavien artiklojen tavoin ilmaisuja ”rekisteröidyn oikeutettu etu” ja ”rekisteröidyn oike</w:t>
      </w:r>
      <w:r>
        <w:t>u</w:t>
      </w:r>
      <w:r>
        <w:lastRenderedPageBreak/>
        <w:t>tettu erityinen etu”. Näiden osalta perusteluista ei ilmene, mikä tekee tietystä oikeut</w:t>
      </w:r>
      <w:r>
        <w:t>e</w:t>
      </w:r>
      <w:r>
        <w:t>tusta edusta erityisen. Perustel</w:t>
      </w:r>
      <w:r>
        <w:t>uja olisi hyvä täydentää tältä osin.</w:t>
      </w:r>
    </w:p>
    <w:p w:rsidR="002B7A5A" w:rsidRDefault="007B3F67" w:rsidP="00251463">
      <w:pPr>
        <w:pStyle w:val="Leipteksti"/>
        <w:jc w:val="both"/>
      </w:pPr>
      <w:r>
        <w:t>Ehdotuksen mukaan puitepäätöksen 8 artikla ei edellytä kansallisia täytäntöönpan</w:t>
      </w:r>
      <w:r>
        <w:t>o</w:t>
      </w:r>
      <w:r>
        <w:t>toimia. Ottaen huomioon, että artikla koskee erityisesti siirrettyjä tai saataville asete</w:t>
      </w:r>
      <w:r>
        <w:t>t</w:t>
      </w:r>
      <w:r>
        <w:t>tuja tietoja, ja henkilötietolain 9 §:stä puuttu</w:t>
      </w:r>
      <w:r>
        <w:t>u vastaava luovutettujen tietojen siirtäjälle tehtävä ilmoitus virheellisistä tiedoista tai lainvastaisesti siirretyistä tiedoista, sisäm</w:t>
      </w:r>
      <w:r>
        <w:t>i</w:t>
      </w:r>
      <w:r>
        <w:t>nisteriö esittää täytäntöönpanolakiin lisättäväksi tällaisen vaatimuksen viipymättä te</w:t>
      </w:r>
      <w:r>
        <w:t>h</w:t>
      </w:r>
      <w:r>
        <w:t>tävästä ilmoituksesta. Näin hen</w:t>
      </w:r>
      <w:r>
        <w:t>kilötietolaissa tarkoitettu virheettömyysvaatimus tote</w:t>
      </w:r>
      <w:r>
        <w:t>u</w:t>
      </w:r>
      <w:r>
        <w:t>tuu myös rajat ylittävässä henkilötietojen käsittelytilanteessa. Sisäministeriö pitää tätä erityisen tärkeänä silloin, kun kyse on henkilörekistereistä, joihin rekisteröidyllä on r</w:t>
      </w:r>
      <w:r>
        <w:t>a</w:t>
      </w:r>
      <w:r>
        <w:t>joitettu tarkastusoi</w:t>
      </w:r>
      <w:r>
        <w:t>keus tai se puuttuu, jolloin turvataan rekisteröidyn oikeutettujen et</w:t>
      </w:r>
      <w:r>
        <w:t>u</w:t>
      </w:r>
      <w:r>
        <w:t>jen suojaaminen. Ilmoitusvelvollisuudella on merkitystä myös puitepäätöksen 12 §:n soveltamistarkoituksessa. Ainakin ilmoitusvelvollisuus olisi hyvä tuoda esiin perust</w:t>
      </w:r>
      <w:r>
        <w:t>e</w:t>
      </w:r>
      <w:r>
        <w:t>luissa, mutta nime</w:t>
      </w:r>
      <w:r>
        <w:t>nomainen maininta henkilötietolaissa olisi parempi, ottaen huom</w:t>
      </w:r>
      <w:r>
        <w:t>i</w:t>
      </w:r>
      <w:r>
        <w:t>oon, että velvoitetta ei ole nimenomaisesti sisällytetty myöskään poliisin henkilöreki</w:t>
      </w:r>
      <w:r>
        <w:t>s</w:t>
      </w:r>
      <w:r>
        <w:t xml:space="preserve">terilakiin. (Sivulla 26 olevalla viittauksella täytäntöönpanolain 8 §:ään tarkoitettaneen 9 §:ää.) </w:t>
      </w:r>
    </w:p>
    <w:p w:rsidR="002B7A5A" w:rsidRDefault="007B3F67" w:rsidP="00251463">
      <w:pPr>
        <w:pStyle w:val="Leipteksti"/>
        <w:jc w:val="both"/>
      </w:pPr>
      <w:r>
        <w:t>Puite</w:t>
      </w:r>
      <w:r>
        <w:t>päätöksen 23 artiklan täytäntöönpanoa varten ei ehdoteta uusia säännöksiä. Velvoitteet vaikuttavat sisältyvän henkilötietolain 41 §:n ja siinä viitattuihin säännö</w:t>
      </w:r>
      <w:r>
        <w:t>k</w:t>
      </w:r>
      <w:r>
        <w:t>siin ja uuden tyyppisestä henkilötietojen käsittelystä tulee kuulla tietosuojaviranoma</w:t>
      </w:r>
      <w:r>
        <w:t>i</w:t>
      </w:r>
      <w:r>
        <w:t>sia. V</w:t>
      </w:r>
      <w:r>
        <w:t>aikka 23 artiklan b alakohdan vaatimukset sisältyvätkin henkilötietolakiin yksity</w:t>
      </w:r>
      <w:r>
        <w:t>i</w:t>
      </w:r>
      <w:r>
        <w:t>syyteen ja perusoikeuksiin puuttumisen näkökulmasta, sisäministeriö esittää säänt</w:t>
      </w:r>
      <w:r>
        <w:t>e</w:t>
      </w:r>
      <w:r>
        <w:t>lyä selkiytettäväksi tarkistamalla henkilötietolain 41 §:n säännöksiä siten, että niihin l</w:t>
      </w:r>
      <w:r>
        <w:t>i</w:t>
      </w:r>
      <w:r>
        <w:t>s</w:t>
      </w:r>
      <w:r>
        <w:t>ätään viittaus uudentyyppisistä menettelyistä yhtenä perusteena kuulla tietosuojav</w:t>
      </w:r>
      <w:r>
        <w:t>i</w:t>
      </w:r>
      <w:r>
        <w:t xml:space="preserve">ranomaisia. </w:t>
      </w:r>
    </w:p>
    <w:p w:rsidR="002B7A5A" w:rsidRDefault="007B3F67" w:rsidP="00251463">
      <w:pPr>
        <w:pStyle w:val="Leipteksti"/>
        <w:jc w:val="both"/>
      </w:pPr>
      <w:r>
        <w:t>Sisäministeriö kiinnittää lisäksi huomiota ehdotetun täytäntöönpanolain ja kansainv</w:t>
      </w:r>
      <w:r>
        <w:t>ä</w:t>
      </w:r>
      <w:r>
        <w:t>lisestä oikeusavusta rikosasioissa annetun lain (4/1991) väliseen suhteeseen</w:t>
      </w:r>
      <w:r>
        <w:t>. Esity</w:t>
      </w:r>
      <w:r>
        <w:t>s</w:t>
      </w:r>
      <w:r>
        <w:t>luonnos sijoittuu myös kansainvälisen rikosoikeusavun alalle, ottaen huomioon, että rikosoikeusapupyynnöissä ja niihin annetuissa vastauksissa käsitellään henkilötietoja. Ehdotetun täytäntöönpanolain 11 § sisältää poikkeuksen henkilötietolain 24 §:</w:t>
      </w:r>
      <w:r>
        <w:t>n m</w:t>
      </w:r>
      <w:r>
        <w:t>u</w:t>
      </w:r>
      <w:r>
        <w:t>kaiseen rekisterinpitäjän velvollisuuteen informoida rekisteröityä tietojen käsittelystä. Vastaava poikkeus sisältyy myös rikosoikeusapulakiin, jolloin näiden säännösten suhdetta voisi selkiyttää, jos yleis- ja erityislain keskinäistä soveltamisalaa ta</w:t>
      </w:r>
      <w:r>
        <w:t>rkenne</w:t>
      </w:r>
      <w:r>
        <w:t>t</w:t>
      </w:r>
      <w:r>
        <w:t>taisiin täytäntöönpanolain 11 §:n perusteluissa.</w:t>
      </w:r>
    </w:p>
    <w:p w:rsidR="00CF11FD" w:rsidRDefault="007B3F67" w:rsidP="00251463">
      <w:pPr>
        <w:pStyle w:val="Leipteksti"/>
        <w:jc w:val="both"/>
      </w:pPr>
      <w:r>
        <w:t>Lisätietoja sisäministeriön lausunnosta antavat tarvittaessa poliisitoimen osalta ylita</w:t>
      </w:r>
      <w:r>
        <w:t>r</w:t>
      </w:r>
      <w:r>
        <w:t xml:space="preserve">kastaja Virpi Koivu ja rajavartiotoimen osalta ylitarkastaja Anne Ihanus. </w:t>
      </w:r>
    </w:p>
    <w:p w:rsidR="00251463" w:rsidRDefault="007B3F67" w:rsidP="00251463">
      <w:pPr>
        <w:pStyle w:val="Leipteksti"/>
        <w:jc w:val="both"/>
      </w:pPr>
    </w:p>
    <w:p w:rsidR="00CF11FD" w:rsidRDefault="007B3F67" w:rsidP="002A6CD5">
      <w:pPr>
        <w:pStyle w:val="Leipteksti"/>
      </w:pPr>
      <w:r>
        <w:t>Kansliapäällikkö</w:t>
      </w:r>
      <w:r>
        <w:tab/>
      </w:r>
      <w:r>
        <w:t>Päivi Nerg</w:t>
      </w:r>
    </w:p>
    <w:p w:rsidR="00CF11FD" w:rsidRDefault="007B3F67" w:rsidP="00CF11FD">
      <w:pPr>
        <w:pStyle w:val="Leipteksti"/>
      </w:pPr>
    </w:p>
    <w:p w:rsidR="00CF11FD" w:rsidRDefault="007B3F67" w:rsidP="00CF11FD">
      <w:pPr>
        <w:pStyle w:val="Leipteksti"/>
      </w:pPr>
      <w:r>
        <w:t>Ylitark</w:t>
      </w:r>
      <w:r>
        <w:t>astaja</w:t>
      </w:r>
      <w:r>
        <w:tab/>
      </w:r>
      <w:r>
        <w:t>Hanne Huvila</w:t>
      </w:r>
    </w:p>
    <w:p w:rsidR="008C5E06" w:rsidRDefault="007B3F67" w:rsidP="00CF11FD">
      <w:pPr>
        <w:pStyle w:val="Leipteksti"/>
      </w:pPr>
    </w:p>
    <w:p w:rsidR="00CF11FD" w:rsidRDefault="007B3F67" w:rsidP="00CF11FD">
      <w:pPr>
        <w:pStyle w:val="Leipteksti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 xml:space="preserve">Asiakirja on sähköisesti allekirjoitettu asianhallintajärjestelmässä. Sisäministeriö SM </w:t>
      </w:r>
      <w:proofErr w:type="gramStart"/>
      <w:r>
        <w:t>31.08.2015</w:t>
      </w:r>
      <w:proofErr w:type="gramEnd"/>
      <w:r>
        <w:t xml:space="preserve"> klo 15:50. Allekirjoituksen oikeellisuuden voi todentaa kirjaamosta.</w:t>
      </w:r>
      <w:r>
        <w:fldChar w:fldCharType="end"/>
      </w:r>
    </w:p>
    <w:p w:rsidR="00CF11FD" w:rsidRDefault="007B3F67" w:rsidP="00F874C0">
      <w:pPr>
        <w:pStyle w:val="Leipteksti"/>
      </w:pPr>
    </w:p>
    <w:p w:rsidR="008C5E06" w:rsidRDefault="007B3F67" w:rsidP="00F874C0">
      <w:pPr>
        <w:pStyle w:val="Leipteksti"/>
      </w:pPr>
    </w:p>
    <w:tbl>
      <w:tblPr>
        <w:tblStyle w:val="Eireunaviivaa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7761"/>
      </w:tblGrid>
      <w:tr w:rsidR="003002F4" w:rsidTr="00CF11FD">
        <w:trPr>
          <w:trHeight w:val="556"/>
        </w:trPr>
        <w:tc>
          <w:tcPr>
            <w:tcW w:w="2608" w:type="dxa"/>
          </w:tcPr>
          <w:p w:rsidR="00CF11FD" w:rsidRPr="00242B73" w:rsidRDefault="007B3F67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Tiedoksi</w:t>
            </w:r>
          </w:p>
        </w:tc>
        <w:tc>
          <w:tcPr>
            <w:tcW w:w="7761" w:type="dxa"/>
          </w:tcPr>
          <w:p w:rsidR="00CF11FD" w:rsidRDefault="007B3F67" w:rsidP="00CF11FD">
            <w:r>
              <w:t>Sisäministeri Orpo</w:t>
            </w:r>
          </w:p>
          <w:p w:rsidR="00251463" w:rsidRDefault="007B3F67" w:rsidP="00CF11FD">
            <w:r>
              <w:t>Erityisavustajat Kortelainen ja Valkonen</w:t>
            </w:r>
          </w:p>
          <w:p w:rsidR="00251463" w:rsidRDefault="007B3F67" w:rsidP="00CF11FD">
            <w:r>
              <w:t>ylitarkastaja Koivu</w:t>
            </w:r>
          </w:p>
          <w:p w:rsidR="00251463" w:rsidRPr="00242B73" w:rsidRDefault="007B3F67" w:rsidP="00CF11FD">
            <w:pPr>
              <w:rPr>
                <w:sz w:val="20"/>
                <w:szCs w:val="20"/>
              </w:rPr>
            </w:pPr>
            <w:r>
              <w:t>ylitarkastaja Ihanus</w:t>
            </w:r>
          </w:p>
        </w:tc>
      </w:tr>
    </w:tbl>
    <w:p w:rsidR="00162585" w:rsidRDefault="007B3F67" w:rsidP="00162585"/>
    <w:p w:rsidR="00D76923" w:rsidRDefault="007B3F67"/>
    <w:p w:rsidR="0035265B" w:rsidRDefault="007B3F67"/>
    <w:p w:rsidR="008C5E06" w:rsidRPr="00162585" w:rsidRDefault="007B3F67" w:rsidP="00D76923"/>
    <w:sectPr w:rsidR="008C5E06" w:rsidRPr="00162585" w:rsidSect="002208F1">
      <w:headerReference w:type="default" r:id="rId9"/>
      <w:headerReference w:type="first" r:id="rId10"/>
      <w:footerReference w:type="first" r:id="rId11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3F67">
      <w:r>
        <w:separator/>
      </w:r>
    </w:p>
  </w:endnote>
  <w:endnote w:type="continuationSeparator" w:id="0">
    <w:p w:rsidR="00000000" w:rsidRDefault="007B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275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586"/>
      <w:gridCol w:w="1809"/>
      <w:gridCol w:w="2126"/>
      <w:gridCol w:w="1843"/>
      <w:gridCol w:w="1911"/>
    </w:tblGrid>
    <w:tr w:rsidR="003002F4" w:rsidTr="001811CD">
      <w:tc>
        <w:tcPr>
          <w:tcW w:w="2586" w:type="dxa"/>
          <w:tcBorders>
            <w:bottom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RDefault="007B3F67" w:rsidP="001811CD">
          <w:pPr>
            <w:pStyle w:val="Alatunniste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RDefault="007B3F67" w:rsidP="001811CD">
          <w:pPr>
            <w:pStyle w:val="Alatunniste"/>
          </w:pPr>
        </w:p>
      </w:tc>
    </w:tr>
    <w:tr w:rsidR="003002F4" w:rsidTr="001811CD">
      <w:tc>
        <w:tcPr>
          <w:tcW w:w="2586" w:type="dxa"/>
          <w:tcBorders>
            <w:top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RDefault="007B3F67" w:rsidP="001811CD">
          <w:pPr>
            <w:pStyle w:val="Alatunniste"/>
          </w:pPr>
        </w:p>
      </w:tc>
    </w:tr>
    <w:tr w:rsidR="003002F4" w:rsidTr="001811CD">
      <w:tc>
        <w:tcPr>
          <w:tcW w:w="258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B3F67" w:rsidP="001811CD">
          <w:pPr>
            <w:pStyle w:val="Alatunniste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RDefault="007B3F67" w:rsidP="001811CD">
          <w:pPr>
            <w:pStyle w:val="Alatunniste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RDefault="007B3F67" w:rsidP="001811CD">
          <w:pPr>
            <w:pStyle w:val="Alatunniste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RDefault="007B3F67" w:rsidP="001811CD">
          <w:pPr>
            <w:pStyle w:val="Alatunniste"/>
          </w:pPr>
          <w:r w:rsidRPr="00755304">
            <w:rPr>
              <w:color w:val="59B5A4"/>
            </w:rPr>
            <w:t>Virkasähköpostiosoite:</w:t>
          </w:r>
        </w:p>
      </w:tc>
    </w:tr>
    <w:tr w:rsidR="003002F4" w:rsidTr="001811CD">
      <w:tc>
        <w:tcPr>
          <w:tcW w:w="258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B3F67" w:rsidP="001811CD">
          <w:pPr>
            <w:pStyle w:val="Alatunniste"/>
          </w:pPr>
          <w:r>
            <w:t>Sisäministeriö</w:t>
          </w:r>
        </w:p>
      </w:tc>
      <w:tc>
        <w:tcPr>
          <w:tcW w:w="2126" w:type="dxa"/>
        </w:tcPr>
        <w:p w:rsidR="00C32D98" w:rsidRPr="00EF222F" w:rsidRDefault="007B3F67" w:rsidP="006A5C73">
          <w:pPr>
            <w:pStyle w:val="Alatunniste"/>
          </w:pPr>
          <w:r>
            <w:t>Erottajankatu 2</w:t>
          </w:r>
        </w:p>
      </w:tc>
      <w:tc>
        <w:tcPr>
          <w:tcW w:w="1843" w:type="dxa"/>
        </w:tcPr>
        <w:p w:rsidR="00C32D98" w:rsidRPr="00EF222F" w:rsidRDefault="007B3F67" w:rsidP="001811CD">
          <w:pPr>
            <w:pStyle w:val="Alatunniste"/>
          </w:pPr>
          <w:r>
            <w:t xml:space="preserve">Vaihde </w:t>
          </w:r>
        </w:p>
      </w:tc>
      <w:tc>
        <w:tcPr>
          <w:tcW w:w="1911" w:type="dxa"/>
        </w:tcPr>
        <w:p w:rsidR="00C32D98" w:rsidRDefault="007B3F67" w:rsidP="001811CD">
          <w:pPr>
            <w:pStyle w:val="Alatunniste"/>
          </w:pPr>
          <w:r>
            <w:t>kirjaamo@intermin.fi</w:t>
          </w:r>
        </w:p>
      </w:tc>
    </w:tr>
    <w:tr w:rsidR="003002F4" w:rsidTr="001811CD">
      <w:tc>
        <w:tcPr>
          <w:tcW w:w="258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B3F67" w:rsidP="001811CD">
          <w:pPr>
            <w:pStyle w:val="Alatunniste"/>
          </w:pPr>
          <w:r>
            <w:t>PL 26</w:t>
          </w:r>
        </w:p>
      </w:tc>
      <w:tc>
        <w:tcPr>
          <w:tcW w:w="2126" w:type="dxa"/>
        </w:tcPr>
        <w:p w:rsidR="00C32D98" w:rsidRPr="00EF222F" w:rsidRDefault="007B3F67" w:rsidP="001811CD">
          <w:pPr>
            <w:pStyle w:val="Alatunniste"/>
          </w:pPr>
          <w:r>
            <w:t>Helsinki</w:t>
          </w:r>
        </w:p>
      </w:tc>
      <w:tc>
        <w:tcPr>
          <w:tcW w:w="1843" w:type="dxa"/>
        </w:tcPr>
        <w:p w:rsidR="00C32D98" w:rsidRPr="00EF222F" w:rsidRDefault="007B3F67" w:rsidP="001811CD">
          <w:pPr>
            <w:pStyle w:val="Alatunniste"/>
          </w:pPr>
          <w:r w:rsidRPr="006536B0">
            <w:t>0295 480 171</w:t>
          </w:r>
        </w:p>
      </w:tc>
      <w:tc>
        <w:tcPr>
          <w:tcW w:w="1911" w:type="dxa"/>
        </w:tcPr>
        <w:p w:rsidR="00C32D98" w:rsidRDefault="007B3F67" w:rsidP="001811CD">
          <w:pPr>
            <w:pStyle w:val="Alatunniste"/>
          </w:pPr>
          <w:r>
            <w:t>www.intermin.fi</w:t>
          </w:r>
        </w:p>
      </w:tc>
    </w:tr>
    <w:tr w:rsidR="003002F4" w:rsidTr="001811CD">
      <w:tc>
        <w:tcPr>
          <w:tcW w:w="258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B3F67" w:rsidP="001811CD">
          <w:pPr>
            <w:pStyle w:val="Alatunniste"/>
          </w:pPr>
          <w:r>
            <w:t>00023 Valtioneuvosto</w:t>
          </w:r>
        </w:p>
      </w:tc>
      <w:tc>
        <w:tcPr>
          <w:tcW w:w="212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43" w:type="dxa"/>
        </w:tcPr>
        <w:p w:rsidR="00C32D98" w:rsidRPr="00EF222F" w:rsidRDefault="007B3F67" w:rsidP="001811CD">
          <w:pPr>
            <w:pStyle w:val="Alatunniste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RDefault="007B3F67" w:rsidP="001811CD">
          <w:pPr>
            <w:pStyle w:val="Alatunniste"/>
          </w:pPr>
        </w:p>
      </w:tc>
    </w:tr>
    <w:tr w:rsidR="003002F4" w:rsidTr="001811CD">
      <w:tc>
        <w:tcPr>
          <w:tcW w:w="258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09" w:type="dxa"/>
        </w:tcPr>
        <w:p w:rsidR="00C32D98" w:rsidRDefault="007B3F67" w:rsidP="001811CD">
          <w:pPr>
            <w:pStyle w:val="Alatunniste"/>
          </w:pPr>
        </w:p>
      </w:tc>
      <w:tc>
        <w:tcPr>
          <w:tcW w:w="2126" w:type="dxa"/>
        </w:tcPr>
        <w:p w:rsidR="00C32D98" w:rsidRPr="00EF222F" w:rsidRDefault="007B3F67" w:rsidP="001811CD">
          <w:pPr>
            <w:pStyle w:val="Alatunniste"/>
          </w:pPr>
        </w:p>
      </w:tc>
      <w:tc>
        <w:tcPr>
          <w:tcW w:w="1843" w:type="dxa"/>
        </w:tcPr>
        <w:p w:rsidR="00C32D98" w:rsidRDefault="007B3F67" w:rsidP="002752F1">
          <w:pPr>
            <w:pStyle w:val="Alatunniste"/>
          </w:pPr>
          <w:r>
            <w:t xml:space="preserve">09 1604 </w:t>
          </w:r>
          <w:r w:rsidRPr="00703C49">
            <w:rPr>
              <w:szCs w:val="16"/>
            </w:rPr>
            <w:t>4635</w:t>
          </w:r>
        </w:p>
      </w:tc>
      <w:tc>
        <w:tcPr>
          <w:tcW w:w="1911" w:type="dxa"/>
        </w:tcPr>
        <w:p w:rsidR="00C32D98" w:rsidRDefault="007B3F67" w:rsidP="001811CD">
          <w:pPr>
            <w:pStyle w:val="Alatunniste"/>
          </w:pPr>
        </w:p>
      </w:tc>
    </w:tr>
  </w:tbl>
  <w:p w:rsidR="00EF222F" w:rsidRDefault="007B3F67" w:rsidP="00EF22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3F67">
      <w:r>
        <w:separator/>
      </w:r>
    </w:p>
  </w:footnote>
  <w:footnote w:type="continuationSeparator" w:id="0">
    <w:p w:rsidR="00000000" w:rsidRDefault="007B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347" w:type="dxa"/>
      <w:tblLayout w:type="fixed"/>
      <w:tblLook w:val="04A0" w:firstRow="1" w:lastRow="0" w:firstColumn="1" w:lastColumn="0" w:noHBand="0" w:noVBand="1"/>
    </w:tblPr>
    <w:tblGrid>
      <w:gridCol w:w="5222"/>
      <w:gridCol w:w="2608"/>
      <w:gridCol w:w="1463"/>
      <w:gridCol w:w="1054"/>
    </w:tblGrid>
    <w:tr w:rsidR="003002F4" w:rsidTr="005E4795">
      <w:tc>
        <w:tcPr>
          <w:tcW w:w="5222" w:type="dxa"/>
        </w:tcPr>
        <w:p w:rsidR="0035265B" w:rsidRPr="00770045" w:rsidRDefault="007B3F67" w:rsidP="005E4795">
          <w:pPr>
            <w:pStyle w:val="Yltunniste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RDefault="007B3F67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RDefault="007B3F67" w:rsidP="005E4795">
          <w:pPr>
            <w:pStyle w:val="Yltunniste"/>
          </w:pPr>
        </w:p>
      </w:tc>
      <w:tc>
        <w:tcPr>
          <w:tcW w:w="1054" w:type="dxa"/>
        </w:tcPr>
        <w:p w:rsidR="0035265B" w:rsidRDefault="007B3F67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)</w:t>
          </w:r>
        </w:p>
      </w:tc>
    </w:tr>
    <w:tr w:rsidR="003002F4" w:rsidTr="005E4795">
      <w:trPr>
        <w:trHeight w:val="272"/>
      </w:trPr>
      <w:tc>
        <w:tcPr>
          <w:tcW w:w="5222" w:type="dxa"/>
        </w:tcPr>
        <w:p w:rsidR="0035265B" w:rsidRPr="002A6CD5" w:rsidRDefault="007B3F67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</w:tcPr>
        <w:p w:rsidR="0035265B" w:rsidRDefault="007B3F67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7B3F67" w:rsidP="005E4795">
          <w:pPr>
            <w:pStyle w:val="Yltunniste"/>
          </w:pPr>
        </w:p>
      </w:tc>
    </w:tr>
    <w:tr w:rsidR="003002F4" w:rsidTr="005E4795">
      <w:trPr>
        <w:trHeight w:val="272"/>
      </w:trPr>
      <w:tc>
        <w:tcPr>
          <w:tcW w:w="5222" w:type="dxa"/>
        </w:tcPr>
        <w:p w:rsidR="0035265B" w:rsidRDefault="007B3F67" w:rsidP="005E4795">
          <w:pPr>
            <w:pStyle w:val="Yltunniste"/>
          </w:pPr>
        </w:p>
      </w:tc>
      <w:tc>
        <w:tcPr>
          <w:tcW w:w="2608" w:type="dxa"/>
        </w:tcPr>
        <w:p w:rsidR="0035265B" w:rsidRDefault="007B3F67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7B3F67" w:rsidP="005E4795">
          <w:pPr>
            <w:pStyle w:val="Yltunniste"/>
          </w:pPr>
        </w:p>
      </w:tc>
    </w:tr>
    <w:tr w:rsidR="003002F4" w:rsidTr="005E4795">
      <w:trPr>
        <w:trHeight w:val="272"/>
      </w:trPr>
      <w:tc>
        <w:tcPr>
          <w:tcW w:w="5222" w:type="dxa"/>
        </w:tcPr>
        <w:p w:rsidR="0035265B" w:rsidRDefault="007B3F67" w:rsidP="005E4795">
          <w:pPr>
            <w:pStyle w:val="Yltunniste"/>
          </w:pPr>
        </w:p>
      </w:tc>
      <w:tc>
        <w:tcPr>
          <w:tcW w:w="2608" w:type="dxa"/>
        </w:tcPr>
        <w:p w:rsidR="0035265B" w:rsidRDefault="007B3F67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31.08.2015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RDefault="007B3F67" w:rsidP="005E4795">
          <w:pPr>
            <w:pStyle w:val="Yltunniste"/>
          </w:pPr>
        </w:p>
      </w:tc>
    </w:tr>
  </w:tbl>
  <w:p w:rsidR="00D64AB2" w:rsidRDefault="007B3F6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948" w:type="dxa"/>
      <w:tblInd w:w="-567" w:type="dxa"/>
      <w:tblLayout w:type="fixed"/>
      <w:tblLook w:val="04A0" w:firstRow="1" w:lastRow="0" w:firstColumn="1" w:lastColumn="0" w:noHBand="0" w:noVBand="1"/>
    </w:tblPr>
    <w:tblGrid>
      <w:gridCol w:w="5823"/>
      <w:gridCol w:w="2608"/>
      <w:gridCol w:w="1463"/>
      <w:gridCol w:w="1054"/>
    </w:tblGrid>
    <w:tr w:rsidR="003002F4" w:rsidTr="005E4795">
      <w:tc>
        <w:tcPr>
          <w:tcW w:w="5823" w:type="dxa"/>
          <w:vMerge w:val="restart"/>
          <w:tcMar>
            <w:left w:w="0" w:type="dxa"/>
          </w:tcMar>
        </w:tcPr>
        <w:p w:rsidR="0035265B" w:rsidRPr="00F063F8" w:rsidRDefault="007B3F67" w:rsidP="005E4795">
          <w:pPr>
            <w:pStyle w:val="Yltunniste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RDefault="007B3F67" w:rsidP="005E4795">
          <w:pPr>
            <w:pStyle w:val="Yltunniste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RDefault="007B3F67" w:rsidP="005E4795">
          <w:pPr>
            <w:pStyle w:val="Yltunniste"/>
          </w:pPr>
        </w:p>
      </w:tc>
      <w:tc>
        <w:tcPr>
          <w:tcW w:w="1054" w:type="dxa"/>
          <w:tcMar>
            <w:left w:w="0" w:type="dxa"/>
          </w:tcMar>
        </w:tcPr>
        <w:p w:rsidR="0035265B" w:rsidRDefault="007B3F67" w:rsidP="005E4795">
          <w:pPr>
            <w:pStyle w:val="Yltunniste"/>
            <w:jc w:val="center"/>
          </w:pPr>
        </w:p>
      </w:tc>
    </w:tr>
    <w:tr w:rsidR="003002F4" w:rsidTr="005E4795">
      <w:tc>
        <w:tcPr>
          <w:tcW w:w="5823" w:type="dxa"/>
          <w:vMerge/>
          <w:tcMar>
            <w:left w:w="0" w:type="dxa"/>
          </w:tcMar>
        </w:tcPr>
        <w:p w:rsidR="0035265B" w:rsidRPr="009779D7" w:rsidRDefault="007B3F67" w:rsidP="005E4795">
          <w:pPr>
            <w:pStyle w:val="Yltunniste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RDefault="007B3F67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RDefault="007B3F67" w:rsidP="005E4795">
          <w:pPr>
            <w:pStyle w:val="Yltunniste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SM1533014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RDefault="007B3F67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)</w:t>
          </w:r>
        </w:p>
      </w:tc>
    </w:tr>
    <w:tr w:rsidR="003002F4" w:rsidTr="005E4795">
      <w:tc>
        <w:tcPr>
          <w:tcW w:w="5823" w:type="dxa"/>
          <w:vMerge/>
          <w:tcMar>
            <w:left w:w="0" w:type="dxa"/>
          </w:tcMar>
        </w:tcPr>
        <w:p w:rsidR="0035265B" w:rsidRPr="002A6CD5" w:rsidRDefault="007B3F67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Default="007B3F67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7B3F67" w:rsidP="005E4795">
          <w:pPr>
            <w:pStyle w:val="Yltunniste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00.02.04</w:t>
          </w:r>
          <w:r>
            <w:fldChar w:fldCharType="end"/>
          </w:r>
        </w:p>
      </w:tc>
    </w:tr>
    <w:tr w:rsidR="003002F4" w:rsidTr="005E4795">
      <w:tc>
        <w:tcPr>
          <w:tcW w:w="5823" w:type="dxa"/>
          <w:vMerge/>
          <w:tcMar>
            <w:left w:w="0" w:type="dxa"/>
          </w:tcMar>
        </w:tcPr>
        <w:p w:rsidR="0035265B" w:rsidRDefault="007B3F67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7B3F67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7B3F67" w:rsidP="005E4795">
          <w:pPr>
            <w:pStyle w:val="Yltunniste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SMDno-2015-1114</w:t>
          </w:r>
          <w:r>
            <w:fldChar w:fldCharType="end"/>
          </w:r>
        </w:p>
      </w:tc>
    </w:tr>
    <w:tr w:rsidR="003002F4" w:rsidTr="005E4795">
      <w:tc>
        <w:tcPr>
          <w:tcW w:w="5823" w:type="dxa"/>
          <w:tcMar>
            <w:left w:w="0" w:type="dxa"/>
          </w:tcMar>
        </w:tcPr>
        <w:p w:rsidR="0035265B" w:rsidRDefault="007B3F67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7B3F67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31.08.2015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7B3F67" w:rsidP="005E4795">
          <w:pPr>
            <w:pStyle w:val="Yltunniste"/>
          </w:pPr>
        </w:p>
      </w:tc>
    </w:tr>
  </w:tbl>
  <w:p w:rsidR="002723D0" w:rsidRDefault="007B3F6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476EE"/>
    <w:multiLevelType w:val="multilevel"/>
    <w:tmpl w:val="5BD42AB8"/>
    <w:numStyleLink w:val="Numeroituotsikointi"/>
  </w:abstractNum>
  <w:abstractNum w:abstractNumId="3">
    <w:nsid w:val="11C27B62"/>
    <w:multiLevelType w:val="multilevel"/>
    <w:tmpl w:val="5BD42AB8"/>
    <w:numStyleLink w:val="Numeroituotsikointi"/>
  </w:abstractNum>
  <w:abstractNum w:abstractNumId="4">
    <w:nsid w:val="320C2E79"/>
    <w:multiLevelType w:val="multilevel"/>
    <w:tmpl w:val="5BD42AB8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33BD151C"/>
    <w:multiLevelType w:val="multilevel"/>
    <w:tmpl w:val="9348AA1E"/>
    <w:styleLink w:val="Luettelonumerot"/>
    <w:lvl w:ilvl="0">
      <w:start w:val="1"/>
      <w:numFmt w:val="decimal"/>
      <w:pStyle w:val="Numeroituluettelo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>
    <w:nsid w:val="37E74F7B"/>
    <w:multiLevelType w:val="multilevel"/>
    <w:tmpl w:val="4DDEB5B2"/>
    <w:styleLink w:val="Luettelomerkit"/>
    <w:lvl w:ilvl="0">
      <w:start w:val="1"/>
      <w:numFmt w:val="bullet"/>
      <w:pStyle w:val="Merkittyluettelo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2F4"/>
    <w:rsid w:val="003002F4"/>
    <w:rsid w:val="007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="Arial" w:hAnsi="Arial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="Arial" w:hAnsi="Arial" w:cs="Arial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="Arial" w:hAnsi="Arial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="Arial" w:hAnsi="Arial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="Arial" w:hAnsi="Arial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="Arial" w:hAnsi="Arial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="Arial" w:hAnsi="Arial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="Arial" w:hAnsi="Arial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BCED-945C-4A8F-956F-61329A86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1333</Words>
  <Characters>10798</Characters>
  <Application>Microsoft Office Word</Application>
  <DocSecurity>4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Luomala Irene</cp:lastModifiedBy>
  <cp:revision>2</cp:revision>
  <dcterms:created xsi:type="dcterms:W3CDTF">2015-09-01T05:21:00Z</dcterms:created>
  <dcterms:modified xsi:type="dcterms:W3CDTF">2015-09-01T05:21:00Z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SM 31.08.2015 klo 15:50. Allekirjoituksen oikeellisuuden voi todentaa kirjaamosta.</vt:lpwstr>
  </property>
  <property fmtid="{D5CDD505-2E9C-101B-9397-08002B2CF9AE}" pid="3" name="sm_asiakirjatyyppi">
    <vt:lpwstr>Lausunto</vt:lpwstr>
  </property>
  <property fmtid="{D5CDD505-2E9C-101B-9397-08002B2CF9AE}" pid="4" name="sm_asiaryhmä">
    <vt:lpwstr>00.02.04</vt:lpwstr>
  </property>
  <property fmtid="{D5CDD505-2E9C-101B-9397-08002B2CF9AE}" pid="5" name="sm_diaarinro">
    <vt:lpwstr>SMDno-2015-1114</vt:lpwstr>
  </property>
  <property fmtid="{D5CDD505-2E9C-101B-9397-08002B2CF9AE}" pid="6" name="sm_id">
    <vt:lpwstr>SM1533014</vt:lpwstr>
  </property>
  <property fmtid="{D5CDD505-2E9C-101B-9397-08002B2CF9AE}" pid="7" name="sm_käsittelyluokka">
    <vt:lpwstr/>
  </property>
  <property fmtid="{D5CDD505-2E9C-101B-9397-08002B2CF9AE}" pid="8" name="sm_laatija">
    <vt:lpwstr>Huvila Hanne SM</vt:lpwstr>
  </property>
  <property fmtid="{D5CDD505-2E9C-101B-9397-08002B2CF9AE}" pid="9" name="sm_laatimispvm">
    <vt:lpwstr>26.8.2015 10:26:26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Hallinto- ja kehittämisosasto</vt:lpwstr>
  </property>
  <property fmtid="{D5CDD505-2E9C-101B-9397-08002B2CF9AE}" pid="14" name="sm_otsikko">
    <vt:lpwstr>Sisäministeriön lausunto luonnoksesta hallituksen esitykseksi laiksi Euroopan unionin jäsenvaltioista ja Eurojustilta rikosasiaa varten saatujen henkilötietojen käsittelystä oikeushallinnon viranomaisissa ja siihen liittyviksi laeiksi</vt:lpwstr>
  </property>
  <property fmtid="{D5CDD505-2E9C-101B-9397-08002B2CF9AE}" pid="15" name="sm_pvm">
    <vt:lpwstr>31.08.2015</vt:lpwstr>
  </property>
  <property fmtid="{D5CDD505-2E9C-101B-9397-08002B2CF9AE}" pid="16" name="sm_salassapitoperuste">
    <vt:lpwstr/>
  </property>
  <property fmtid="{D5CDD505-2E9C-101B-9397-08002B2CF9AE}" pid="17" name="sm_tila">
    <vt:lpwstr>signingInProgress</vt:lpwstr>
  </property>
  <property fmtid="{D5CDD505-2E9C-101B-9397-08002B2CF9AE}" pid="18" name="sm_turvallisuusluokka">
    <vt:lpwstr/>
  </property>
  <property fmtid="{D5CDD505-2E9C-101B-9397-08002B2CF9AE}" pid="19" name="sm_turvallisuusperuste">
    <vt:lpwstr>Turvallisuusperuste</vt:lpwstr>
  </property>
  <property fmtid="{D5CDD505-2E9C-101B-9397-08002B2CF9AE}" pid="20" name="sm_vastaanottaja">
    <vt:lpwstr>Vastaanottaja</vt:lpwstr>
  </property>
</Properties>
</file>