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71F" w:rsidRDefault="0033271F" w:rsidP="00B53672">
      <w:pPr>
        <w:rPr>
          <w:szCs w:val="22"/>
        </w:rPr>
      </w:pPr>
      <w:r>
        <w:rPr>
          <w:szCs w:val="22"/>
        </w:rPr>
        <w:t>OIKEUSMINISTERIÖLLE</w:t>
      </w:r>
    </w:p>
    <w:p w:rsidR="0033271F" w:rsidRDefault="0033271F" w:rsidP="00B53672">
      <w:pPr>
        <w:rPr>
          <w:szCs w:val="22"/>
        </w:rPr>
      </w:pPr>
    </w:p>
    <w:p w:rsidR="0033271F" w:rsidRDefault="0033271F" w:rsidP="00B53672">
      <w:pPr>
        <w:rPr>
          <w:szCs w:val="22"/>
        </w:rPr>
      </w:pPr>
    </w:p>
    <w:p w:rsidR="0033271F" w:rsidRDefault="0033271F" w:rsidP="00B53672">
      <w:pPr>
        <w:rPr>
          <w:szCs w:val="22"/>
        </w:rPr>
      </w:pPr>
    </w:p>
    <w:p w:rsidR="0033271F" w:rsidRDefault="0033271F" w:rsidP="00322C8A">
      <w:pPr>
        <w:ind w:left="1304" w:hanging="1304"/>
        <w:rPr>
          <w:szCs w:val="22"/>
        </w:rPr>
      </w:pPr>
      <w:r>
        <w:rPr>
          <w:szCs w:val="22"/>
        </w:rPr>
        <w:t>ASIA</w:t>
      </w:r>
      <w:r>
        <w:rPr>
          <w:szCs w:val="22"/>
        </w:rPr>
        <w:tab/>
        <w:t>OIKEUSMINISTERIÖN LAUSUNTOPYYNTÖ 21.6.2012 TYÖRYHMÄN MIETINNÖSTÄ ”EDUNVALVOJAN PALKKIO” OM 12/33/2011</w:t>
      </w:r>
    </w:p>
    <w:p w:rsidR="0033271F" w:rsidRDefault="0033271F" w:rsidP="00322C8A">
      <w:pPr>
        <w:ind w:left="1304" w:hanging="1304"/>
        <w:rPr>
          <w:szCs w:val="22"/>
        </w:rPr>
      </w:pPr>
    </w:p>
    <w:p w:rsidR="0033271F" w:rsidRDefault="0033271F" w:rsidP="00322C8A">
      <w:pPr>
        <w:ind w:left="1304" w:hanging="1304"/>
        <w:rPr>
          <w:szCs w:val="22"/>
        </w:rPr>
      </w:pPr>
    </w:p>
    <w:p w:rsidR="0033271F" w:rsidRDefault="0033271F" w:rsidP="00322C8A">
      <w:pPr>
        <w:ind w:left="1304" w:hanging="1304"/>
        <w:rPr>
          <w:szCs w:val="22"/>
        </w:rPr>
      </w:pPr>
      <w:r>
        <w:rPr>
          <w:szCs w:val="22"/>
        </w:rPr>
        <w:t>LOUNAIS-SUOMEN MAISTRAATIN LAUSUNTO</w:t>
      </w:r>
    </w:p>
    <w:p w:rsidR="0033271F" w:rsidRDefault="0033271F" w:rsidP="00322C8A">
      <w:pPr>
        <w:ind w:left="1304" w:hanging="1304"/>
        <w:rPr>
          <w:szCs w:val="22"/>
        </w:rPr>
      </w:pPr>
    </w:p>
    <w:p w:rsidR="0033271F" w:rsidRDefault="0033271F" w:rsidP="00471FDD">
      <w:pPr>
        <w:ind w:left="1304"/>
        <w:rPr>
          <w:szCs w:val="22"/>
        </w:rPr>
      </w:pPr>
      <w:r>
        <w:rPr>
          <w:szCs w:val="22"/>
        </w:rPr>
        <w:t>Maistraatti pitää esitettyä palkkio-ohjetta parannuksena entiseen. Palkkio-oikeuden, perusmaksun määrittämisen ja palkkiorajoittimen ymmärtäminen ja laskeminen on kuitenkin edelleen niin monimutkaista pelkästään lain ja palkkio-ohjeen avulla, että kunnolliseen automaattiseen palkkiolaskuriin tulee panostaa, ja se tulee saattaa kaikkien käyttöön maistraatin nettisivuilla.  Monimutkaisuutta ei voida palkkio-ohjeen avulla voida korjata, koska monimutkaisuuden perusta on kirjattu holhoustoimilain 44 §:n 3 ja 4 momentteihin.</w:t>
      </w:r>
    </w:p>
    <w:p w:rsidR="0033271F" w:rsidRDefault="0033271F" w:rsidP="00471FDD">
      <w:pPr>
        <w:ind w:left="1304"/>
        <w:rPr>
          <w:szCs w:val="22"/>
        </w:rPr>
      </w:pPr>
    </w:p>
    <w:p w:rsidR="0033271F" w:rsidRDefault="0033271F" w:rsidP="00471FDD">
      <w:pPr>
        <w:ind w:left="1304"/>
        <w:rPr>
          <w:szCs w:val="22"/>
        </w:rPr>
      </w:pPr>
      <w:r>
        <w:rPr>
          <w:szCs w:val="22"/>
        </w:rPr>
        <w:t xml:space="preserve">Mietinnössä on monipuolisesti verrattu erilaisia malleja ja lähestymistapoja. Lyhyt aika ja oman toimen ohella tehty valmistelu ei mahdollista suurempien rakenteellisten muutosten tekemistä varsinkaan kun taloudellisia vaikutuksia ei saa syntyä. </w:t>
      </w:r>
    </w:p>
    <w:p w:rsidR="0033271F" w:rsidRDefault="0033271F" w:rsidP="00471FDD">
      <w:pPr>
        <w:ind w:left="1304"/>
        <w:rPr>
          <w:szCs w:val="22"/>
        </w:rPr>
      </w:pPr>
    </w:p>
    <w:p w:rsidR="0033271F" w:rsidRDefault="0033271F" w:rsidP="00471FDD">
      <w:pPr>
        <w:ind w:left="1304"/>
        <w:rPr>
          <w:szCs w:val="22"/>
        </w:rPr>
      </w:pPr>
      <w:r>
        <w:rPr>
          <w:szCs w:val="22"/>
        </w:rPr>
        <w:t xml:space="preserve">Yleisen edunvalvonnan toiminnan ja prosessien kehittämisen (toivottavasti) myötä saattaisi syntyä tarvetta palkkio-ohjeeseen, jonka rakenne olisi toisenlainen. Tällä tarkoitetaan toimintamalleja, joissa yleisen edunvalvonnan </w:t>
      </w:r>
      <w:r w:rsidRPr="00471FDD">
        <w:rPr>
          <w:b/>
          <w:szCs w:val="22"/>
        </w:rPr>
        <w:t xml:space="preserve">osaprosesseja </w:t>
      </w:r>
      <w:r>
        <w:rPr>
          <w:szCs w:val="22"/>
        </w:rPr>
        <w:t>hankittaisiin ostopalveluina. Tällaisessa tilanteessa palkkioasetusta tulisi edelleen kehittää huomioimaan nykyisestä poikkeavat uudet toimintatavat. Muutokset edellyttäisivät mahdollisesti myös lakimuutoksia 44 §:ään. Nyt esitetty palkkioasetusluonnos palvelee tämän hetkistä tilannetta. Alla on kuitenkin esitetty siihen muutamia huomioita:</w:t>
      </w:r>
    </w:p>
    <w:p w:rsidR="0033271F" w:rsidRDefault="0033271F" w:rsidP="00471FDD">
      <w:pPr>
        <w:ind w:left="1304"/>
        <w:rPr>
          <w:szCs w:val="22"/>
        </w:rPr>
      </w:pPr>
    </w:p>
    <w:p w:rsidR="0033271F" w:rsidRDefault="0033271F" w:rsidP="006D5C89">
      <w:pPr>
        <w:rPr>
          <w:szCs w:val="22"/>
        </w:rPr>
      </w:pPr>
      <w:r>
        <w:rPr>
          <w:szCs w:val="22"/>
        </w:rPr>
        <w:t xml:space="preserve">Tilinteon vaikutuksesta palkkion suuruuteen </w:t>
      </w:r>
    </w:p>
    <w:p w:rsidR="0033271F" w:rsidRDefault="0033271F" w:rsidP="006D5C89">
      <w:pPr>
        <w:rPr>
          <w:szCs w:val="22"/>
        </w:rPr>
      </w:pPr>
    </w:p>
    <w:p w:rsidR="0033271F" w:rsidRDefault="0033271F" w:rsidP="003F79C2">
      <w:pPr>
        <w:ind w:left="1304"/>
        <w:rPr>
          <w:szCs w:val="22"/>
        </w:rPr>
      </w:pPr>
      <w:r>
        <w:rPr>
          <w:szCs w:val="22"/>
        </w:rPr>
        <w:t xml:space="preserve">Mietinnössä on lähdetty siitä, että vuositilin teko sisältyy perusmaksuun. Entä kun edunvalvoja on vapautettu tilivelvollisuudesta? Pitäisikö perusmaksua alentaa jollakin vakiosummalla? Kun perusmaksu on määritelty tietyksi summaksi pitäen mielessä tiettyjä edunvalvojan vakiotehtäviä, on tilinteollakin jokin osuus summan muodostumisesta. Jos tällainen vähennys määriteltäisiin, sitä voitaisiin käyttää myös silloin, jos edunvalvoja teettää tilin esim. tilitoimistolla, ja päämies jo maksaa tilitoimiston palkkion. </w:t>
      </w:r>
    </w:p>
    <w:p w:rsidR="0033271F" w:rsidRDefault="0033271F" w:rsidP="003F79C2">
      <w:pPr>
        <w:ind w:left="1304"/>
        <w:rPr>
          <w:szCs w:val="22"/>
        </w:rPr>
      </w:pPr>
    </w:p>
    <w:p w:rsidR="0033271F" w:rsidRDefault="0033271F" w:rsidP="00322C8A">
      <w:pPr>
        <w:ind w:left="1304" w:hanging="1304"/>
        <w:rPr>
          <w:i/>
          <w:szCs w:val="22"/>
        </w:rPr>
      </w:pPr>
      <w:r>
        <w:rPr>
          <w:szCs w:val="22"/>
        </w:rPr>
        <w:t xml:space="preserve">Sivu 20, </w:t>
      </w:r>
      <w:r>
        <w:rPr>
          <w:i/>
          <w:szCs w:val="22"/>
        </w:rPr>
        <w:t>Lapsilisät, elatusavut ja elatustuet</w:t>
      </w:r>
    </w:p>
    <w:p w:rsidR="0033271F" w:rsidRDefault="0033271F" w:rsidP="00322C8A">
      <w:pPr>
        <w:ind w:left="1304" w:hanging="1304"/>
        <w:rPr>
          <w:i/>
          <w:szCs w:val="22"/>
        </w:rPr>
      </w:pPr>
    </w:p>
    <w:p w:rsidR="0033271F" w:rsidRDefault="0033271F" w:rsidP="00322C8A">
      <w:pPr>
        <w:ind w:left="1304"/>
        <w:rPr>
          <w:szCs w:val="22"/>
        </w:rPr>
      </w:pPr>
      <w:r>
        <w:rPr>
          <w:szCs w:val="22"/>
        </w:rPr>
        <w:t>Onko asia ajateltu loogisesti aivan loppuun asti ja kohdassa esitetyt perustelut sisäisesti loogiset? Jos edunvalvonnassa olevan huollossa olevalle lapselle maksettavaa elatusapua ja elatustukea ei lasketa edunvalvonnassa olevan vanhemman tuloksi palkkiolaskelmassa, miksi lapsilisä laskettaisiin? Vaikka se maksetaankin vanhemmalle (kuten elatusapu ja –tukikin), eikä ole lapsen tuloa, ei se silti ole vanhemman henkilökohtaiseen käyttöön tarkoitettua rahaa, vaan nimenomaan lapsen elatukseen käytettävää.  Jos kantaa ei muuteta, voisiko perusteluja vielä selventää?</w:t>
      </w:r>
    </w:p>
    <w:p w:rsidR="0033271F" w:rsidRDefault="0033271F" w:rsidP="00322C8A">
      <w:pPr>
        <w:ind w:left="1304"/>
        <w:rPr>
          <w:szCs w:val="22"/>
        </w:rPr>
      </w:pPr>
    </w:p>
    <w:p w:rsidR="0033271F" w:rsidRDefault="0033271F" w:rsidP="00322C8A">
      <w:pPr>
        <w:ind w:left="1304"/>
        <w:rPr>
          <w:szCs w:val="22"/>
        </w:rPr>
      </w:pPr>
    </w:p>
    <w:p w:rsidR="0033271F" w:rsidRDefault="0033271F" w:rsidP="00FD1210">
      <w:pPr>
        <w:rPr>
          <w:szCs w:val="22"/>
        </w:rPr>
      </w:pPr>
      <w:r>
        <w:rPr>
          <w:szCs w:val="22"/>
        </w:rPr>
        <w:t xml:space="preserve">Sivu 21, </w:t>
      </w:r>
      <w:r>
        <w:rPr>
          <w:i/>
          <w:szCs w:val="22"/>
        </w:rPr>
        <w:t xml:space="preserve">Sijoitusvakuutuksista ja rahastoista </w:t>
      </w:r>
      <w:r>
        <w:rPr>
          <w:szCs w:val="22"/>
        </w:rPr>
        <w:t xml:space="preserve">tuloksi ….  ”joka on päämiehen määrättävissä”. </w:t>
      </w:r>
    </w:p>
    <w:p w:rsidR="0033271F" w:rsidRDefault="0033271F" w:rsidP="00FD1210">
      <w:pPr>
        <w:rPr>
          <w:szCs w:val="22"/>
        </w:rPr>
      </w:pPr>
    </w:p>
    <w:p w:rsidR="0033271F" w:rsidRDefault="0033271F" w:rsidP="00FD1210">
      <w:pPr>
        <w:ind w:left="1304"/>
        <w:rPr>
          <w:szCs w:val="22"/>
        </w:rPr>
      </w:pPr>
      <w:r>
        <w:rPr>
          <w:szCs w:val="22"/>
        </w:rPr>
        <w:t>Voisiko tätä selventää? Päämiehen määrättävissä niin, että se on kuuluu hänen käyttövaroihinsa? Vai päämiehen määrättävissä (mutta edunvalvojan hoidettavaa omaisuutta niin kuin muutkin tulot) niin, että tarkoitetaan sellaista sijoitusta, josta tuotto tosiasiallisesti maksetaan esim. vuosittain päämiehen tilille tai muutoin pois sijoituksesta?</w:t>
      </w:r>
    </w:p>
    <w:p w:rsidR="0033271F" w:rsidRDefault="0033271F" w:rsidP="00FD1210">
      <w:pPr>
        <w:ind w:left="1304"/>
        <w:rPr>
          <w:szCs w:val="22"/>
        </w:rPr>
      </w:pPr>
    </w:p>
    <w:p w:rsidR="0033271F" w:rsidRDefault="0033271F" w:rsidP="00FD1210">
      <w:pPr>
        <w:rPr>
          <w:szCs w:val="22"/>
        </w:rPr>
      </w:pPr>
      <w:r>
        <w:rPr>
          <w:szCs w:val="22"/>
        </w:rPr>
        <w:t>Sivu 21, Varojen käsittely</w:t>
      </w:r>
    </w:p>
    <w:p w:rsidR="0033271F" w:rsidRDefault="0033271F" w:rsidP="00FD1210">
      <w:pPr>
        <w:rPr>
          <w:szCs w:val="22"/>
        </w:rPr>
      </w:pPr>
    </w:p>
    <w:p w:rsidR="0033271F" w:rsidRDefault="0033271F" w:rsidP="00FD1210">
      <w:pPr>
        <w:ind w:left="1304"/>
        <w:rPr>
          <w:szCs w:val="22"/>
        </w:rPr>
      </w:pPr>
      <w:r>
        <w:rPr>
          <w:szCs w:val="22"/>
        </w:rPr>
        <w:t>Ensimmäinen kappale. Voisiko kuitenkin tarkentaa sitä, mitä tarkoitetaan ”asunto ei ole ulkopuolisen käytössä”? Nythän käsittääkseni on läheisten käytössä olevia asuntoja tietyissä tilanteissa voitu katsoa omassa käytössä oleviksi. Eli voisiko tarkentaa ja pohtia läheisten asunnon käytön merkitystä tässä suhteessa?</w:t>
      </w:r>
    </w:p>
    <w:p w:rsidR="0033271F" w:rsidRDefault="0033271F" w:rsidP="00FD1210">
      <w:pPr>
        <w:ind w:left="1304"/>
        <w:rPr>
          <w:szCs w:val="22"/>
        </w:rPr>
      </w:pPr>
    </w:p>
    <w:p w:rsidR="0033271F" w:rsidRDefault="0033271F" w:rsidP="00FD1210">
      <w:pPr>
        <w:ind w:left="1304"/>
        <w:rPr>
          <w:szCs w:val="22"/>
        </w:rPr>
      </w:pPr>
    </w:p>
    <w:p w:rsidR="0033271F" w:rsidRDefault="0033271F" w:rsidP="00FD1210">
      <w:pPr>
        <w:rPr>
          <w:szCs w:val="22"/>
        </w:rPr>
      </w:pPr>
    </w:p>
    <w:p w:rsidR="0033271F" w:rsidRDefault="0033271F" w:rsidP="00FD1210">
      <w:pPr>
        <w:rPr>
          <w:szCs w:val="22"/>
        </w:rPr>
      </w:pPr>
      <w:r>
        <w:rPr>
          <w:szCs w:val="22"/>
        </w:rPr>
        <w:t>Palkkion kohtuullistamisesta</w:t>
      </w:r>
    </w:p>
    <w:p w:rsidR="0033271F" w:rsidRDefault="0033271F" w:rsidP="00FD1210">
      <w:pPr>
        <w:rPr>
          <w:szCs w:val="22"/>
        </w:rPr>
      </w:pPr>
    </w:p>
    <w:p w:rsidR="0033271F" w:rsidRPr="00FD1210" w:rsidRDefault="0033271F" w:rsidP="00471FDD">
      <w:pPr>
        <w:ind w:left="1304"/>
        <w:rPr>
          <w:szCs w:val="22"/>
        </w:rPr>
      </w:pPr>
      <w:r>
        <w:rPr>
          <w:szCs w:val="22"/>
        </w:rPr>
        <w:t xml:space="preserve">Mietinnössä tarkoitettaneen, että myös palkkioon kuuluvia mahdollisia lisämaksuja ja erityistoimenpidepalkkiota voidaan kohtuullistaa? </w:t>
      </w:r>
    </w:p>
    <w:p w:rsidR="0033271F" w:rsidRDefault="0033271F" w:rsidP="00322C8A">
      <w:pPr>
        <w:rPr>
          <w:szCs w:val="22"/>
        </w:rPr>
      </w:pPr>
    </w:p>
    <w:p w:rsidR="0033271F" w:rsidRDefault="0033271F" w:rsidP="00322C8A">
      <w:pPr>
        <w:rPr>
          <w:szCs w:val="22"/>
        </w:rPr>
      </w:pPr>
      <w:r>
        <w:rPr>
          <w:szCs w:val="22"/>
        </w:rPr>
        <w:t>Arvonlisäverollisuudesta</w:t>
      </w:r>
    </w:p>
    <w:p w:rsidR="0033271F" w:rsidRDefault="0033271F" w:rsidP="00322C8A">
      <w:pPr>
        <w:rPr>
          <w:szCs w:val="22"/>
        </w:rPr>
      </w:pPr>
    </w:p>
    <w:p w:rsidR="0033271F" w:rsidRDefault="0033271F" w:rsidP="00DA5983">
      <w:pPr>
        <w:ind w:left="1304"/>
        <w:rPr>
          <w:szCs w:val="22"/>
        </w:rPr>
      </w:pPr>
      <w:r>
        <w:rPr>
          <w:szCs w:val="22"/>
        </w:rPr>
        <w:t xml:space="preserve">Suurimpana epäkohtana Lounais-Suomen maistraatti pitää palkkion arvonlisävero-velvollisuudesta johtuvaa päämiesten välistä epätasa-arvoa. Tämä ongelma on olemassa jo nykyisenkin palkkio-ohjeen voimassa ollessa.  </w:t>
      </w:r>
    </w:p>
    <w:p w:rsidR="0033271F" w:rsidRDefault="0033271F" w:rsidP="00DA5983">
      <w:pPr>
        <w:ind w:left="1304"/>
        <w:rPr>
          <w:szCs w:val="22"/>
        </w:rPr>
      </w:pPr>
    </w:p>
    <w:p w:rsidR="0033271F" w:rsidRDefault="0033271F" w:rsidP="00DA5983">
      <w:pPr>
        <w:ind w:left="1304"/>
        <w:rPr>
          <w:szCs w:val="22"/>
        </w:rPr>
      </w:pPr>
      <w:r>
        <w:rPr>
          <w:szCs w:val="22"/>
        </w:rPr>
        <w:t>Oikeusministeriön kannustaessa oikeusaputoimistoja hankkimaan edunvalvontapalveluita ostopalveluina yksityisiltä palveluntuottajilta samalla siirretään koko ajan lisää päämiehiä arvonlisäveron verran kalliimman palkkion piiriin. Tämä tapahtuu sattumanvaraisessa joukossa oikeusaputoimistoja, joissa sattumanvaraisin ja epäyhtenäisin perustein päädytään siirtämään sattumanvarainen joukko päämiehiä yksityisen palveluntuottajan hoidettavaksi. Oikeusministeriön tulisikin pikimmiten ryhtyä toimenpiteisiin tämän ongelman ratkaisemiseksi.</w:t>
      </w:r>
    </w:p>
    <w:p w:rsidR="0033271F" w:rsidRDefault="0033271F" w:rsidP="00DA5983">
      <w:pPr>
        <w:ind w:left="1304"/>
        <w:rPr>
          <w:szCs w:val="22"/>
        </w:rPr>
      </w:pPr>
    </w:p>
    <w:p w:rsidR="0033271F" w:rsidRDefault="0033271F" w:rsidP="00DA5983">
      <w:pPr>
        <w:ind w:left="1304"/>
        <w:rPr>
          <w:szCs w:val="22"/>
        </w:rPr>
      </w:pPr>
    </w:p>
    <w:p w:rsidR="0033271F" w:rsidRDefault="0033271F" w:rsidP="00DA5983">
      <w:pPr>
        <w:ind w:left="1304"/>
        <w:rPr>
          <w:szCs w:val="22"/>
        </w:rPr>
      </w:pPr>
    </w:p>
    <w:p w:rsidR="0033271F" w:rsidRDefault="0033271F" w:rsidP="00DA5983">
      <w:pPr>
        <w:ind w:left="1304"/>
        <w:rPr>
          <w:szCs w:val="22"/>
        </w:rPr>
      </w:pPr>
    </w:p>
    <w:p w:rsidR="0033271F" w:rsidRDefault="0033271F" w:rsidP="00DA5983">
      <w:pPr>
        <w:ind w:left="1304"/>
        <w:rPr>
          <w:szCs w:val="22"/>
        </w:rPr>
      </w:pPr>
      <w:r>
        <w:rPr>
          <w:szCs w:val="22"/>
        </w:rPr>
        <w:t>Anne Oksanen</w:t>
      </w:r>
    </w:p>
    <w:p w:rsidR="0033271F" w:rsidRDefault="0033271F" w:rsidP="00DA5983">
      <w:pPr>
        <w:ind w:left="1304"/>
        <w:rPr>
          <w:szCs w:val="22"/>
        </w:rPr>
      </w:pPr>
      <w:r>
        <w:rPr>
          <w:szCs w:val="22"/>
        </w:rPr>
        <w:t>Henkikirjoittaja</w:t>
      </w:r>
    </w:p>
    <w:p w:rsidR="0033271F" w:rsidRDefault="0033271F" w:rsidP="00DA5983">
      <w:pPr>
        <w:ind w:left="1304"/>
        <w:rPr>
          <w:szCs w:val="22"/>
        </w:rPr>
      </w:pPr>
      <w:r>
        <w:rPr>
          <w:szCs w:val="22"/>
        </w:rPr>
        <w:t>Lounais-Suomen maistraatti</w:t>
      </w:r>
    </w:p>
    <w:p w:rsidR="0033271F" w:rsidRDefault="0033271F" w:rsidP="00DA5983">
      <w:pPr>
        <w:ind w:left="1304"/>
        <w:rPr>
          <w:szCs w:val="22"/>
        </w:rPr>
      </w:pPr>
      <w:r>
        <w:rPr>
          <w:szCs w:val="22"/>
        </w:rPr>
        <w:t>Holhoustoimen vastuualueen päällikkö</w:t>
      </w:r>
    </w:p>
    <w:sectPr w:rsidR="0033271F" w:rsidSect="00DD5874">
      <w:headerReference w:type="default" r:id="rId6"/>
      <w:headerReference w:type="first" r:id="rId7"/>
      <w:footerReference w:type="first" r:id="rId8"/>
      <w:pgSz w:w="11906" w:h="16838" w:code="9"/>
      <w:pgMar w:top="1179" w:right="851" w:bottom="369" w:left="851"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71F" w:rsidRDefault="0033271F">
      <w:r>
        <w:separator/>
      </w:r>
    </w:p>
  </w:endnote>
  <w:endnote w:type="continuationSeparator" w:id="0">
    <w:p w:rsidR="0033271F" w:rsidRDefault="00332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1E0"/>
    </w:tblPr>
    <w:tblGrid>
      <w:gridCol w:w="1260"/>
      <w:gridCol w:w="2160"/>
      <w:gridCol w:w="3600"/>
      <w:gridCol w:w="1620"/>
      <w:gridCol w:w="1620"/>
    </w:tblGrid>
    <w:tr w:rsidR="0033271F" w:rsidRPr="004715BC" w:rsidTr="008B1F7B">
      <w:tc>
        <w:tcPr>
          <w:tcW w:w="3420" w:type="dxa"/>
          <w:gridSpan w:val="2"/>
          <w:tcBorders>
            <w:top w:val="single" w:sz="4" w:space="0" w:color="auto"/>
          </w:tcBorders>
        </w:tcPr>
        <w:p w:rsidR="0033271F" w:rsidRPr="008B1F7B" w:rsidRDefault="0033271F" w:rsidP="009278F5">
          <w:pPr>
            <w:pStyle w:val="Footer"/>
            <w:rPr>
              <w:rFonts w:ascii="Arial" w:hAnsi="Arial" w:cs="Arial"/>
              <w:sz w:val="18"/>
              <w:szCs w:val="18"/>
            </w:rPr>
          </w:pPr>
          <w:r w:rsidRPr="008B1F7B">
            <w:rPr>
              <w:rFonts w:ascii="Arial" w:hAnsi="Arial" w:cs="Arial"/>
              <w:sz w:val="18"/>
              <w:szCs w:val="18"/>
            </w:rPr>
            <w:t>Käyntiosoite:</w:t>
          </w:r>
        </w:p>
      </w:tc>
      <w:tc>
        <w:tcPr>
          <w:tcW w:w="3600" w:type="dxa"/>
          <w:tcBorders>
            <w:top w:val="single" w:sz="4" w:space="0" w:color="auto"/>
          </w:tcBorders>
        </w:tcPr>
        <w:p w:rsidR="0033271F" w:rsidRPr="008B1F7B" w:rsidRDefault="0033271F" w:rsidP="009278F5">
          <w:pPr>
            <w:pStyle w:val="Footer"/>
            <w:rPr>
              <w:rFonts w:ascii="Arial" w:hAnsi="Arial" w:cs="Arial"/>
              <w:sz w:val="18"/>
              <w:szCs w:val="18"/>
            </w:rPr>
          </w:pPr>
          <w:r w:rsidRPr="008B1F7B">
            <w:rPr>
              <w:rFonts w:ascii="Arial" w:hAnsi="Arial" w:cs="Arial"/>
              <w:sz w:val="18"/>
              <w:szCs w:val="18"/>
            </w:rPr>
            <w:t>Postiosoite:</w:t>
          </w:r>
        </w:p>
      </w:tc>
      <w:tc>
        <w:tcPr>
          <w:tcW w:w="1620" w:type="dxa"/>
          <w:tcBorders>
            <w:top w:val="single" w:sz="4" w:space="0" w:color="auto"/>
          </w:tcBorders>
        </w:tcPr>
        <w:p w:rsidR="0033271F" w:rsidRPr="008B1F7B" w:rsidRDefault="0033271F" w:rsidP="009278F5">
          <w:pPr>
            <w:pStyle w:val="Footer"/>
            <w:rPr>
              <w:rFonts w:ascii="Arial" w:hAnsi="Arial" w:cs="Arial"/>
              <w:sz w:val="18"/>
              <w:szCs w:val="18"/>
            </w:rPr>
          </w:pPr>
          <w:r w:rsidRPr="008B1F7B">
            <w:rPr>
              <w:rFonts w:ascii="Arial" w:hAnsi="Arial" w:cs="Arial"/>
              <w:sz w:val="18"/>
              <w:szCs w:val="18"/>
            </w:rPr>
            <w:t>Puhelin:</w:t>
          </w:r>
        </w:p>
      </w:tc>
      <w:tc>
        <w:tcPr>
          <w:tcW w:w="1620" w:type="dxa"/>
          <w:tcBorders>
            <w:top w:val="single" w:sz="4" w:space="0" w:color="auto"/>
          </w:tcBorders>
        </w:tcPr>
        <w:p w:rsidR="0033271F" w:rsidRPr="008B1F7B" w:rsidRDefault="0033271F" w:rsidP="009278F5">
          <w:pPr>
            <w:pStyle w:val="Footer"/>
            <w:rPr>
              <w:rFonts w:ascii="Arial" w:hAnsi="Arial" w:cs="Arial"/>
              <w:sz w:val="18"/>
              <w:szCs w:val="18"/>
            </w:rPr>
          </w:pPr>
          <w:r w:rsidRPr="008B1F7B">
            <w:rPr>
              <w:rFonts w:ascii="Arial" w:hAnsi="Arial" w:cs="Arial"/>
              <w:sz w:val="18"/>
              <w:szCs w:val="18"/>
            </w:rPr>
            <w:t>Telefax:</w:t>
          </w:r>
        </w:p>
      </w:tc>
    </w:tr>
    <w:tr w:rsidR="0033271F" w:rsidRPr="004715BC" w:rsidTr="008B1F7B">
      <w:tc>
        <w:tcPr>
          <w:tcW w:w="3420" w:type="dxa"/>
          <w:gridSpan w:val="2"/>
        </w:tcPr>
        <w:p w:rsidR="0033271F" w:rsidRPr="008B1F7B" w:rsidRDefault="0033271F" w:rsidP="009278F5">
          <w:pPr>
            <w:pStyle w:val="Footer"/>
            <w:rPr>
              <w:rFonts w:ascii="Arial" w:hAnsi="Arial" w:cs="Arial"/>
              <w:sz w:val="18"/>
              <w:szCs w:val="18"/>
            </w:rPr>
          </w:pPr>
          <w:bookmarkStart w:id="6" w:name="bkmKayntiLahiosoite"/>
          <w:bookmarkEnd w:id="6"/>
          <w:r w:rsidRPr="008B1F7B">
            <w:rPr>
              <w:rFonts w:ascii="Arial" w:hAnsi="Arial" w:cs="Arial"/>
              <w:sz w:val="18"/>
              <w:szCs w:val="18"/>
            </w:rPr>
            <w:t>Aurakatu 8, 5. krs</w:t>
          </w:r>
        </w:p>
      </w:tc>
      <w:tc>
        <w:tcPr>
          <w:tcW w:w="3600" w:type="dxa"/>
        </w:tcPr>
        <w:p w:rsidR="0033271F" w:rsidRPr="008B1F7B" w:rsidRDefault="0033271F" w:rsidP="009278F5">
          <w:pPr>
            <w:pStyle w:val="Footer"/>
            <w:rPr>
              <w:rFonts w:ascii="Arial" w:hAnsi="Arial" w:cs="Arial"/>
              <w:sz w:val="18"/>
              <w:szCs w:val="18"/>
            </w:rPr>
          </w:pPr>
          <w:bookmarkStart w:id="7" w:name="bkmPostiLahiosoite"/>
          <w:bookmarkEnd w:id="7"/>
          <w:r w:rsidRPr="008B1F7B">
            <w:rPr>
              <w:rFonts w:ascii="Arial" w:hAnsi="Arial" w:cs="Arial"/>
              <w:sz w:val="18"/>
              <w:szCs w:val="18"/>
            </w:rPr>
            <w:t>PL 372</w:t>
          </w:r>
        </w:p>
      </w:tc>
      <w:tc>
        <w:tcPr>
          <w:tcW w:w="1620" w:type="dxa"/>
        </w:tcPr>
        <w:p w:rsidR="0033271F" w:rsidRPr="008B1F7B" w:rsidRDefault="0033271F" w:rsidP="009278F5">
          <w:pPr>
            <w:pStyle w:val="Footer"/>
            <w:rPr>
              <w:rFonts w:ascii="Arial" w:hAnsi="Arial" w:cs="Arial"/>
              <w:sz w:val="18"/>
              <w:szCs w:val="18"/>
            </w:rPr>
          </w:pPr>
          <w:bookmarkStart w:id="8" w:name="bkmMaistraattiPuhelin"/>
          <w:bookmarkEnd w:id="8"/>
          <w:r w:rsidRPr="008B1F7B">
            <w:rPr>
              <w:rFonts w:ascii="Arial" w:hAnsi="Arial" w:cs="Arial"/>
              <w:sz w:val="18"/>
              <w:szCs w:val="18"/>
            </w:rPr>
            <w:t>029 553 9441</w:t>
          </w:r>
        </w:p>
      </w:tc>
      <w:tc>
        <w:tcPr>
          <w:tcW w:w="1620" w:type="dxa"/>
        </w:tcPr>
        <w:p w:rsidR="0033271F" w:rsidRPr="008B1F7B" w:rsidRDefault="0033271F" w:rsidP="009278F5">
          <w:pPr>
            <w:pStyle w:val="Footer"/>
            <w:rPr>
              <w:rFonts w:ascii="Arial" w:hAnsi="Arial" w:cs="Arial"/>
              <w:sz w:val="18"/>
              <w:szCs w:val="18"/>
            </w:rPr>
          </w:pPr>
          <w:bookmarkStart w:id="9" w:name="bkmMaistraattitelefax"/>
          <w:bookmarkEnd w:id="9"/>
          <w:r w:rsidRPr="008B1F7B">
            <w:rPr>
              <w:rFonts w:ascii="Arial" w:hAnsi="Arial" w:cs="Arial"/>
              <w:sz w:val="18"/>
              <w:szCs w:val="18"/>
            </w:rPr>
            <w:t>029 553 7371</w:t>
          </w:r>
        </w:p>
      </w:tc>
    </w:tr>
    <w:tr w:rsidR="0033271F" w:rsidRPr="004715BC" w:rsidTr="008B1F7B">
      <w:tc>
        <w:tcPr>
          <w:tcW w:w="3420" w:type="dxa"/>
          <w:gridSpan w:val="2"/>
        </w:tcPr>
        <w:p w:rsidR="0033271F" w:rsidRPr="008B1F7B" w:rsidRDefault="0033271F" w:rsidP="009278F5">
          <w:pPr>
            <w:pStyle w:val="Footer"/>
            <w:rPr>
              <w:rFonts w:ascii="Arial" w:hAnsi="Arial" w:cs="Arial"/>
              <w:sz w:val="18"/>
              <w:szCs w:val="18"/>
            </w:rPr>
          </w:pPr>
          <w:bookmarkStart w:id="10" w:name="bkmKayntiPostinumeroJaToimipaikka"/>
          <w:bookmarkEnd w:id="10"/>
          <w:r w:rsidRPr="008B1F7B">
            <w:rPr>
              <w:rFonts w:ascii="Arial" w:hAnsi="Arial" w:cs="Arial"/>
              <w:sz w:val="18"/>
              <w:szCs w:val="18"/>
            </w:rPr>
            <w:t>20100 TURKU</w:t>
          </w:r>
        </w:p>
      </w:tc>
      <w:tc>
        <w:tcPr>
          <w:tcW w:w="3600" w:type="dxa"/>
        </w:tcPr>
        <w:p w:rsidR="0033271F" w:rsidRPr="008B1F7B" w:rsidRDefault="0033271F" w:rsidP="009278F5">
          <w:pPr>
            <w:pStyle w:val="Footer"/>
            <w:rPr>
              <w:rFonts w:ascii="Arial" w:hAnsi="Arial" w:cs="Arial"/>
              <w:sz w:val="18"/>
              <w:szCs w:val="18"/>
            </w:rPr>
          </w:pPr>
          <w:bookmarkStart w:id="11" w:name="bkmPostiiPostinumeroJaToimipaikka"/>
          <w:bookmarkEnd w:id="11"/>
          <w:r w:rsidRPr="008B1F7B">
            <w:rPr>
              <w:rFonts w:ascii="Arial" w:hAnsi="Arial" w:cs="Arial"/>
              <w:sz w:val="18"/>
              <w:szCs w:val="18"/>
            </w:rPr>
            <w:t>20101 TURKU</w:t>
          </w:r>
        </w:p>
      </w:tc>
      <w:tc>
        <w:tcPr>
          <w:tcW w:w="1620" w:type="dxa"/>
        </w:tcPr>
        <w:p w:rsidR="0033271F" w:rsidRPr="008B1F7B" w:rsidRDefault="0033271F" w:rsidP="009278F5">
          <w:pPr>
            <w:pStyle w:val="Footer"/>
            <w:rPr>
              <w:rFonts w:ascii="Arial" w:hAnsi="Arial" w:cs="Arial"/>
              <w:sz w:val="18"/>
              <w:szCs w:val="18"/>
            </w:rPr>
          </w:pPr>
        </w:p>
      </w:tc>
      <w:tc>
        <w:tcPr>
          <w:tcW w:w="1620" w:type="dxa"/>
        </w:tcPr>
        <w:p w:rsidR="0033271F" w:rsidRPr="008B1F7B" w:rsidRDefault="0033271F" w:rsidP="009278F5">
          <w:pPr>
            <w:pStyle w:val="Footer"/>
            <w:rPr>
              <w:rFonts w:ascii="Arial" w:hAnsi="Arial" w:cs="Arial"/>
              <w:sz w:val="18"/>
              <w:szCs w:val="18"/>
            </w:rPr>
          </w:pPr>
        </w:p>
      </w:tc>
    </w:tr>
    <w:tr w:rsidR="0033271F" w:rsidRPr="004715BC" w:rsidTr="008B1F7B">
      <w:tc>
        <w:tcPr>
          <w:tcW w:w="10260" w:type="dxa"/>
          <w:gridSpan w:val="5"/>
        </w:tcPr>
        <w:p w:rsidR="0033271F" w:rsidRPr="008B1F7B" w:rsidRDefault="0033271F" w:rsidP="009278F5">
          <w:pPr>
            <w:pStyle w:val="Footer"/>
            <w:rPr>
              <w:rFonts w:ascii="Arial" w:hAnsi="Arial" w:cs="Arial"/>
              <w:sz w:val="10"/>
              <w:szCs w:val="10"/>
            </w:rPr>
          </w:pPr>
        </w:p>
      </w:tc>
    </w:tr>
    <w:tr w:rsidR="0033271F" w:rsidRPr="004715BC" w:rsidTr="008B1F7B">
      <w:tc>
        <w:tcPr>
          <w:tcW w:w="1260" w:type="dxa"/>
        </w:tcPr>
        <w:p w:rsidR="0033271F" w:rsidRPr="008B1F7B" w:rsidRDefault="0033271F" w:rsidP="009278F5">
          <w:pPr>
            <w:pStyle w:val="Footer"/>
            <w:rPr>
              <w:rFonts w:ascii="Arial" w:hAnsi="Arial" w:cs="Arial"/>
              <w:sz w:val="18"/>
              <w:szCs w:val="18"/>
            </w:rPr>
          </w:pPr>
          <w:r w:rsidRPr="008B1F7B">
            <w:rPr>
              <w:rFonts w:ascii="Arial" w:hAnsi="Arial" w:cs="Arial"/>
              <w:sz w:val="18"/>
              <w:szCs w:val="18"/>
            </w:rPr>
            <w:t>Sähköposti:</w:t>
          </w:r>
        </w:p>
      </w:tc>
      <w:tc>
        <w:tcPr>
          <w:tcW w:w="5760" w:type="dxa"/>
          <w:gridSpan w:val="2"/>
        </w:tcPr>
        <w:p w:rsidR="0033271F" w:rsidRPr="008B1F7B" w:rsidRDefault="0033271F" w:rsidP="009278F5">
          <w:pPr>
            <w:pStyle w:val="Footer"/>
            <w:rPr>
              <w:rFonts w:ascii="Arial" w:hAnsi="Arial" w:cs="Arial"/>
              <w:sz w:val="18"/>
              <w:szCs w:val="18"/>
            </w:rPr>
          </w:pPr>
          <w:bookmarkStart w:id="12" w:name="bkmMaistraattiEmail"/>
          <w:bookmarkEnd w:id="12"/>
          <w:r w:rsidRPr="008B1F7B">
            <w:rPr>
              <w:rFonts w:ascii="Arial" w:hAnsi="Arial" w:cs="Arial"/>
              <w:sz w:val="18"/>
              <w:szCs w:val="18"/>
            </w:rPr>
            <w:t>info.turku@maistraatti.fi</w:t>
          </w:r>
        </w:p>
      </w:tc>
      <w:tc>
        <w:tcPr>
          <w:tcW w:w="1620" w:type="dxa"/>
        </w:tcPr>
        <w:p w:rsidR="0033271F" w:rsidRPr="008B1F7B" w:rsidRDefault="0033271F" w:rsidP="009278F5">
          <w:pPr>
            <w:pStyle w:val="Footer"/>
            <w:rPr>
              <w:rFonts w:ascii="Arial" w:hAnsi="Arial" w:cs="Arial"/>
              <w:sz w:val="18"/>
              <w:szCs w:val="18"/>
            </w:rPr>
          </w:pPr>
        </w:p>
      </w:tc>
      <w:tc>
        <w:tcPr>
          <w:tcW w:w="1620" w:type="dxa"/>
        </w:tcPr>
        <w:p w:rsidR="0033271F" w:rsidRPr="008B1F7B" w:rsidRDefault="0033271F" w:rsidP="009278F5">
          <w:pPr>
            <w:pStyle w:val="Footer"/>
            <w:rPr>
              <w:rFonts w:ascii="Arial" w:hAnsi="Arial" w:cs="Arial"/>
              <w:sz w:val="18"/>
              <w:szCs w:val="18"/>
            </w:rPr>
          </w:pPr>
        </w:p>
      </w:tc>
    </w:tr>
  </w:tbl>
  <w:p w:rsidR="0033271F" w:rsidRPr="004715BC" w:rsidRDefault="0033271F" w:rsidP="009278F5">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71F" w:rsidRDefault="0033271F">
      <w:r>
        <w:separator/>
      </w:r>
    </w:p>
  </w:footnote>
  <w:footnote w:type="continuationSeparator" w:id="0">
    <w:p w:rsidR="0033271F" w:rsidRDefault="00332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5580"/>
      <w:gridCol w:w="1980"/>
      <w:gridCol w:w="2676"/>
    </w:tblGrid>
    <w:tr w:rsidR="0033271F" w:rsidTr="008B1F7B">
      <w:tc>
        <w:tcPr>
          <w:tcW w:w="5580" w:type="dxa"/>
        </w:tcPr>
        <w:p w:rsidR="0033271F" w:rsidRPr="008B1F7B" w:rsidRDefault="0033271F" w:rsidP="00C55E55">
          <w:pPr>
            <w:pStyle w:val="Header"/>
            <w:rPr>
              <w:rFonts w:ascii="Arial" w:hAnsi="Arial" w:cs="Arial"/>
              <w:b/>
              <w:sz w:val="22"/>
              <w:szCs w:val="22"/>
            </w:rPr>
          </w:pPr>
          <w:bookmarkStart w:id="0" w:name="bkmMaistraattinimi2"/>
          <w:bookmarkEnd w:id="0"/>
          <w:r w:rsidRPr="008B1F7B">
            <w:rPr>
              <w:rFonts w:ascii="Arial" w:hAnsi="Arial" w:cs="Arial"/>
              <w:b/>
              <w:sz w:val="22"/>
              <w:szCs w:val="22"/>
            </w:rPr>
            <w:t>Lounais-Suomen maistraatti</w:t>
          </w:r>
        </w:p>
      </w:tc>
      <w:tc>
        <w:tcPr>
          <w:tcW w:w="1980" w:type="dxa"/>
        </w:tcPr>
        <w:p w:rsidR="0033271F" w:rsidRPr="008B1F7B" w:rsidRDefault="0033271F" w:rsidP="00C55E55">
          <w:pPr>
            <w:pStyle w:val="Header"/>
            <w:rPr>
              <w:rFonts w:ascii="Arial" w:hAnsi="Arial" w:cs="Arial"/>
              <w:b/>
              <w:sz w:val="22"/>
              <w:szCs w:val="22"/>
            </w:rPr>
          </w:pPr>
        </w:p>
      </w:tc>
      <w:tc>
        <w:tcPr>
          <w:tcW w:w="2676" w:type="dxa"/>
        </w:tcPr>
        <w:p w:rsidR="0033271F" w:rsidRPr="008B1F7B" w:rsidRDefault="0033271F" w:rsidP="00C55E55">
          <w:pPr>
            <w:pStyle w:val="Header"/>
            <w:rPr>
              <w:rFonts w:ascii="Arial" w:hAnsi="Arial" w:cs="Arial"/>
              <w:sz w:val="22"/>
              <w:szCs w:val="22"/>
            </w:rPr>
          </w:pPr>
          <w:bookmarkStart w:id="1" w:name="bkmDiaarinumero2"/>
          <w:bookmarkEnd w:id="1"/>
          <w:r w:rsidRPr="008B1F7B">
            <w:rPr>
              <w:rFonts w:ascii="Arial" w:hAnsi="Arial" w:cs="Arial"/>
              <w:sz w:val="22"/>
              <w:szCs w:val="22"/>
            </w:rPr>
            <w:t>792/2012/29/Ha-1</w:t>
          </w:r>
        </w:p>
      </w:tc>
    </w:tr>
    <w:tr w:rsidR="0033271F" w:rsidTr="008B1F7B">
      <w:trPr>
        <w:trHeight w:val="460"/>
      </w:trPr>
      <w:tc>
        <w:tcPr>
          <w:tcW w:w="5580" w:type="dxa"/>
        </w:tcPr>
        <w:p w:rsidR="0033271F" w:rsidRPr="008B1F7B" w:rsidRDefault="0033271F" w:rsidP="00C55E55">
          <w:pPr>
            <w:pStyle w:val="Header"/>
            <w:rPr>
              <w:szCs w:val="22"/>
            </w:rPr>
          </w:pPr>
        </w:p>
      </w:tc>
      <w:tc>
        <w:tcPr>
          <w:tcW w:w="1980" w:type="dxa"/>
        </w:tcPr>
        <w:p w:rsidR="0033271F" w:rsidRPr="008B1F7B" w:rsidRDefault="0033271F" w:rsidP="00C55E55">
          <w:pPr>
            <w:pStyle w:val="Header"/>
            <w:rPr>
              <w:szCs w:val="22"/>
            </w:rPr>
          </w:pPr>
        </w:p>
      </w:tc>
      <w:tc>
        <w:tcPr>
          <w:tcW w:w="2676" w:type="dxa"/>
        </w:tcPr>
        <w:p w:rsidR="0033271F" w:rsidRPr="008B1F7B" w:rsidRDefault="0033271F" w:rsidP="00C55E55">
          <w:pPr>
            <w:pStyle w:val="Header"/>
            <w:rPr>
              <w:szCs w:val="22"/>
            </w:rPr>
          </w:pPr>
        </w:p>
      </w:tc>
    </w:tr>
    <w:tr w:rsidR="0033271F" w:rsidTr="008B1F7B">
      <w:tc>
        <w:tcPr>
          <w:tcW w:w="5580" w:type="dxa"/>
        </w:tcPr>
        <w:p w:rsidR="0033271F" w:rsidRPr="008B1F7B" w:rsidRDefault="0033271F" w:rsidP="00C55E55">
          <w:pPr>
            <w:pStyle w:val="Header"/>
            <w:rPr>
              <w:szCs w:val="22"/>
            </w:rPr>
          </w:pPr>
        </w:p>
      </w:tc>
      <w:tc>
        <w:tcPr>
          <w:tcW w:w="1980" w:type="dxa"/>
        </w:tcPr>
        <w:p w:rsidR="0033271F" w:rsidRPr="008B1F7B" w:rsidRDefault="0033271F" w:rsidP="00C55E55">
          <w:pPr>
            <w:pStyle w:val="Header"/>
            <w:rPr>
              <w:rFonts w:ascii="Arial" w:hAnsi="Arial" w:cs="Arial"/>
              <w:sz w:val="22"/>
              <w:szCs w:val="22"/>
            </w:rPr>
          </w:pPr>
          <w:bookmarkStart w:id="2" w:name="bkmPvm2"/>
          <w:bookmarkEnd w:id="2"/>
          <w:r w:rsidRPr="008B1F7B">
            <w:rPr>
              <w:rFonts w:ascii="Arial" w:hAnsi="Arial" w:cs="Arial"/>
              <w:sz w:val="22"/>
              <w:szCs w:val="22"/>
            </w:rPr>
            <w:t>17.8.2012</w:t>
          </w:r>
        </w:p>
      </w:tc>
      <w:tc>
        <w:tcPr>
          <w:tcW w:w="2676" w:type="dxa"/>
        </w:tcPr>
        <w:p w:rsidR="0033271F" w:rsidRPr="008B1F7B" w:rsidRDefault="0033271F" w:rsidP="008B1F7B">
          <w:pPr>
            <w:pStyle w:val="Header"/>
            <w:jc w:val="right"/>
            <w:rPr>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Style w:val="PageNumber"/>
            </w:rPr>
            <w:t>)</w:t>
          </w:r>
        </w:p>
      </w:tc>
    </w:tr>
  </w:tbl>
  <w:p w:rsidR="0033271F" w:rsidRPr="00C55E55" w:rsidRDefault="0033271F" w:rsidP="00C55E55">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5580"/>
      <w:gridCol w:w="1980"/>
      <w:gridCol w:w="2676"/>
    </w:tblGrid>
    <w:tr w:rsidR="0033271F" w:rsidTr="008B1F7B">
      <w:tc>
        <w:tcPr>
          <w:tcW w:w="5580" w:type="dxa"/>
        </w:tcPr>
        <w:p w:rsidR="0033271F" w:rsidRPr="008B1F7B" w:rsidRDefault="0033271F" w:rsidP="009278F5">
          <w:pPr>
            <w:pStyle w:val="Header"/>
            <w:rPr>
              <w:rFonts w:ascii="Arial" w:hAnsi="Arial" w:cs="Arial"/>
              <w:b/>
              <w:sz w:val="22"/>
              <w:szCs w:val="22"/>
            </w:rPr>
          </w:pPr>
          <w:bookmarkStart w:id="3" w:name="bkmMaistraattinimi"/>
          <w:bookmarkEnd w:id="3"/>
          <w:r w:rsidRPr="008B1F7B">
            <w:rPr>
              <w:rFonts w:ascii="Arial" w:hAnsi="Arial" w:cs="Arial"/>
              <w:b/>
              <w:sz w:val="22"/>
              <w:szCs w:val="22"/>
            </w:rPr>
            <w:t>Lounais-Suomen maistraatti</w:t>
          </w:r>
        </w:p>
      </w:tc>
      <w:tc>
        <w:tcPr>
          <w:tcW w:w="1980" w:type="dxa"/>
        </w:tcPr>
        <w:p w:rsidR="0033271F" w:rsidRPr="008B1F7B" w:rsidRDefault="0033271F" w:rsidP="009278F5">
          <w:pPr>
            <w:pStyle w:val="Header"/>
            <w:rPr>
              <w:rFonts w:ascii="Arial" w:hAnsi="Arial" w:cs="Arial"/>
              <w:b/>
              <w:sz w:val="22"/>
              <w:szCs w:val="22"/>
            </w:rPr>
          </w:pPr>
          <w:r w:rsidRPr="008B1F7B">
            <w:rPr>
              <w:rFonts w:ascii="Arial" w:hAnsi="Arial" w:cs="Arial"/>
              <w:b/>
              <w:sz w:val="22"/>
              <w:szCs w:val="22"/>
            </w:rPr>
            <w:t>LAUSUNTO</w:t>
          </w:r>
        </w:p>
      </w:tc>
      <w:tc>
        <w:tcPr>
          <w:tcW w:w="2676" w:type="dxa"/>
        </w:tcPr>
        <w:p w:rsidR="0033271F" w:rsidRPr="008B1F7B" w:rsidRDefault="0033271F" w:rsidP="009278F5">
          <w:pPr>
            <w:pStyle w:val="Header"/>
            <w:rPr>
              <w:rFonts w:ascii="Arial" w:hAnsi="Arial" w:cs="Arial"/>
              <w:sz w:val="22"/>
              <w:szCs w:val="22"/>
            </w:rPr>
          </w:pPr>
          <w:bookmarkStart w:id="4" w:name="bkmDiaarinumero"/>
          <w:bookmarkEnd w:id="4"/>
          <w:r w:rsidRPr="008B1F7B">
            <w:rPr>
              <w:rFonts w:ascii="Arial" w:hAnsi="Arial" w:cs="Arial"/>
              <w:sz w:val="22"/>
              <w:szCs w:val="22"/>
            </w:rPr>
            <w:t>792/2012/29/Ha-1</w:t>
          </w:r>
        </w:p>
      </w:tc>
    </w:tr>
    <w:tr w:rsidR="0033271F" w:rsidTr="008B1F7B">
      <w:trPr>
        <w:trHeight w:val="460"/>
      </w:trPr>
      <w:tc>
        <w:tcPr>
          <w:tcW w:w="5580" w:type="dxa"/>
        </w:tcPr>
        <w:p w:rsidR="0033271F" w:rsidRPr="008B1F7B" w:rsidRDefault="0033271F" w:rsidP="009278F5">
          <w:pPr>
            <w:pStyle w:val="Header"/>
            <w:rPr>
              <w:szCs w:val="22"/>
            </w:rPr>
          </w:pPr>
        </w:p>
      </w:tc>
      <w:tc>
        <w:tcPr>
          <w:tcW w:w="1980" w:type="dxa"/>
        </w:tcPr>
        <w:p w:rsidR="0033271F" w:rsidRPr="008B1F7B" w:rsidRDefault="0033271F" w:rsidP="009278F5">
          <w:pPr>
            <w:pStyle w:val="Header"/>
            <w:rPr>
              <w:szCs w:val="22"/>
            </w:rPr>
          </w:pPr>
        </w:p>
      </w:tc>
      <w:tc>
        <w:tcPr>
          <w:tcW w:w="2676" w:type="dxa"/>
        </w:tcPr>
        <w:p w:rsidR="0033271F" w:rsidRPr="008B1F7B" w:rsidRDefault="0033271F" w:rsidP="009278F5">
          <w:pPr>
            <w:pStyle w:val="Header"/>
            <w:rPr>
              <w:szCs w:val="22"/>
            </w:rPr>
          </w:pPr>
        </w:p>
      </w:tc>
    </w:tr>
    <w:tr w:rsidR="0033271F" w:rsidTr="008B1F7B">
      <w:tc>
        <w:tcPr>
          <w:tcW w:w="5580" w:type="dxa"/>
        </w:tcPr>
        <w:p w:rsidR="0033271F" w:rsidRPr="008B1F7B" w:rsidRDefault="0033271F" w:rsidP="009278F5">
          <w:pPr>
            <w:pStyle w:val="Header"/>
            <w:rPr>
              <w:szCs w:val="22"/>
            </w:rPr>
          </w:pPr>
        </w:p>
      </w:tc>
      <w:tc>
        <w:tcPr>
          <w:tcW w:w="1980" w:type="dxa"/>
        </w:tcPr>
        <w:p w:rsidR="0033271F" w:rsidRPr="008B1F7B" w:rsidRDefault="0033271F" w:rsidP="009278F5">
          <w:pPr>
            <w:pStyle w:val="Header"/>
            <w:rPr>
              <w:rFonts w:ascii="Arial" w:hAnsi="Arial" w:cs="Arial"/>
              <w:sz w:val="22"/>
              <w:szCs w:val="22"/>
            </w:rPr>
          </w:pPr>
          <w:bookmarkStart w:id="5" w:name="bkmPvm"/>
          <w:bookmarkEnd w:id="5"/>
          <w:r w:rsidRPr="008B1F7B">
            <w:rPr>
              <w:rFonts w:ascii="Arial" w:hAnsi="Arial" w:cs="Arial"/>
              <w:sz w:val="22"/>
              <w:szCs w:val="22"/>
            </w:rPr>
            <w:t>17.8.2012</w:t>
          </w:r>
        </w:p>
      </w:tc>
      <w:tc>
        <w:tcPr>
          <w:tcW w:w="2676" w:type="dxa"/>
        </w:tcPr>
        <w:p w:rsidR="0033271F" w:rsidRPr="008B1F7B" w:rsidRDefault="0033271F" w:rsidP="008B1F7B">
          <w:pPr>
            <w:pStyle w:val="Header"/>
            <w:jc w:val="right"/>
            <w:rPr>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Style w:val="PageNumber"/>
            </w:rPr>
            <w:t>)</w:t>
          </w:r>
        </w:p>
      </w:tc>
    </w:tr>
  </w:tbl>
  <w:p w:rsidR="0033271F" w:rsidRDefault="003327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C8A"/>
    <w:rsid w:val="00184325"/>
    <w:rsid w:val="002348D1"/>
    <w:rsid w:val="00285D6B"/>
    <w:rsid w:val="002F52B5"/>
    <w:rsid w:val="00322C8A"/>
    <w:rsid w:val="0033271F"/>
    <w:rsid w:val="003B73B0"/>
    <w:rsid w:val="003C727D"/>
    <w:rsid w:val="003F79C2"/>
    <w:rsid w:val="00431D65"/>
    <w:rsid w:val="004715BC"/>
    <w:rsid w:val="00471FDD"/>
    <w:rsid w:val="004D7E94"/>
    <w:rsid w:val="005F6EC2"/>
    <w:rsid w:val="00696321"/>
    <w:rsid w:val="006D5BB0"/>
    <w:rsid w:val="006D5C89"/>
    <w:rsid w:val="007403B1"/>
    <w:rsid w:val="00794BDF"/>
    <w:rsid w:val="008A15EF"/>
    <w:rsid w:val="008B1F7B"/>
    <w:rsid w:val="00917206"/>
    <w:rsid w:val="009278F5"/>
    <w:rsid w:val="00945DC0"/>
    <w:rsid w:val="0095563A"/>
    <w:rsid w:val="009846C0"/>
    <w:rsid w:val="00A265A6"/>
    <w:rsid w:val="00A325C4"/>
    <w:rsid w:val="00B42CAE"/>
    <w:rsid w:val="00B53672"/>
    <w:rsid w:val="00C55E55"/>
    <w:rsid w:val="00DA5983"/>
    <w:rsid w:val="00DD5874"/>
    <w:rsid w:val="00DF7DE9"/>
    <w:rsid w:val="00E13DD5"/>
    <w:rsid w:val="00E57364"/>
    <w:rsid w:val="00E80E47"/>
    <w:rsid w:val="00FC22D9"/>
    <w:rsid w:val="00FD1210"/>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DC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7E94"/>
    <w:pPr>
      <w:tabs>
        <w:tab w:val="center" w:pos="4819"/>
        <w:tab w:val="right" w:pos="9638"/>
      </w:tabs>
    </w:pPr>
  </w:style>
  <w:style w:type="character" w:customStyle="1" w:styleId="HeaderChar">
    <w:name w:val="Header Char"/>
    <w:basedOn w:val="DefaultParagraphFont"/>
    <w:link w:val="Header"/>
    <w:uiPriority w:val="99"/>
    <w:semiHidden/>
    <w:rsid w:val="00691377"/>
    <w:rPr>
      <w:sz w:val="24"/>
      <w:szCs w:val="24"/>
    </w:rPr>
  </w:style>
  <w:style w:type="paragraph" w:styleId="Footer">
    <w:name w:val="footer"/>
    <w:basedOn w:val="Normal"/>
    <w:link w:val="FooterChar"/>
    <w:uiPriority w:val="99"/>
    <w:rsid w:val="004D7E94"/>
    <w:pPr>
      <w:tabs>
        <w:tab w:val="center" w:pos="4819"/>
        <w:tab w:val="right" w:pos="9638"/>
      </w:tabs>
    </w:pPr>
  </w:style>
  <w:style w:type="character" w:customStyle="1" w:styleId="FooterChar">
    <w:name w:val="Footer Char"/>
    <w:basedOn w:val="DefaultParagraphFont"/>
    <w:link w:val="Footer"/>
    <w:uiPriority w:val="99"/>
    <w:semiHidden/>
    <w:rsid w:val="00691377"/>
    <w:rPr>
      <w:sz w:val="24"/>
      <w:szCs w:val="24"/>
    </w:rPr>
  </w:style>
  <w:style w:type="table" w:styleId="TableGrid">
    <w:name w:val="Table Grid"/>
    <w:basedOn w:val="TableNormal"/>
    <w:uiPriority w:val="99"/>
    <w:rsid w:val="009846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42CAE"/>
    <w:rPr>
      <w:rFonts w:cs="Times New Roman"/>
      <w:color w:val="0000FF"/>
      <w:u w:val="single"/>
    </w:rPr>
  </w:style>
  <w:style w:type="character" w:styleId="PageNumber">
    <w:name w:val="page number"/>
    <w:basedOn w:val="DefaultParagraphFont"/>
    <w:uiPriority w:val="99"/>
    <w:rsid w:val="00E5736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498</Words>
  <Characters>4040</Characters>
  <Application>Microsoft Office Outlook</Application>
  <DocSecurity>0</DocSecurity>
  <Lines>0</Lines>
  <Paragraphs>0</Paragraphs>
  <ScaleCrop>false</ScaleCrop>
  <Company>Aluehallinto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Tyhjä Word-asiakirjapohja</dc:title>
  <dc:subject/>
  <dc:creator>A011363</dc:creator>
  <cp:keywords/>
  <dc:description>Maisaa varten tehty asiakirjapohja.</dc:description>
  <cp:lastModifiedBy>O924180</cp:lastModifiedBy>
  <cp:revision>2</cp:revision>
  <cp:lastPrinted>2012-08-21T10:37:00Z</cp:lastPrinted>
  <dcterms:created xsi:type="dcterms:W3CDTF">2012-08-21T11:02:00Z</dcterms:created>
  <dcterms:modified xsi:type="dcterms:W3CDTF">2012-08-21T11:02:00Z</dcterms:modified>
  <cp:category>Maisa asiakirjapohjat</cp:category>
</cp:coreProperties>
</file>